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5B0BC3">
      <w:pPr>
        <w:divId w:val="877663609"/>
        <w:rPr>
          <w:rFonts w:eastAsia="Times New Roman"/>
          <w:vanish/>
        </w:rPr>
      </w:pPr>
      <w:r>
        <w:rPr>
          <w:rFonts w:eastAsia="Times New Roman"/>
          <w:vanish/>
        </w:rPr>
        <w:t>FY2021FALSE0001333986http://fasb.org/us-gaap/2021-01-31#AccountingStandardsUpdate201613Member0.710.660.58P6YP3Y51.569.075.571.155.633366.56.565.070.868.66.00.62.733366.56.5</w:t>
      </w:r>
      <w:r>
        <w:rPr>
          <w:rFonts w:eastAsia="Times New Roman"/>
          <w:vanish/>
        </w:rPr>
        <w:t>http://fasb.org/us-gaap/2021-01-31#OtherAssetshttp://fasb.org/us-gaap/2021-01-31#OtherAssetshttp://fasb.org/us-gaap/2021-01-31#OtherLiabilitieshttp://fasb.org/us-gaap/2021-01-31#OtherLiabilities2.051.462.782.431.180.512.782.432.431.972.722.382.342.802.523.</w:t>
      </w:r>
      <w:r>
        <w:rPr>
          <w:rFonts w:eastAsia="Times New Roman"/>
          <w:vanish/>
        </w:rPr>
        <w:t>16P2Y33.3333.3333.3350507.710.334.697.560.334.4800.0010.040.00100013339862021-01-012021-12-310001333986us-gaap:CommonClassAMemberexch:XNYS2021-01-012021-12-310001333986us-gaap:SeriesAPreferredStockMemberexch:XNYS2021-01-012021-12-310001333986exch:XNYSus-ga</w:t>
      </w:r>
      <w:r>
        <w:rPr>
          <w:rFonts w:eastAsia="Times New Roman"/>
          <w:vanish/>
        </w:rPr>
        <w:t>ap:SeriesCPreferredStockMember2021-01-012021-12-3100013339862021-06-30iso4217:USD00013339862022-02-20xbrli:shares00013339862021-12-3100013339862020-12-31iso4217:USDxbrli:shares00013339862020-01-012020-12-3100013339862019-01-012019-12-310001333986us-gaap:Pr</w:t>
      </w:r>
      <w:r>
        <w:rPr>
          <w:rFonts w:eastAsia="Times New Roman"/>
          <w:vanish/>
        </w:rPr>
        <w:t>eferredStockIncludingAdditionalPaidInCapitalMember2020-12-310001333986us-gaap:CommonStockMember2020-12-310001333986us-gaap:AdditionalPaidInCapitalMember2020-12-310001333986us-gaap:TreasuryStockMember2020-12-310001333986us-gaap:RetainedEarningsMember2020-12</w:t>
      </w:r>
      <w:r>
        <w:rPr>
          <w:rFonts w:eastAsia="Times New Roman"/>
          <w:vanish/>
        </w:rPr>
        <w:t>-310001333986us-gaap:AccumulatedOtherComprehensiveIncomeMember2020-12-310001333986us-gaap:ParentMember2020-12-310001333986us-gaap:NoncontrollingInterestMember2020-12-310001333986us-gaap:AdditionalPaidInCapitalMember2021-01-012021-12-310001333986us-gaap:Tre</w:t>
      </w:r>
      <w:r>
        <w:rPr>
          <w:rFonts w:eastAsia="Times New Roman"/>
          <w:vanish/>
        </w:rPr>
        <w:t>asuryStockMember2021-01-012021-12-310001333986us-gaap:ParentMember2021-01-012021-12-310001333986us-gaap:NoncontrollingInterestMember2021-01-012021-12-310001333986us-gaap:CommonStockMember2021-01-012021-12-310001333986us-gaap:RetainedEarningsMember2021-01-0</w:t>
      </w:r>
      <w:r>
        <w:rPr>
          <w:rFonts w:eastAsia="Times New Roman"/>
          <w:vanish/>
        </w:rPr>
        <w:t>12021-12-310001333986us-gaap:PreferredStockIncludingAdditionalPaidInCapitalMember2021-01-012021-12-310001333986us-gaap:AccumulatedOtherComprehensiveIncomeMember2021-01-012021-12-310001333986us-gaap:PreferredStockIncludingAdditionalPaidInCapitalMember2021-1</w:t>
      </w:r>
      <w:r>
        <w:rPr>
          <w:rFonts w:eastAsia="Times New Roman"/>
          <w:vanish/>
        </w:rPr>
        <w:t>2-310001333986us-gaap:CommonStockMember2021-12-310001333986us-gaap:AdditionalPaidInCapitalMember2021-12-310001333986us-gaap:TreasuryStockMember2021-12-310001333986us-gaap:RetainedEarningsMember2021-12-310001333986us-gaap:AccumulatedOtherComprehensiveIncome</w:t>
      </w:r>
      <w:r>
        <w:rPr>
          <w:rFonts w:eastAsia="Times New Roman"/>
          <w:vanish/>
        </w:rPr>
        <w:t>Member2021-12-310001333986us-gaap:ParentMember2021-12-310001333986us-gaap:NoncontrollingInterestMember2021-12-310001333986us-gaap:PreferredStockIncludingAdditionalPaidInCapitalMember2019-12-310001333986us-gaap:CommonStockMember2019-12-310001333986us-gaap:A</w:t>
      </w:r>
      <w:r>
        <w:rPr>
          <w:rFonts w:eastAsia="Times New Roman"/>
          <w:vanish/>
        </w:rPr>
        <w:t>dditionalPaidInCapitalMember2019-12-310001333986us-gaap:TreasuryStockMember2019-12-310001333986us-gaap:RetainedEarningsMember2019-12-310001333986us-gaap:AccumulatedOtherComprehensiveIncomeMember2019-12-310001333986us-gaap:ParentMember2019-12-310001333986us</w:t>
      </w:r>
      <w:r>
        <w:rPr>
          <w:rFonts w:eastAsia="Times New Roman"/>
          <w:vanish/>
        </w:rPr>
        <w:t>-gaap:NoncontrollingInterestMember2019-12-3100013339862019-12-310001333986us-gaap:RetainedEarningsMembersrt:CumulativeEffectPeriodOfAdoptionAdjustedBalanceMember2019-12-310001333986us-gaap:ParentMembersrt:CumulativeEffectPeriodOfAdoptionAdjustedBalanceMemb</w:t>
      </w:r>
      <w:r>
        <w:rPr>
          <w:rFonts w:eastAsia="Times New Roman"/>
          <w:vanish/>
        </w:rPr>
        <w:t>er2019-12-310001333986srt:CumulativeEffectPeriodOfAdoptionAdjustedBalanceMember2019-12-310001333986us-gaap:AdditionalPaidInCapitalMember2020-01-012020-12-310001333986us-gaap:TreasuryStockMember2020-01-012020-12-310001333986us-gaap:ParentMember2020-01-01202</w:t>
      </w:r>
      <w:r>
        <w:rPr>
          <w:rFonts w:eastAsia="Times New Roman"/>
          <w:vanish/>
        </w:rPr>
        <w:t>0-12-310001333986us-gaap:NoncontrollingInterestMember2020-01-012020-12-310001333986us-gaap:RetainedEarningsMember2020-01-012020-12-310001333986us-gaap:PreferredStockIncludingAdditionalPaidInCapitalMember2020-01-012020-12-310001333986us-gaap:AccumulatedOthe</w:t>
      </w:r>
      <w:r>
        <w:rPr>
          <w:rFonts w:eastAsia="Times New Roman"/>
          <w:vanish/>
        </w:rPr>
        <w:t>rComprehensiveIncomeMember2020-01-012020-12-310001333986us-gaap:PreferredStockIncludingAdditionalPaidInCapitalMember2018-12-310001333986us-gaap:CommonStockMember2018-12-310001333986us-gaap:AdditionalPaidInCapitalMember2018-12-310001333986us-gaap:TreasurySt</w:t>
      </w:r>
      <w:r>
        <w:rPr>
          <w:rFonts w:eastAsia="Times New Roman"/>
          <w:vanish/>
        </w:rPr>
        <w:t>ockMember2018-12-310001333986us-gaap:RetainedEarningsMember2018-12-310001333986us-gaap:AccumulatedOtherComprehensiveIncomeMember2018-12-310001333986us-gaap:ParentMember2018-12-310001333986us-gaap:NoncontrollingInterestMember2018-12-3100013339862018-12-3100</w:t>
      </w:r>
      <w:r>
        <w:rPr>
          <w:rFonts w:eastAsia="Times New Roman"/>
          <w:vanish/>
        </w:rPr>
        <w:t>01333986us-gaap:AdditionalPaidInCapitalMember2019-01-012019-12-310001333986us-gaap:TreasuryStockMember2019-01-012019-12-310001333986us-gaap:ParentMember2019-01-012019-12-310001333986us-gaap:NoncontrollingInterestMember2019-01-012019-12-310001333986us-gaap:</w:t>
      </w:r>
      <w:r>
        <w:rPr>
          <w:rFonts w:eastAsia="Times New Roman"/>
          <w:vanish/>
        </w:rPr>
        <w:t>RetainedEarningsMember2019-01-012019-12-310001333986us-gaap:PreferredStockIncludingAdditionalPaidInCapitalMember2019-01-012019-12-310001333986us-gaap:AccumulatedOtherComprehensiveIncomeMember2019-01-012019-12-31eqh:segment0001333986eqh:AllianceBernsteinMem</w:t>
      </w:r>
      <w:r>
        <w:rPr>
          <w:rFonts w:eastAsia="Times New Roman"/>
          <w:vanish/>
        </w:rPr>
        <w:t>ber2021-01-012021-12-31xbrli:pure0001333986eqh:AllianceBernsteinMember2020-01-012020-12-310001333986eqh:CorporateSolutionsLifeReinsuranceCompanyMember2021-06-010001333986eqh:CorporateSolutionsLifeReinsuranceCompanyMembereqh:VenerableInsuranceAndAnnuityComp</w:t>
      </w:r>
      <w:r>
        <w:rPr>
          <w:rFonts w:eastAsia="Times New Roman"/>
          <w:vanish/>
        </w:rPr>
        <w:t>anyMember2021-06-012021-06-010001333986eqh:EquitableFinancialLifeInsuranceCompanyEFLICMembereqh:VenerableInsuranceAndAnnuityCompanyMember2021-06-010001333986eqh:CorporateSolutionsLifeReinsuranceCompanyMembereqh:AllianceBernsteinMember2021-06-010001333986eq</w:t>
      </w:r>
      <w:r>
        <w:rPr>
          <w:rFonts w:eastAsia="Times New Roman"/>
          <w:vanish/>
        </w:rPr>
        <w:t>h:CorporateSolutionsLifeReinsuranceCompanyMembereqh:AllianceBernsteinMemberus-gaap:GuaranteedMinimumWithdrawalBenefitMember2021-06-010001333986eqh:EquitableInvestmentManagementGroupLLCMembereqh:VACapitalCompanyLLCMember2021-06-010001333986eqh:LifeInsurance</w:t>
      </w:r>
      <w:r>
        <w:rPr>
          <w:rFonts w:eastAsia="Times New Roman"/>
          <w:vanish/>
        </w:rPr>
        <w:t>LiabilitiesMembersrt:MinimumMember2021-12-310001333986srt:MaximumMembereqh:LifeInsuranceLiabilitiesMember2021-12-310001333986srt:WeightedAverageMembereqh:LifeInsuranceLiabilitiesMember2021-12-310001333986eqh:AnnuityLiabilitiesMembersrt:MinimumMember2021-12</w:t>
      </w:r>
      <w:r>
        <w:rPr>
          <w:rFonts w:eastAsia="Times New Roman"/>
          <w:vanish/>
        </w:rPr>
        <w:t>-310001333986srt:MaximumMembereqh:AnnuityLiabilitiesMember2021-12-310001333986srt:WeightedAverageMembereqh:AnnuityLiabilitiesMember2021-12-310001333986eqh:AllianceBernsteinMembersrt:MinimumMember2021-01-012021-12-310001333986srt:MaximumMembereqh:AllianceBe</w:t>
      </w:r>
      <w:r>
        <w:rPr>
          <w:rFonts w:eastAsia="Times New Roman"/>
          <w:vanish/>
        </w:rPr>
        <w:t>rnsteinMember2021-01-012021-12-310001333986eqh:AllianceBernsteinMembereqh:DeferredSalesCommissionsMember2021-12-310001333986eqh:AllianceBernsteinMembereqh:DeferredSalesCommissionsMember2020-12-310001333986us-gaap:ComputerSoftwareIntangibleAssetMembersrt:Mi</w:t>
      </w:r>
      <w:r>
        <w:rPr>
          <w:rFonts w:eastAsia="Times New Roman"/>
          <w:vanish/>
        </w:rPr>
        <w:t>nimumMember2021-01-012021-12-310001333986srt:MaximumMemberus-gaap:ComputerSoftwareIntangibleAssetMember2021-01-012021-12-310001333986eqh:ABHoldingMember2021-01-012021-12-310001333986us-gaap:CollateralizedLoanObligationsMemberus-gaap:VariableInterestEntityP</w:t>
      </w:r>
      <w:r>
        <w:rPr>
          <w:rFonts w:eastAsia="Times New Roman"/>
          <w:vanish/>
        </w:rPr>
        <w:t>rimaryBeneficiaryMember2021-12-310001333986us-gaap:CollateralizedLoanObligationsMemberus-gaap:VariableInterestEntityPrimaryBeneficiaryMember2020-12-310001333986eqh:ConsolidatedLimitedPartnershipsMember2021-12-310001333986eqh:ConsolidatedLimitedPartnerships</w:t>
      </w:r>
      <w:r>
        <w:rPr>
          <w:rFonts w:eastAsia="Times New Roman"/>
          <w:vanish/>
        </w:rPr>
        <w:t>Member2020-12-310001333986eqh:ABSponsoredInvestmentFundsMemberus-gaap:VariableInterestEntityPrimaryBeneficiaryMember2021-12-310001333986eqh:ABSponsoredInvestmentFundsMemberus-gaap:VariableInterestEntityPrimaryBeneficiaryMember2020-12-310001333986eqh:ABSpon</w:t>
      </w:r>
      <w:r>
        <w:rPr>
          <w:rFonts w:eastAsia="Times New Roman"/>
          <w:vanish/>
        </w:rPr>
        <w:t>soredInvestmentFundsMembereqh:VOEConsolidationModelMember2021-12-310001333986eqh:ABSponsoredInvestmentFundsMembereqh:VOEConsolidationModelMember2020-12-310001333986eqh:NonConsolidatedVairableInterestEntitiesVIEMember2021-12-310001333986eqh:NonConsolidatedV</w:t>
      </w:r>
      <w:r>
        <w:rPr>
          <w:rFonts w:eastAsia="Times New Roman"/>
          <w:vanish/>
        </w:rPr>
        <w:t>airableInterestEntitiesVIEMember2020-12-310001333986eqh:ABSponsoredInvestmentFundsMembereqh:NonConsolidatedVairableInterestEntitiesVIEMember2021-12-310001333986eqh:ABSponsoredInvestmentFundsMembereqh:NonConsolidatedVairableInterestEntitiesVIEMember2020-12-</w:t>
      </w:r>
      <w:r>
        <w:rPr>
          <w:rFonts w:eastAsia="Times New Roman"/>
          <w:vanish/>
        </w:rPr>
        <w:t>310001333986eqh:A5yearHistoricalAverageOverA10yearPeriodMember2021-12-310001333986eqh:LongtermLapsesPartialWithdrawalRatesAndElectionAssumptionsUpdatesMember2021-01-012021-12-310001333986eqh:LongtermLapsesPartialWithdrawalRatesAndElectionAssumptionsUpdates</w:t>
      </w:r>
      <w:r>
        <w:rPr>
          <w:rFonts w:eastAsia="Times New Roman"/>
          <w:vanish/>
        </w:rPr>
        <w:t>Member2020-01-012020-12-310001333986eqh:LongtermLapsesPartialWithdrawalRatesAndElectionAssumptionsUpdatesMember2020-01-012020-03-310001333986eqh:LongtermLapsesPartialWithdrawalRatesAndElectionAssumptionsUpdatesMember2019-01-012019-12-310001333986eqh:Econom</w:t>
      </w:r>
      <w:r>
        <w:rPr>
          <w:rFonts w:eastAsia="Times New Roman"/>
          <w:vanish/>
        </w:rPr>
        <w:t>icScenarioGeneratorMember2020-01-012020-12-310001333986us-gaap:FixedMaturitiesMember2021-12-310001333986us-gaap:FixedMaturitiesMember2020-12-310001333986us-gaap:FixedMaturitiesMember2021-01-012021-12-310001333986us-gaap:FixedMaturitiesMember2020-01-012020-</w:t>
      </w:r>
      <w:r>
        <w:rPr>
          <w:rFonts w:eastAsia="Times New Roman"/>
          <w:vanish/>
        </w:rPr>
        <w:t>12-310001333986us-gaap:CorporateDebtSecuritiesMember2021-12-310001333986us-gaap:USTreasuryAndGovernmentMember2021-12-310001333986us-gaap:USStatesAndPoliticalSubdivisionsMember2021-12-310001333986us-gaap:ForeignGovernmentDebtSecuritiesMember2021-12-31000133</w:t>
      </w:r>
      <w:r>
        <w:rPr>
          <w:rFonts w:eastAsia="Times New Roman"/>
          <w:vanish/>
        </w:rPr>
        <w:t>3986us-gaap:ResidentialMortgageBackedSecuritiesMember2021-12-310001333986us-gaap:AssetBackedSecuritiesMember2021-12-310001333986us-gaap:CommercialMortgageBackedSecuritiesMember2021-12-310001333986us-gaap:RedeemablePreferredStockMember2021-12-310001333986us</w:t>
      </w:r>
      <w:r>
        <w:rPr>
          <w:rFonts w:eastAsia="Times New Roman"/>
          <w:vanish/>
        </w:rPr>
        <w:t>-gaap:CorporateDebtSecuritiesMember2020-12-310001333986us-gaap:USTreasuryAndGovernmentMember2020-12-310001333986us-gaap:USStatesAndPoliticalSubdivisionsMember2020-12-310001333986us-gaap:ForeignGovernmentDebtSecuritiesMember2020-12-310001333986us-gaap:Resid</w:t>
      </w:r>
      <w:r>
        <w:rPr>
          <w:rFonts w:eastAsia="Times New Roman"/>
          <w:vanish/>
        </w:rPr>
        <w:t>entialMortgageBackedSecuritiesMember2020-12-310001333986us-gaap:AssetBackedSecuritiesMember2020-12-310001333986us-gaap:CommercialMortgageBackedSecuritiesMember2020-12-310001333986us-gaap:RedeemablePreferredStockMember2020-12-310001333986eqh:NetUnrealizedGa</w:t>
      </w:r>
      <w:r>
        <w:rPr>
          <w:rFonts w:eastAsia="Times New Roman"/>
          <w:vanish/>
        </w:rPr>
        <w:t>insLossesOnInvestmentsMemberus-gaap:AccumulatedNetUnrealizedInvestmentGainLossMembereqh:UnrealizedInvestmentGainsLossesAllOtherMember2020-12-310001333986us-gaap:AccumulatedNetUnrealizedInvestmentGainLossMembereqh:DacMembereqh:UnrealizedInvestmentGainsLosse</w:t>
      </w:r>
      <w:r>
        <w:rPr>
          <w:rFonts w:eastAsia="Times New Roman"/>
          <w:vanish/>
        </w:rPr>
        <w:t>sAllOtherMember2020-12-310001333986eqh:PolicyholdersLiabilitiesMemberus-gaap:AccumulatedNetUnrealizedInvestmentGainLossMembereqh:UnrealizedInvestmentGainsLossesAllOtherMember2020-12-310001333986eqh:DeferredIncomeTaxAssetLiabilityMemberus-gaap:AccumulatedNe</w:t>
      </w:r>
      <w:r>
        <w:rPr>
          <w:rFonts w:eastAsia="Times New Roman"/>
          <w:vanish/>
        </w:rPr>
        <w:t>tUnrealizedInvestmentGainLossMembereqh:UnrealizedInvestmentGainsLossesAllOtherMember2020-12-310001333986eqh:AociGainLossesRelatedToNetUnrealizedInvestmentGainsLossesMemberus-gaap:AccumulatedNetUnrealizedInvestmentGainLossMembereqh:UnrealizedInvestmentGains</w:t>
      </w:r>
      <w:r>
        <w:rPr>
          <w:rFonts w:eastAsia="Times New Roman"/>
          <w:vanish/>
        </w:rPr>
        <w:t>LossesAllOtherMember2020-12-310001333986eqh:NetUnrealizedGainsLossesOnInvestmentsMemberus-gaap:AccumulatedNetUnrealizedInvestmentGainLossMembereqh:UnrealizedInvestmentGainsLossesAllOtherMember2021-01-012021-12-310001333986eqh:AociGainLossesRelatedToNetUnre</w:t>
      </w:r>
      <w:r>
        <w:rPr>
          <w:rFonts w:eastAsia="Times New Roman"/>
          <w:vanish/>
        </w:rPr>
        <w:t>alizedInvestmentGainsLossesMemberus-gaap:AccumulatedNetUnrealizedInvestmentGainLossMembereqh:UnrealizedInvestmentGainsLossesAllOtherMember2021-01-012021-12-310001333986us-gaap:AccumulatedNetUnrealizedInvestmentGainLossMembereqh:DacMembereqh:UnrealizedInves</w:t>
      </w:r>
      <w:r>
        <w:rPr>
          <w:rFonts w:eastAsia="Times New Roman"/>
          <w:vanish/>
        </w:rPr>
        <w:t>tmentGainsLossesAllOtherMember2021-01-012021-12-310001333986eqh:PolicyholdersLiabilitiesMemberus-gaap:AccumulatedNetUnrealizedInvestmentGainLossMembereqh:UnrealizedInvestmentGainsLossesAllOtherMember2021-01-012021-12-310001333986eqh:DeferredIncomeTaxAssetL</w:t>
      </w:r>
      <w:r>
        <w:rPr>
          <w:rFonts w:eastAsia="Times New Roman"/>
          <w:vanish/>
        </w:rPr>
        <w:t>iabilityMemberus-gaap:AccumulatedNetUnrealizedInvestmentGainLossMembereqh:UnrealizedInvestmentGainsLossesAllOtherMember2021-01-012021-12-310001333986us-gaap:AccumulatedNetUnrealizedInvestmentGainLossMembereqh:DacMembereqh:UnrealizedInvestmentGainsLossesAll</w:t>
      </w:r>
      <w:r>
        <w:rPr>
          <w:rFonts w:eastAsia="Times New Roman"/>
          <w:vanish/>
        </w:rPr>
        <w:t>OtherMemberus-gaap:FixedMaturitiesMember2021-01-012021-12-310001333986eqh:PolicyholdersLiabilitiesMemberus-gaap:AccumulatedNetUnrealizedInvestmentGainLossMembereqh:UnrealizedInvestmentGainsLossesAllOtherMemberus-gaap:FixedMaturitiesMember2021-01-012021-12-</w:t>
      </w:r>
      <w:r>
        <w:rPr>
          <w:rFonts w:eastAsia="Times New Roman"/>
          <w:vanish/>
        </w:rPr>
        <w:t>310001333986eqh:DeferredIncomeTaxAssetLiabilityMemberus-gaap:AccumulatedNetUnrealizedInvestmentGainLossMembereqh:UnrealizedInvestmentGainsLossesAllOtherMemberus-gaap:FixedMaturitiesMember2021-01-012021-12-310001333986eqh:NetUnrealizedGainsLossesOnInvestmen</w:t>
      </w:r>
      <w:r>
        <w:rPr>
          <w:rFonts w:eastAsia="Times New Roman"/>
          <w:vanish/>
        </w:rPr>
        <w:t>tsMemberus-gaap:AccumulatedNetUnrealizedInvestmentGainLossMembereqh:UnrealizedInvestmentGainsLossesAllOtherMember2021-12-310001333986us-gaap:AccumulatedNetUnrealizedInvestmentGainLossMembereqh:DacMembereqh:UnrealizedInvestmentGainsLossesAllOtherMember2021-</w:t>
      </w:r>
      <w:r>
        <w:rPr>
          <w:rFonts w:eastAsia="Times New Roman"/>
          <w:vanish/>
        </w:rPr>
        <w:t>12-310001333986eqh:PolicyholdersLiabilitiesMemberus-gaap:AccumulatedNetUnrealizedInvestmentGainLossMembereqh:UnrealizedInvestmentGainsLossesAllOtherMember2021-12-310001333986eqh:DeferredIncomeTaxAssetLiabilityMemberus-gaap:AccumulatedNetUnrealizedInvestmen</w:t>
      </w:r>
      <w:r>
        <w:rPr>
          <w:rFonts w:eastAsia="Times New Roman"/>
          <w:vanish/>
        </w:rPr>
        <w:t>tGainLossMembereqh:UnrealizedInvestmentGainsLossesAllOtherMember2021-12-310001333986eqh:AociGainLossesRelatedToNetUnrealizedInvestmentGainsLossesMemberus-gaap:AccumulatedNetUnrealizedInvestmentGainLossMembereqh:UnrealizedInvestmentGainsLossesAllOtherMember</w:t>
      </w:r>
      <w:r>
        <w:rPr>
          <w:rFonts w:eastAsia="Times New Roman"/>
          <w:vanish/>
        </w:rPr>
        <w:t>2021-12-310001333986eqh:NetUnrealizedGainsLossesOnInvestmentsMemberus-gaap:AccumulatedNetUnrealizedInvestmentGainLossMembereqh:UnrealizedInvestmentGainsLossesAllOtherMember2019-12-310001333986us-gaap:AccumulatedNetUnrealizedInvestmentGainLossMembereqh:DacM</w:t>
      </w:r>
      <w:r>
        <w:rPr>
          <w:rFonts w:eastAsia="Times New Roman"/>
          <w:vanish/>
        </w:rPr>
        <w:t>embereqh:UnrealizedInvestmentGainsLossesAllOtherMember2019-12-310001333986eqh:PolicyholdersLiabilitiesMemberus-gaap:AccumulatedNetUnrealizedInvestmentGainLossMembereqh:UnrealizedInvestmentGainsLossesAllOtherMember2019-12-310001333986eqh:DeferredIncomeTaxAs</w:t>
      </w:r>
      <w:r>
        <w:rPr>
          <w:rFonts w:eastAsia="Times New Roman"/>
          <w:vanish/>
        </w:rPr>
        <w:t>setLiabilityMemberus-gaap:AccumulatedNetUnrealizedInvestmentGainLossMembereqh:UnrealizedInvestmentGainsLossesAllOtherMember2019-12-310001333986eqh:AociGainLossesRelatedToNetUnrealizedInvestmentGainsLossesMemberus-gaap:AccumulatedNetUnrealizedInvestmentGain</w:t>
      </w:r>
      <w:r>
        <w:rPr>
          <w:rFonts w:eastAsia="Times New Roman"/>
          <w:vanish/>
        </w:rPr>
        <w:t>LossMembereqh:UnrealizedInvestmentGainsLossesAllOtherMember2019-12-310001333986eqh:NetUnrealizedGainsLossesOnInvestmentsMemberus-gaap:AccumulatedNetUnrealizedInvestmentGainLossMembereqh:UnrealizedInvestmentGainsLossesAllOtherMember2020-01-012020-12-3100013</w:t>
      </w:r>
      <w:r>
        <w:rPr>
          <w:rFonts w:eastAsia="Times New Roman"/>
          <w:vanish/>
        </w:rPr>
        <w:t>33986eqh:AociGainLossesRelatedToNetUnrealizedInvestmentGainsLossesMemberus-gaap:AccumulatedNetUnrealizedInvestmentGainLossMembereqh:UnrealizedInvestmentGainsLossesAllOtherMember2020-01-012020-12-310001333986us-gaap:AccumulatedNetUnrealizedInvestmentGainLos</w:t>
      </w:r>
      <w:r>
        <w:rPr>
          <w:rFonts w:eastAsia="Times New Roman"/>
          <w:vanish/>
        </w:rPr>
        <w:t>sMembereqh:DacMembereqh:UnrealizedInvestmentGainsLossesAllOtherMember2020-01-012020-12-310001333986eqh:PolicyholdersLiabilitiesMemberus-gaap:AccumulatedNetUnrealizedInvestmentGainLossMembereqh:UnrealizedInvestmentGainsLossesAllOtherMember2020-01-012020-12-</w:t>
      </w:r>
      <w:r>
        <w:rPr>
          <w:rFonts w:eastAsia="Times New Roman"/>
          <w:vanish/>
        </w:rPr>
        <w:t>310001333986eqh:DeferredIncomeTaxAssetLiabilityMemberus-gaap:AccumulatedNetUnrealizedInvestmentGainLossMembereqh:UnrealizedInvestmentGainsLossesAllOtherMember2020-01-012020-12-310001333986us-gaap:AccumulatedNetUnrealizedInvestmentGainLossMembereqh:DacMembe</w:t>
      </w:r>
      <w:r>
        <w:rPr>
          <w:rFonts w:eastAsia="Times New Roman"/>
          <w:vanish/>
        </w:rPr>
        <w:t>reqh:UnrealizedInvestmentGainsLossesAllOtherMemberus-gaap:FixedMaturitiesMember2020-01-012020-12-310001333986eqh:PolicyholdersLiabilitiesMemberus-gaap:AccumulatedNetUnrealizedInvestmentGainLossMembereqh:UnrealizedInvestmentGainsLossesAllOtherMemberus-gaap:</w:t>
      </w:r>
      <w:r>
        <w:rPr>
          <w:rFonts w:eastAsia="Times New Roman"/>
          <w:vanish/>
        </w:rPr>
        <w:t>FixedMaturitiesMember2020-01-012020-12-310001333986eqh:DeferredIncomeTaxAssetLiabilityMemberus-gaap:AccumulatedNetUnrealizedInvestmentGainLossMembereqh:UnrealizedInvestmentGainsLossesAllOtherMemberus-gaap:FixedMaturitiesMember2020-01-012020-12-310001333986</w:t>
      </w:r>
      <w:r>
        <w:rPr>
          <w:rFonts w:eastAsia="Times New Roman"/>
          <w:vanish/>
        </w:rPr>
        <w:t>eqh:NetUnrealizedGainsLossesOnInvestmentsMemberus-gaap:AccumulatedNetUnrealizedInvestmentGainLossMembereqh:UnrealizedInvestmentGainsLossesAllOtherMember2018-12-310001333986us-gaap:AccumulatedNetUnrealizedInvestmentGainLossMembereqh:DacMembereqh:UnrealizedI</w:t>
      </w:r>
      <w:r>
        <w:rPr>
          <w:rFonts w:eastAsia="Times New Roman"/>
          <w:vanish/>
        </w:rPr>
        <w:t>nvestmentGainsLossesAllOtherMember2018-12-310001333986eqh:PolicyholdersLiabilitiesMemberus-gaap:AccumulatedNetUnrealizedInvestmentGainLossMembereqh:UnrealizedInvestmentGainsLossesAllOtherMember2018-12-310001333986eqh:DeferredIncomeTaxAssetLiabilityMemberus</w:t>
      </w:r>
      <w:r>
        <w:rPr>
          <w:rFonts w:eastAsia="Times New Roman"/>
          <w:vanish/>
        </w:rPr>
        <w:t>-gaap:AccumulatedNetUnrealizedInvestmentGainLossMembereqh:UnrealizedInvestmentGainsLossesAllOtherMember2018-12-310001333986eqh:AociGainLossesRelatedToNetUnrealizedInvestmentGainsLossesMemberus-gaap:AccumulatedNetUnrealizedInvestmentGainLossMembereqh:Unreal</w:t>
      </w:r>
      <w:r>
        <w:rPr>
          <w:rFonts w:eastAsia="Times New Roman"/>
          <w:vanish/>
        </w:rPr>
        <w:t>izedInvestmentGainsLossesAllOtherMember2018-12-310001333986eqh:NetUnrealizedGainsLossesOnInvestmentsMemberus-gaap:AccumulatedNetUnrealizedInvestmentGainLossMembereqh:UnrealizedInvestmentGainsLossesAllOtherMember2019-01-012019-12-310001333986eqh:AociGainLos</w:t>
      </w:r>
      <w:r>
        <w:rPr>
          <w:rFonts w:eastAsia="Times New Roman"/>
          <w:vanish/>
        </w:rPr>
        <w:t>sesRelatedToNetUnrealizedInvestmentGainsLossesMemberus-gaap:AccumulatedNetUnrealizedInvestmentGainLossMembereqh:UnrealizedInvestmentGainsLossesAllOtherMember2019-01-012019-12-310001333986us-gaap:AccumulatedNetUnrealizedInvestmentGainLossMembereqh:DacMember</w:t>
      </w:r>
      <w:r>
        <w:rPr>
          <w:rFonts w:eastAsia="Times New Roman"/>
          <w:vanish/>
        </w:rPr>
        <w:t>eqh:UnrealizedInvestmentGainsLossesAllOtherMember2019-01-012019-12-310001333986eqh:PolicyholdersLiabilitiesMemberus-gaap:AccumulatedNetUnrealizedInvestmentGainLossMembereqh:UnrealizedInvestmentGainsLossesAllOtherMember2019-01-012019-12-310001333986eqh:Defe</w:t>
      </w:r>
      <w:r>
        <w:rPr>
          <w:rFonts w:eastAsia="Times New Roman"/>
          <w:vanish/>
        </w:rPr>
        <w:t>rredIncomeTaxAssetLiabilityMemberus-gaap:AccumulatedNetUnrealizedInvestmentGainLossMembereqh:UnrealizedInvestmentGainsLossesAllOtherMember2019-01-012019-12-310001333986us-gaap:AccumulatedNetUnrealizedInvestmentGainLossMembereqh:DacMembereqh:UnrealizedInves</w:t>
      </w:r>
      <w:r>
        <w:rPr>
          <w:rFonts w:eastAsia="Times New Roman"/>
          <w:vanish/>
        </w:rPr>
        <w:t>tmentGainsLossesAllOtherMemberus-gaap:FixedMaturitiesMember2019-01-012019-12-310001333986eqh:PolicyholdersLiabilitiesMemberus-gaap:AccumulatedNetUnrealizedInvestmentGainLossMembereqh:UnrealizedInvestmentGainsLossesAllOtherMemberus-gaap:FixedMaturitiesMembe</w:t>
      </w:r>
      <w:r>
        <w:rPr>
          <w:rFonts w:eastAsia="Times New Roman"/>
          <w:vanish/>
        </w:rPr>
        <w:t>r2019-01-012019-12-310001333986eqh:DeferredIncomeTaxAssetLiabilityMemberus-gaap:AccumulatedNetUnrealizedInvestmentGainLossMembereqh:UnrealizedInvestmentGainsLossesAllOtherMemberus-gaap:FixedMaturitiesMember2019-01-012019-12-31eqh:issue0001333986eqh:OtherTh</w:t>
      </w:r>
      <w:r>
        <w:rPr>
          <w:rFonts w:eastAsia="Times New Roman"/>
          <w:vanish/>
        </w:rPr>
        <w:t>anInvestmentGradeMemberus-gaap:ExternalCreditRatingNonInvestmentGradeMemberus-gaap:FixedMaturitiesMember2021-12-310001333986eqh:OtherThanInvestmentGradeMemberus-gaap:ExternalCreditRatingNonInvestmentGradeMemberus-gaap:FixedMaturitiesMember2020-12-310001333</w:t>
      </w:r>
      <w:r>
        <w:rPr>
          <w:rFonts w:eastAsia="Times New Roman"/>
          <w:vanish/>
        </w:rPr>
        <w:t>986eqh:AgriculturalMortgageLoansMember2021-12-310001333986us-gaap:CommercialLoanMember2021-12-310001333986us-gaap:CommercialLoanMember2020-12-310001333986eqh:AgriculturalMortgageLoansMember2020-12-310001333986us-gaap:CommercialLoanMember2020-01-012020-12-3</w:t>
      </w:r>
      <w:r>
        <w:rPr>
          <w:rFonts w:eastAsia="Times New Roman"/>
          <w:vanish/>
        </w:rPr>
        <w:t>10001333986us-gaap:CommercialLoanMember2021-01-012021-12-310001333986eqh:AgriculturalMortgageLoansMember2020-01-012020-12-310001333986eqh:AgriculturalMortgageLoansMember2021-01-012021-12-310001333986eqh:IndividuallyAssessedMortgageLoansMember2021-12-310001</w:t>
      </w:r>
      <w:r>
        <w:rPr>
          <w:rFonts w:eastAsia="Times New Roman"/>
          <w:vanish/>
        </w:rPr>
        <w:t>333986us-gaap:CommercialRealEstatePortfolioSegmentMember2020-12-310001333986us-gaap:CommercialRealEstatePortfolioSegmentMember2019-12-310001333986us-gaap:CommercialRealEstatePortfolioSegmentMember2021-01-012021-12-310001333986us-gaap:CommercialRealEstatePo</w:t>
      </w:r>
      <w:r>
        <w:rPr>
          <w:rFonts w:eastAsia="Times New Roman"/>
          <w:vanish/>
        </w:rPr>
        <w:t>rtfolioSegmentMember2020-01-012020-12-310001333986us-gaap:CommercialRealEstatePortfolioSegmentMember2021-12-310001333986eqh:AgriculturalRealEstatePortfolioSegmentMember2020-12-310001333986eqh:AgriculturalRealEstatePortfolioSegmentMember2019-12-310001333986</w:t>
      </w:r>
      <w:r>
        <w:rPr>
          <w:rFonts w:eastAsia="Times New Roman"/>
          <w:vanish/>
        </w:rPr>
        <w:t>eqh:AgriculturalRealEstatePortfolioSegmentMember2021-01-012021-12-310001333986eqh:AgriculturalRealEstatePortfolioSegmentMember2020-01-012020-12-310001333986eqh:AgriculturalRealEstatePortfolioSegmentMember2021-12-310001333986us-gaap:CommercialRealEstatePort</w:t>
      </w:r>
      <w:r>
        <w:rPr>
          <w:rFonts w:eastAsia="Times New Roman"/>
          <w:vanish/>
        </w:rPr>
        <w:t>folioSegmentMembereqh:ZeroToFiftyPercentMember2021-12-310001333986us-gaap:CommercialRealEstatePortfolioSegmentMembereqh:FiftyToSeventyPercentMember2021-12-310001333986eqh:SeventyToNinetyPercentMemberus-gaap:CommercialRealEstatePortfolioSegmentMember2021-12</w:t>
      </w:r>
      <w:r>
        <w:rPr>
          <w:rFonts w:eastAsia="Times New Roman"/>
          <w:vanish/>
        </w:rPr>
        <w:t>-310001333986eqh:MoreThanNinetyPercentMemberus-gaap:CommercialRealEstatePortfolioSegmentMember2021-12-310001333986eqh:ZeroToFiftyPercentMembereqh:AgriculturalRealEstatePortfolioSegmentMember2021-12-310001333986eqh:FiftyToSeventyPercentMembereqh:Agricultura</w:t>
      </w:r>
      <w:r>
        <w:rPr>
          <w:rFonts w:eastAsia="Times New Roman"/>
          <w:vanish/>
        </w:rPr>
        <w:t>lRealEstatePortfolioSegmentMember2021-12-310001333986eqh:SeventyToNinetyPercentMembereqh:AgriculturalRealEstatePortfolioSegmentMember2021-12-310001333986eqh:MoreThanNinetyPercentMembereqh:AgriculturalRealEstatePortfolioSegmentMember2021-12-310001333986eqh:</w:t>
      </w:r>
      <w:r>
        <w:rPr>
          <w:rFonts w:eastAsia="Times New Roman"/>
          <w:vanish/>
        </w:rPr>
        <w:t>TotalMortgagesLoanMembereqh:ZeroToFiftyPercentMember2021-12-310001333986eqh:FiftyToSeventyPercentMembereqh:TotalMortgagesLoanMember2021-12-310001333986eqh:SeventyToNinetyPercentMembereqh:TotalMortgagesLoanMember2021-12-310001333986eqh:MoreThanNinetyPercent</w:t>
      </w:r>
      <w:r>
        <w:rPr>
          <w:rFonts w:eastAsia="Times New Roman"/>
          <w:vanish/>
        </w:rPr>
        <w:t>Membereqh:TotalMortgagesLoanMember2021-12-310001333986eqh:TotalMortgagesLoanMember2021-12-310001333986us-gaap:CommercialRealEstatePortfolioSegmentMembereqh:RatioGreaterThan2TimesMember2021-12-310001333986eqh:RatioBetween18To2TimesMemberus-gaap:CommercialRe</w:t>
      </w:r>
      <w:r>
        <w:rPr>
          <w:rFonts w:eastAsia="Times New Roman"/>
          <w:vanish/>
        </w:rPr>
        <w:t>alEstatePortfolioSegmentMember2021-12-310001333986us-gaap:CommercialRealEstatePortfolioSegmentMembereqh:RatioBetween15To18TimesMember2021-12-310001333986us-gaap:CommercialRealEstatePortfolioSegmentMembereqh:RatioBetween12To15TimesMember2021-12-310001333986</w:t>
      </w:r>
      <w:r>
        <w:rPr>
          <w:rFonts w:eastAsia="Times New Roman"/>
          <w:vanish/>
        </w:rPr>
        <w:t>eqh:RatioBetween1To12TimesMemberus-gaap:CommercialRealEstatePortfolioSegmentMember2021-12-310001333986us-gaap:CommercialRealEstatePortfolioSegmentMembereqh:RatioLessThan1TimesMember2021-12-310001333986eqh:RatioGreaterThan2TimesMembereqh:AgriculturalRealEst</w:t>
      </w:r>
      <w:r>
        <w:rPr>
          <w:rFonts w:eastAsia="Times New Roman"/>
          <w:vanish/>
        </w:rPr>
        <w:t>atePortfolioSegmentMember2021-12-310001333986eqh:RatioBetween18To2TimesMembereqh:AgriculturalRealEstatePortfolioSegmentMember2021-12-310001333986eqh:RatioBetween15To18TimesMembereqh:AgriculturalRealEstatePortfolioSegmentMember2021-12-310001333986eqh:RatioB</w:t>
      </w:r>
      <w:r>
        <w:rPr>
          <w:rFonts w:eastAsia="Times New Roman"/>
          <w:vanish/>
        </w:rPr>
        <w:t>etween12To15TimesMembereqh:AgriculturalRealEstatePortfolioSegmentMember2021-12-310001333986eqh:RatioBetween1To12TimesMembereqh:AgriculturalRealEstatePortfolioSegmentMember2021-12-310001333986eqh:RatioLessThan1TimesMembereqh:AgriculturalRealEstatePortfolioS</w:t>
      </w:r>
      <w:r>
        <w:rPr>
          <w:rFonts w:eastAsia="Times New Roman"/>
          <w:vanish/>
        </w:rPr>
        <w:t>egmentMember2021-12-310001333986eqh:TotalMortgagesLoanMembereqh:RatioGreaterThan2TimesMember2021-12-310001333986eqh:RatioBetween18To2TimesMembereqh:TotalMortgagesLoanMember2021-12-310001333986eqh:TotalMortgagesLoanMembereqh:RatioBetween15To18TimesMember202</w:t>
      </w:r>
      <w:r>
        <w:rPr>
          <w:rFonts w:eastAsia="Times New Roman"/>
          <w:vanish/>
        </w:rPr>
        <w:t>1-12-310001333986eqh:TotalMortgagesLoanMembereqh:RatioBetween12To15TimesMember2021-12-310001333986eqh:RatioBetween1To12TimesMembereqh:TotalMortgagesLoanMember2021-12-310001333986eqh:TotalMortgagesLoanMembereqh:RatioLessThan1TimesMember2021-12-310001333986u</w:t>
      </w:r>
      <w:r>
        <w:rPr>
          <w:rFonts w:eastAsia="Times New Roman"/>
          <w:vanish/>
        </w:rPr>
        <w:t>s-gaap:CommercialRealEstatePortfolioSegmentMembereqh:ZeroToFiftyPercentMember2020-12-310001333986us-gaap:CommercialRealEstatePortfolioSegmentMembereqh:FiftyToSeventyPercentMember2020-12-310001333986eqh:SeventyToNinetyPercentMemberus-gaap:CommercialRealEsta</w:t>
      </w:r>
      <w:r>
        <w:rPr>
          <w:rFonts w:eastAsia="Times New Roman"/>
          <w:vanish/>
        </w:rPr>
        <w:t>tePortfolioSegmentMember2020-12-310001333986eqh:MoreThanNinetyPercentMemberus-gaap:CommercialRealEstatePortfolioSegmentMember2020-12-310001333986eqh:ZeroToFiftyPercentMembereqh:AgriculturalRealEstatePortfolioSegmentMember2020-12-310001333986eqh:FiftyToSeve</w:t>
      </w:r>
      <w:r>
        <w:rPr>
          <w:rFonts w:eastAsia="Times New Roman"/>
          <w:vanish/>
        </w:rPr>
        <w:t>ntyPercentMembereqh:AgriculturalRealEstatePortfolioSegmentMember2020-12-310001333986eqh:SeventyToNinetyPercentMembereqh:AgriculturalRealEstatePortfolioSegmentMember2020-12-310001333986eqh:MoreThanNinetyPercentMembereqh:AgriculturalRealEstatePortfolioSegmen</w:t>
      </w:r>
      <w:r>
        <w:rPr>
          <w:rFonts w:eastAsia="Times New Roman"/>
          <w:vanish/>
        </w:rPr>
        <w:t>tMember2020-12-310001333986eqh:TotalMortgagesLoanMembereqh:ZeroToFiftyPercentMember2020-12-310001333986eqh:FiftyToSeventyPercentMembereqh:TotalMortgagesLoanMember2020-12-310001333986eqh:SeventyToNinetyPercentMembereqh:TotalMortgagesLoanMember2020-12-310001</w:t>
      </w:r>
      <w:r>
        <w:rPr>
          <w:rFonts w:eastAsia="Times New Roman"/>
          <w:vanish/>
        </w:rPr>
        <w:t>333986eqh:MoreThanNinetyPercentMembereqh:TotalMortgagesLoanMember2020-12-310001333986eqh:TotalMortgagesLoanMember2020-12-310001333986us-gaap:CommercialRealEstatePortfolioSegmentMembereqh:RatioGreaterThan2TimesMember2020-12-310001333986eqh:RatioBetween18To2</w:t>
      </w:r>
      <w:r>
        <w:rPr>
          <w:rFonts w:eastAsia="Times New Roman"/>
          <w:vanish/>
        </w:rPr>
        <w:t>TimesMemberus-gaap:CommercialRealEstatePortfolioSegmentMember2020-12-310001333986us-gaap:CommercialRealEstatePortfolioSegmentMembereqh:RatioBetween15To18TimesMember2020-12-310001333986us-gaap:CommercialRealEstatePortfolioSegmentMembereqh:RatioBetween12To15</w:t>
      </w:r>
      <w:r>
        <w:rPr>
          <w:rFonts w:eastAsia="Times New Roman"/>
          <w:vanish/>
        </w:rPr>
        <w:t>TimesMember2020-12-310001333986eqh:RatioBetween1To12TimesMemberus-gaap:CommercialRealEstatePortfolioSegmentMember2020-12-310001333986us-gaap:CommercialRealEstatePortfolioSegmentMembereqh:RatioLessThan1TimesMember2020-12-310001333986eqh:RatioGreaterThan2Tim</w:t>
      </w:r>
      <w:r>
        <w:rPr>
          <w:rFonts w:eastAsia="Times New Roman"/>
          <w:vanish/>
        </w:rPr>
        <w:t>esMembereqh:AgriculturalRealEstatePortfolioSegmentMember2020-12-310001333986eqh:RatioBetween18To2TimesMembereqh:AgriculturalRealEstatePortfolioSegmentMember2020-12-310001333986eqh:RatioBetween15To18TimesMembereqh:AgriculturalRealEstatePortfolioSegmentMembe</w:t>
      </w:r>
      <w:r>
        <w:rPr>
          <w:rFonts w:eastAsia="Times New Roman"/>
          <w:vanish/>
        </w:rPr>
        <w:t>r2020-12-310001333986eqh:RatioBetween12To15TimesMembereqh:AgriculturalRealEstatePortfolioSegmentMember2020-12-310001333986eqh:RatioBetween1To12TimesMembereqh:AgriculturalRealEstatePortfolioSegmentMember2020-12-310001333986eqh:RatioLessThan1TimesMembereqh:A</w:t>
      </w:r>
      <w:r>
        <w:rPr>
          <w:rFonts w:eastAsia="Times New Roman"/>
          <w:vanish/>
        </w:rPr>
        <w:t>griculturalRealEstatePortfolioSegmentMember2020-12-310001333986eqh:TotalMortgagesLoanMembereqh:RatioGreaterThan2TimesMember2020-12-310001333986eqh:RatioBetween18To2TimesMembereqh:TotalMortgagesLoanMember2020-12-310001333986eqh:TotalMortgagesLoanMembereqh:R</w:t>
      </w:r>
      <w:r>
        <w:rPr>
          <w:rFonts w:eastAsia="Times New Roman"/>
          <w:vanish/>
        </w:rPr>
        <w:t>atioBetween15To18TimesMember2020-12-310001333986eqh:TotalMortgagesLoanMembereqh:RatioBetween12To15TimesMember2020-12-310001333986eqh:RatioBetween1To12TimesMembereqh:TotalMortgagesLoanMember2020-12-310001333986eqh:TotalMortgagesLoanMembereqh:RatioLessThan1T</w:t>
      </w:r>
      <w:r>
        <w:rPr>
          <w:rFonts w:eastAsia="Times New Roman"/>
          <w:vanish/>
        </w:rPr>
        <w:t>imesMember2020-12-310001333986us-gaap:CommercialRealEstatePortfolioSegmentMemberus-gaap:FinancingReceivables30To59DaysPastDueMember2021-12-310001333986us-gaap:CommercialRealEstatePortfolioSegmentMemberus-gaap:FinancingReceivables60To89DaysPastDueMember2021</w:t>
      </w:r>
      <w:r>
        <w:rPr>
          <w:rFonts w:eastAsia="Times New Roman"/>
          <w:vanish/>
        </w:rPr>
        <w:t>-12-310001333986us-gaap:CommercialRealEstatePortfolioSegmentMemberus-gaap:FinancingReceivablesEqualToGreaterThan90DaysPastDueMember2021-12-310001333986us-gaap:CommercialRealEstatePortfolioSegmentMemberus-gaap:FinancialAssetPastDueMember2021-12-310001333986</w:t>
      </w:r>
      <w:r>
        <w:rPr>
          <w:rFonts w:eastAsia="Times New Roman"/>
          <w:vanish/>
        </w:rPr>
        <w:t>us-gaap:CommercialRealEstatePortfolioSegmentMemberus-gaap:FinancialAssetNotPastDueMember2021-12-310001333986us-gaap:FinancingReceivables30To59DaysPastDueMembereqh:AgriculturalRealEstatePortfolioSegmentMember2021-12-310001333986us-gaap:FinancingReceivables6</w:t>
      </w:r>
      <w:r>
        <w:rPr>
          <w:rFonts w:eastAsia="Times New Roman"/>
          <w:vanish/>
        </w:rPr>
        <w:t>0To89DaysPastDueMembereqh:AgriculturalRealEstatePortfolioSegmentMember2021-12-310001333986us-gaap:FinancingReceivablesEqualToGreaterThan90DaysPastDueMembereqh:AgriculturalRealEstatePortfolioSegmentMember2021-12-310001333986us-gaap:FinancialAssetPastDueMemb</w:t>
      </w:r>
      <w:r>
        <w:rPr>
          <w:rFonts w:eastAsia="Times New Roman"/>
          <w:vanish/>
        </w:rPr>
        <w:t>ereqh:AgriculturalRealEstatePortfolioSegmentMember2021-12-310001333986us-gaap:FinancialAssetNotPastDueMembereqh:AgriculturalRealEstatePortfolioSegmentMember2021-12-310001333986us-gaap:FinancingReceivables30To59DaysPastDueMember2021-12-310001333986us-gaap:F</w:t>
      </w:r>
      <w:r>
        <w:rPr>
          <w:rFonts w:eastAsia="Times New Roman"/>
          <w:vanish/>
        </w:rPr>
        <w:t>inancingReceivables60To89DaysPastDueMember2021-12-310001333986us-gaap:FinancingReceivablesEqualToGreaterThan90DaysPastDueMember2021-12-310001333986us-gaap:FinancialAssetPastDueMember2021-12-310001333986us-gaap:FinancialAssetNotPastDueMember2021-12-31000133</w:t>
      </w:r>
      <w:r>
        <w:rPr>
          <w:rFonts w:eastAsia="Times New Roman"/>
          <w:vanish/>
        </w:rPr>
        <w:t>3986us-gaap:CommercialRealEstatePortfolioSegmentMemberus-gaap:FinancingReceivables30To59DaysPastDueMember2020-12-310001333986us-gaap:CommercialRealEstatePortfolioSegmentMemberus-gaap:FinancingReceivables60To89DaysPastDueMember2020-12-310001333986us-gaap:Co</w:t>
      </w:r>
      <w:r>
        <w:rPr>
          <w:rFonts w:eastAsia="Times New Roman"/>
          <w:vanish/>
        </w:rPr>
        <w:t>mmercialRealEstatePortfolioSegmentMemberus-gaap:FinancingReceivablesEqualToGreaterThan90DaysPastDueMember2020-12-310001333986us-gaap:CommercialRealEstatePortfolioSegmentMemberus-gaap:FinancialAssetPastDueMember2020-12-310001333986us-gaap:CommercialRealEsta</w:t>
      </w:r>
      <w:r>
        <w:rPr>
          <w:rFonts w:eastAsia="Times New Roman"/>
          <w:vanish/>
        </w:rPr>
        <w:t>tePortfolioSegmentMemberus-gaap:FinancialAssetNotPastDueMember2020-12-310001333986us-gaap:FinancingReceivables30To59DaysPastDueMembereqh:AgriculturalRealEstatePortfolioSegmentMember2020-12-310001333986us-gaap:FinancingReceivables60To89DaysPastDueMembereqh:</w:t>
      </w:r>
      <w:r>
        <w:rPr>
          <w:rFonts w:eastAsia="Times New Roman"/>
          <w:vanish/>
        </w:rPr>
        <w:t>AgriculturalRealEstatePortfolioSegmentMember2020-12-310001333986us-gaap:FinancingReceivablesEqualToGreaterThan90DaysPastDueMembereqh:AgriculturalRealEstatePortfolioSegmentMember2020-12-310001333986us-gaap:FinancialAssetPastDueMembereqh:AgriculturalRealEsta</w:t>
      </w:r>
      <w:r>
        <w:rPr>
          <w:rFonts w:eastAsia="Times New Roman"/>
          <w:vanish/>
        </w:rPr>
        <w:t>tePortfolioSegmentMember2020-12-310001333986us-gaap:FinancialAssetNotPastDueMembereqh:AgriculturalRealEstatePortfolioSegmentMember2020-12-310001333986us-gaap:FinancingReceivables30To59DaysPastDueMember2020-12-310001333986us-gaap:FinancingReceivables60To89D</w:t>
      </w:r>
      <w:r>
        <w:rPr>
          <w:rFonts w:eastAsia="Times New Roman"/>
          <w:vanish/>
        </w:rPr>
        <w:t>aysPastDueMember2020-12-310001333986us-gaap:FinancingReceivablesEqualToGreaterThan90DaysPastDueMember2020-12-310001333986us-gaap:FinancialAssetPastDueMember2020-12-310001333986us-gaap:FinancialAssetNotPastDueMember2020-12-310001333986us-gaap:FairValueMeasu</w:t>
      </w:r>
      <w:r>
        <w:rPr>
          <w:rFonts w:eastAsia="Times New Roman"/>
          <w:vanish/>
        </w:rPr>
        <w:t>rementsRecurringMember2021-12-310001333986us-gaap:FairValueMeasurementsRecurringMember2020-12-310001333986us-gaap:FixedMaturitiesMember2021-01-012021-12-310001333986us-gaap:FixedMaturitiesMember2020-01-012020-12-310001333986us-gaap:FixedMaturitiesMember201</w:t>
      </w:r>
      <w:r>
        <w:rPr>
          <w:rFonts w:eastAsia="Times New Roman"/>
          <w:vanish/>
        </w:rPr>
        <w:t>9-01-012019-12-310001333986us-gaap:MortgagesMember2021-01-012021-12-310001333986us-gaap:MortgagesMember2020-01-012020-12-310001333986us-gaap:MortgagesMember2019-01-012019-12-310001333986us-gaap:EquityMethodInvestmentsMember2021-01-012021-12-310001333986us-</w:t>
      </w:r>
      <w:r>
        <w:rPr>
          <w:rFonts w:eastAsia="Times New Roman"/>
          <w:vanish/>
        </w:rPr>
        <w:t>gaap:EquityMethodInvestmentsMember2020-01-012020-12-310001333986us-gaap:EquityMethodInvestmentsMember2019-01-012019-12-310001333986us-gaap:PolicyLoansMember2021-01-012021-12-310001333986us-gaap:PolicyLoansMember2020-01-012020-12-310001333986us-gaap:PolicyL</w:t>
      </w:r>
      <w:r>
        <w:rPr>
          <w:rFonts w:eastAsia="Times New Roman"/>
          <w:vanish/>
        </w:rPr>
        <w:t>oansMember2019-01-012019-12-310001333986us-gaap:TradingAssetsExcludingDebtAndEquitySecuritiesMember2021-01-012021-12-310001333986us-gaap:TradingAssetsExcludingDebtAndEquitySecuritiesMember2020-01-012020-12-310001333986us-gaap:TradingAssetsExcludingDebtAndE</w:t>
      </w:r>
      <w:r>
        <w:rPr>
          <w:rFonts w:eastAsia="Times New Roman"/>
          <w:vanish/>
        </w:rPr>
        <w:t>quitySecuritiesMember2019-01-012019-12-310001333986us-gaap:OtherInvestmentsMember2021-01-012021-12-310001333986us-gaap:OtherInvestmentsMember2020-01-012020-12-310001333986us-gaap:OtherInvestmentsMember2019-01-012019-12-310001333986eqh:FixedMaturitiesFairVa</w:t>
      </w:r>
      <w:r>
        <w:rPr>
          <w:rFonts w:eastAsia="Times New Roman"/>
          <w:vanish/>
        </w:rPr>
        <w:t>lueUsingFairValueOptionMember2021-01-012021-12-310001333986eqh:FixedMaturitiesFairValueUsingFairValueOptionMember2020-01-012020-12-310001333986eqh:FixedMaturitiesFairValueUsingFairValueOptionMember2019-01-012019-12-310001333986us-gaap:DesignatedAsHedgingIn</w:t>
      </w:r>
      <w:r>
        <w:rPr>
          <w:rFonts w:eastAsia="Times New Roman"/>
          <w:vanish/>
        </w:rPr>
        <w:t>strumentMemberus-gaap:CashFlowHedgingMemberus-gaap:CurrencySwapMember2021-12-310001333986us-gaap:DesignatedAsHedgingInstrumentMemberus-gaap:CashFlowHedgingMemberus-gaap:CurrencySwapMember2020-12-310001333986us-gaap:DesignatedAsHedgingInstrumentMemberus-gaa</w:t>
      </w:r>
      <w:r>
        <w:rPr>
          <w:rFonts w:eastAsia="Times New Roman"/>
          <w:vanish/>
        </w:rPr>
        <w:t>p:CashFlowHedgingMemberus-gaap:InterestRateSwapMember2021-12-310001333986us-gaap:DesignatedAsHedgingInstrumentMemberus-gaap:CashFlowHedgingMemberus-gaap:InterestRateSwapMember2020-12-310001333986us-gaap:DesignatedAsHedgingInstrumentMemberus-gaap:CashFlowHe</w:t>
      </w:r>
      <w:r>
        <w:rPr>
          <w:rFonts w:eastAsia="Times New Roman"/>
          <w:vanish/>
        </w:rPr>
        <w:t>dgingMember2021-12-310001333986us-gaap:DesignatedAsHedgingInstrumentMemberus-gaap:CashFlowHedgingMember2020-12-310001333986eqh:EquityFuturesMemberus-gaap:NondesignatedMember2021-12-310001333986eqh:EquityFuturesMemberus-gaap:NondesignatedMember2020-12-31000</w:t>
      </w:r>
      <w:r>
        <w:rPr>
          <w:rFonts w:eastAsia="Times New Roman"/>
          <w:vanish/>
        </w:rPr>
        <w:t>1333986us-gaap:NondesignatedMemberus-gaap:EquitySwapMember2021-12-310001333986us-gaap:NondesignatedMemberus-gaap:EquitySwapMember2020-12-310001333986us-gaap:NondesignatedMemberus-gaap:StockOptionMember2021-12-310001333986us-gaap:NondesignatedMemberus-gaap:</w:t>
      </w:r>
      <w:r>
        <w:rPr>
          <w:rFonts w:eastAsia="Times New Roman"/>
          <w:vanish/>
        </w:rPr>
        <w:t>StockOptionMember2020-12-310001333986eqh:InterestRateFuturesMemberus-gaap:NondesignatedMember2021-12-310001333986eqh:InterestRateFuturesMemberus-gaap:NondesignatedMember2020-12-310001333986us-gaap:NondesignatedMemberus-gaap:InterestRateSwapMember2021-12-31</w:t>
      </w:r>
      <w:r>
        <w:rPr>
          <w:rFonts w:eastAsia="Times New Roman"/>
          <w:vanish/>
        </w:rPr>
        <w:t>0001333986us-gaap:NondesignatedMemberus-gaap:InterestRateSwapMember2020-12-310001333986us-gaap:InterestRateSwaptionMemberus-gaap:NondesignatedMember2021-12-310001333986us-gaap:InterestRateSwaptionMemberus-gaap:NondesignatedMember2020-12-310001333986us-gaap</w:t>
      </w:r>
      <w:r>
        <w:rPr>
          <w:rFonts w:eastAsia="Times New Roman"/>
          <w:vanish/>
        </w:rPr>
        <w:t>:CreditDefaultSwapMemberus-gaap:NondesignatedMember2021-12-310001333986us-gaap:CreditDefaultSwapMemberus-gaap:NondesignatedMember2020-12-310001333986us-gaap:NondesignatedMemberus-gaap:CurrencySwapMember2021-12-310001333986us-gaap:NondesignatedMemberus-gaap</w:t>
      </w:r>
      <w:r>
        <w:rPr>
          <w:rFonts w:eastAsia="Times New Roman"/>
          <w:vanish/>
        </w:rPr>
        <w:t>:CurrencySwapMember2020-12-310001333986eqh:CurrencyFowardMemberus-gaap:NondesignatedMember2021-12-310001333986eqh:CurrencyFowardMemberus-gaap:NondesignatedMember2020-12-310001333986us-gaap:NondesignatedMembereqh:MarginMember2021-12-310001333986us-gaap:Nond</w:t>
      </w:r>
      <w:r>
        <w:rPr>
          <w:rFonts w:eastAsia="Times New Roman"/>
          <w:vanish/>
        </w:rPr>
        <w:t>esignatedMembereqh:MarginMember2020-12-310001333986us-gaap:NondesignatedMemberus-gaap:CollateralizedSecuritiesMember2021-12-310001333986us-gaap:NondesignatedMemberus-gaap:CollateralizedSecuritiesMember2020-12-310001333986us-gaap:NondesignatedMember2021-12-</w:t>
      </w:r>
      <w:r>
        <w:rPr>
          <w:rFonts w:eastAsia="Times New Roman"/>
          <w:vanish/>
        </w:rPr>
        <w:t>310001333986us-gaap:NondesignatedMember2020-12-310001333986eqh:EmbeddedDerivativeDueFromReinsuranceReinsurersMember2021-12-310001333986eqh:EmbeddedDerivativeDueFromReinsuranceReinsurersMember2020-12-310001333986eqh:EmbeddedDerivativeGMIBReinsuranceMember20</w:t>
      </w:r>
      <w:r>
        <w:rPr>
          <w:rFonts w:eastAsia="Times New Roman"/>
          <w:vanish/>
        </w:rPr>
        <w:t>21-12-310001333986eqh:EmbeddedDerivativeGMIBReinsuranceMember2020-12-310001333986us-gaap:GuaranteedMinimumWithdrawalBenefitMember2021-12-310001333986us-gaap:GuaranteedMinimumWithdrawalBenefitMember2020-12-310001333986eqh:EmbeddedDerivativeNonGMxBInsuranceP</w:t>
      </w:r>
      <w:r>
        <w:rPr>
          <w:rFonts w:eastAsia="Times New Roman"/>
          <w:vanish/>
        </w:rPr>
        <w:t>roductsMember2021-12-310001333986eqh:EmbeddedDerivativeNonGMxBInsuranceProductsMember2020-12-310001333986us-gaap:EmbeddedDerivativeFinancialInstrumentsMember2021-12-310001333986us-gaap:EmbeddedDerivativeFinancialInstrumentsMember2020-12-310001333986eqh:Der</w:t>
      </w:r>
      <w:r>
        <w:rPr>
          <w:rFonts w:eastAsia="Times New Roman"/>
          <w:vanish/>
        </w:rPr>
        <w:t>ivativeInstrumentsIncludingEmbeddedDerivativeMember2021-12-310001333986eqh:DerivativeInstrumentsIncludingEmbeddedDerivativeMember2020-12-310001333986us-gaap:DesignatedAsHedgingInstrumentMemberus-gaap:CashFlowHedgingMemberus-gaap:CurrencySwapMember2021-01-0</w:t>
      </w:r>
      <w:r>
        <w:rPr>
          <w:rFonts w:eastAsia="Times New Roman"/>
          <w:vanish/>
        </w:rPr>
        <w:t>12021-12-310001333986us-gaap:DesignatedAsHedgingInstrumentMemberus-gaap:CashFlowHedgingMemberus-gaap:CurrencySwapMember2020-01-012020-12-310001333986us-gaap:DesignatedAsHedgingInstrumentMemberus-gaap:CashFlowHedgingMemberus-gaap:CurrencySwapMember2019-01-0</w:t>
      </w:r>
      <w:r>
        <w:rPr>
          <w:rFonts w:eastAsia="Times New Roman"/>
          <w:vanish/>
        </w:rPr>
        <w:t>12019-12-310001333986us-gaap:DesignatedAsHedgingInstrumentMemberus-gaap:CashFlowHedgingMemberus-gaap:InterestRateSwapMember2021-01-012021-12-310001333986us-gaap:DesignatedAsHedgingInstrumentMemberus-gaap:CashFlowHedgingMemberus-gaap:InterestRateSwapMember2</w:t>
      </w:r>
      <w:r>
        <w:rPr>
          <w:rFonts w:eastAsia="Times New Roman"/>
          <w:vanish/>
        </w:rPr>
        <w:t>020-01-012020-12-310001333986us-gaap:DesignatedAsHedgingInstrumentMemberus-gaap:CashFlowHedgingMemberus-gaap:InterestRateSwapMember2019-01-012019-12-310001333986us-gaap:DesignatedAsHedgingInstrumentMemberus-gaap:CashFlowHedgingMember2021-01-012021-12-31000</w:t>
      </w:r>
      <w:r>
        <w:rPr>
          <w:rFonts w:eastAsia="Times New Roman"/>
          <w:vanish/>
        </w:rPr>
        <w:t>1333986us-gaap:DesignatedAsHedgingInstrumentMemberus-gaap:CashFlowHedgingMember2020-01-012020-12-310001333986us-gaap:DesignatedAsHedgingInstrumentMemberus-gaap:CashFlowHedgingMember2019-01-012019-12-310001333986eqh:EquityFuturesMemberus-gaap:NondesignatedM</w:t>
      </w:r>
      <w:r>
        <w:rPr>
          <w:rFonts w:eastAsia="Times New Roman"/>
          <w:vanish/>
        </w:rPr>
        <w:t>ember2021-01-012021-12-310001333986eqh:EquityFuturesMemberus-gaap:NondesignatedMember2020-01-012020-12-310001333986eqh:EquityFuturesMemberus-gaap:NondesignatedMember2019-01-012019-12-310001333986us-gaap:NondesignatedMemberus-gaap:EquitySwapMember2021-01-01</w:t>
      </w:r>
      <w:r>
        <w:rPr>
          <w:rFonts w:eastAsia="Times New Roman"/>
          <w:vanish/>
        </w:rPr>
        <w:t>2021-12-310001333986us-gaap:NondesignatedMemberus-gaap:EquitySwapMember2020-01-012020-12-310001333986us-gaap:NondesignatedMemberus-gaap:EquitySwapMember2019-01-012019-12-310001333986us-gaap:NondesignatedMemberus-gaap:StockOptionMember2021-01-012021-12-3100</w:t>
      </w:r>
      <w:r>
        <w:rPr>
          <w:rFonts w:eastAsia="Times New Roman"/>
          <w:vanish/>
        </w:rPr>
        <w:t>01333986us-gaap:NondesignatedMemberus-gaap:StockOptionMember2020-01-012020-12-310001333986us-gaap:NondesignatedMemberus-gaap:StockOptionMember2019-01-012019-12-310001333986eqh:InterestRateFuturesMemberus-gaap:NondesignatedMember2021-01-012021-12-3100013339</w:t>
      </w:r>
      <w:r>
        <w:rPr>
          <w:rFonts w:eastAsia="Times New Roman"/>
          <w:vanish/>
        </w:rPr>
        <w:t>86eqh:InterestRateFuturesMemberus-gaap:NondesignatedMember2020-01-012020-12-310001333986eqh:InterestRateFuturesMemberus-gaap:NondesignatedMember2019-01-012019-12-310001333986us-gaap:NondesignatedMemberus-gaap:InterestRateSwapMember2021-01-012021-12-3100013</w:t>
      </w:r>
      <w:r>
        <w:rPr>
          <w:rFonts w:eastAsia="Times New Roman"/>
          <w:vanish/>
        </w:rPr>
        <w:t>33986us-gaap:NondesignatedMemberus-gaap:InterestRateSwapMember2020-01-012020-12-310001333986us-gaap:NondesignatedMemberus-gaap:InterestRateSwapMember2019-01-012019-12-310001333986us-gaap:InterestRateSwaptionMemberus-gaap:NondesignatedMember2021-01-012021-1</w:t>
      </w:r>
      <w:r>
        <w:rPr>
          <w:rFonts w:eastAsia="Times New Roman"/>
          <w:vanish/>
        </w:rPr>
        <w:t>2-310001333986us-gaap:InterestRateSwaptionMemberus-gaap:NondesignatedMember2020-01-012020-12-310001333986us-gaap:InterestRateSwaptionMemberus-gaap:NondesignatedMember2019-01-012019-12-310001333986us-gaap:CreditDefaultSwapMemberus-gaap:NondesignatedMember20</w:t>
      </w:r>
      <w:r>
        <w:rPr>
          <w:rFonts w:eastAsia="Times New Roman"/>
          <w:vanish/>
        </w:rPr>
        <w:t>21-01-012021-12-310001333986us-gaap:CreditDefaultSwapMemberus-gaap:NondesignatedMember2020-01-012020-12-310001333986us-gaap:CreditDefaultSwapMemberus-gaap:NondesignatedMember2019-01-012019-12-310001333986us-gaap:NondesignatedMemberus-gaap:CurrencySwapMembe</w:t>
      </w:r>
      <w:r>
        <w:rPr>
          <w:rFonts w:eastAsia="Times New Roman"/>
          <w:vanish/>
        </w:rPr>
        <w:t>r2021-01-012021-12-310001333986us-gaap:NondesignatedMemberus-gaap:CurrencySwapMember2020-01-012020-12-310001333986us-gaap:NondesignatedMemberus-gaap:CurrencySwapMember2019-01-012019-12-310001333986eqh:CurrencyFowardMemberus-gaap:NondesignatedMember2021-01-</w:t>
      </w:r>
      <w:r>
        <w:rPr>
          <w:rFonts w:eastAsia="Times New Roman"/>
          <w:vanish/>
        </w:rPr>
        <w:t>012021-12-310001333986eqh:CurrencyFowardMemberus-gaap:NondesignatedMember2020-01-012020-12-310001333986eqh:CurrencyFowardMemberus-gaap:NondesignatedMember2019-01-012019-12-310001333986us-gaap:NondesignatedMembereqh:MarginMember2021-01-012021-12-31000133398</w:t>
      </w:r>
      <w:r>
        <w:rPr>
          <w:rFonts w:eastAsia="Times New Roman"/>
          <w:vanish/>
        </w:rPr>
        <w:t>6us-gaap:NondesignatedMembereqh:MarginMember2020-01-012020-12-310001333986us-gaap:NondesignatedMembereqh:MarginMember2019-01-012019-12-310001333986us-gaap:NondesignatedMemberus-gaap:CollateralizedSecuritiesMember2021-01-012021-12-310001333986us-gaap:Nondes</w:t>
      </w:r>
      <w:r>
        <w:rPr>
          <w:rFonts w:eastAsia="Times New Roman"/>
          <w:vanish/>
        </w:rPr>
        <w:t>ignatedMemberus-gaap:CollateralizedSecuritiesMember2020-01-012020-12-310001333986us-gaap:NondesignatedMemberus-gaap:CollateralizedSecuritiesMember2019-01-012019-12-310001333986us-gaap:NondesignatedMember2021-01-012021-12-310001333986us-gaap:NondesignatedMe</w:t>
      </w:r>
      <w:r>
        <w:rPr>
          <w:rFonts w:eastAsia="Times New Roman"/>
          <w:vanish/>
        </w:rPr>
        <w:t>mber2020-01-012020-12-310001333986us-gaap:NondesignatedMember2019-01-012019-12-310001333986eqh:EmbeddedDerivativeDueFromReinsuranceReinsurersMember2021-01-012021-12-310001333986eqh:EmbeddedDerivativeDueFromReinsuranceReinsurersMember2020-01-012020-12-31000</w:t>
      </w:r>
      <w:r>
        <w:rPr>
          <w:rFonts w:eastAsia="Times New Roman"/>
          <w:vanish/>
        </w:rPr>
        <w:t>1333986eqh:EmbeddedDerivativeDueFromReinsuranceReinsurersMember2019-01-012019-12-310001333986eqh:EmbeddedDerivativeGMIBReinsuranceMember2021-01-012021-12-310001333986eqh:EmbeddedDerivativeGMIBReinsuranceMember2020-01-012020-12-310001333986eqh:EmbeddedDeriv</w:t>
      </w:r>
      <w:r>
        <w:rPr>
          <w:rFonts w:eastAsia="Times New Roman"/>
          <w:vanish/>
        </w:rPr>
        <w:t>ativeGMIBReinsuranceMember2019-01-012019-12-310001333986us-gaap:GuaranteedMinimumWithdrawalBenefitMember2021-01-012021-12-310001333986us-gaap:GuaranteedMinimumWithdrawalBenefitMember2020-01-012020-12-310001333986us-gaap:GuaranteedMinimumWithdrawalBenefitMe</w:t>
      </w:r>
      <w:r>
        <w:rPr>
          <w:rFonts w:eastAsia="Times New Roman"/>
          <w:vanish/>
        </w:rPr>
        <w:t>mber2019-01-012019-12-310001333986eqh:EmbeddedDerivativeNonGMxBInsuranceProductsMember2021-01-012021-12-310001333986eqh:EmbeddedDerivativeNonGMxBInsuranceProductsMember2020-01-012020-12-310001333986eqh:EmbeddedDerivativeNonGMxBInsuranceProductsMember2019-0</w:t>
      </w:r>
      <w:r>
        <w:rPr>
          <w:rFonts w:eastAsia="Times New Roman"/>
          <w:vanish/>
        </w:rPr>
        <w:t>1-012019-12-310001333986us-gaap:EmbeddedDerivativeFinancialInstrumentsMember2021-01-012021-12-310001333986us-gaap:EmbeddedDerivativeFinancialInstrumentsMember2020-01-012020-12-310001333986us-gaap:EmbeddedDerivativeFinancialInstrumentsMember2019-01-012019-1</w:t>
      </w:r>
      <w:r>
        <w:rPr>
          <w:rFonts w:eastAsia="Times New Roman"/>
          <w:vanish/>
        </w:rPr>
        <w:t>2-310001333986eqh:DerivativeInstrumentsIncludingEmbeddedDerivativeMember2021-01-012021-12-310001333986eqh:DerivativeInstrumentsIncludingEmbeddedDerivativeMember2020-01-012020-12-310001333986eqh:DerivativeInstrumentsIncludingEmbeddedDerivativeMember2019-01-</w:t>
      </w:r>
      <w:r>
        <w:rPr>
          <w:rFonts w:eastAsia="Times New Roman"/>
          <w:vanish/>
        </w:rPr>
        <w:t>012019-12-310001333986us-gaap:AccumulatedGainLossNetCashFlowHedgeParentMember2020-12-310001333986us-gaap:AccumulatedGainLossNetCashFlowHedgeParentMember2019-12-310001333986us-gaap:AccumulatedGainLossNetCashFlowHedgeParentMember2018-12-310001333986us-gaap:A</w:t>
      </w:r>
      <w:r>
        <w:rPr>
          <w:rFonts w:eastAsia="Times New Roman"/>
          <w:vanish/>
        </w:rPr>
        <w:t>ccumulatedGainLossNetCashFlowHedgeParentMemberus-gaap:CurrencySwapMember2021-01-012021-12-310001333986us-gaap:AccumulatedGainLossNetCashFlowHedgeParentMemberus-gaap:CurrencySwapMember2020-01-012020-12-310001333986us-gaap:AccumulatedGainLossNetCashFlowHedge</w:t>
      </w:r>
      <w:r>
        <w:rPr>
          <w:rFonts w:eastAsia="Times New Roman"/>
          <w:vanish/>
        </w:rPr>
        <w:t>ParentMemberus-gaap:CurrencySwapMember2019-01-012019-12-310001333986us-gaap:AccumulatedGainLossNetCashFlowHedgeParentMemberus-gaap:InterestRateSwapMember2021-01-012021-12-310001333986us-gaap:AccumulatedGainLossNetCashFlowHedgeParentMemberus-gaap:InterestRa</w:t>
      </w:r>
      <w:r>
        <w:rPr>
          <w:rFonts w:eastAsia="Times New Roman"/>
          <w:vanish/>
        </w:rPr>
        <w:t>teSwapMember2020-01-012020-12-310001333986us-gaap:AccumulatedGainLossNetCashFlowHedgeParentMemberus-gaap:InterestRateSwapMember2019-01-012019-12-310001333986us-gaap:AccumulatedGainLossNetCashFlowHedgeParentMember2021-01-012021-12-310001333986us-gaap:Accumu</w:t>
      </w:r>
      <w:r>
        <w:rPr>
          <w:rFonts w:eastAsia="Times New Roman"/>
          <w:vanish/>
        </w:rPr>
        <w:t>latedGainLossNetCashFlowHedgeParentMember2020-01-012020-12-310001333986us-gaap:AccumulatedGainLossNetCashFlowHedgeParentMember2019-01-012019-12-310001333986us-gaap:AccumulatedGainLossNetCashFlowHedgeParentMember2021-12-310001333986eqh:Sp500Russell1000Nasda</w:t>
      </w:r>
      <w:r>
        <w:rPr>
          <w:rFonts w:eastAsia="Times New Roman"/>
          <w:vanish/>
        </w:rPr>
        <w:t>q100AndEmergingMarketIndicesMember2021-12-310001333986eqh:Sp500Russell1000Nasdaq100AndEmergingMarketIndicesMember2020-12-310001333986eqh:UsTreasuryNotesUltraLongBondsAndEuroDollarMember2021-12-310001333986eqh:UsTreasuryNotesUltraLongBondsAndEuroDollarMembe</w:t>
      </w:r>
      <w:r>
        <w:rPr>
          <w:rFonts w:eastAsia="Times New Roman"/>
          <w:vanish/>
        </w:rPr>
        <w:t>r2020-12-310001333986eqh:EuroStoxxFTSE100TopixASX200AndEAFEIndicesMember2021-12-310001333986eqh:EuroStoxxFTSE100TopixASX200AndEAFEIndicesMember2020-12-310001333986us-gaap:DerivativeMember2021-12-310001333986eqh:OtherFinancialAssetsMember2021-12-31000133398</w:t>
      </w:r>
      <w:r>
        <w:rPr>
          <w:rFonts w:eastAsia="Times New Roman"/>
          <w:vanish/>
        </w:rPr>
        <w:t>6eqh:OtherInvestedAssetsMember2021-12-310001333986eqh:OtherFinancialLiabilitiesMember2021-12-310001333986us-gaap:OtherLiabilitiesMember2021-12-310001333986us-gaap:DerivativeMember2020-12-310001333986eqh:OtherFinancialAssetsMember2020-12-310001333986eqh:Oth</w:t>
      </w:r>
      <w:r>
        <w:rPr>
          <w:rFonts w:eastAsia="Times New Roman"/>
          <w:vanish/>
        </w:rPr>
        <w:t>erInvestedAssetsMember2020-12-310001333986eqh:OtherFinancialLiabilitiesMember2020-12-310001333986us-gaap:OtherLiabilitiesMember2020-12-310001333986eqh:InvestmentManagementMembereqh:AllianceBernsteinMember2020-01-012020-12-310001333986eqh:InvestmentManageme</w:t>
      </w:r>
      <w:r>
        <w:rPr>
          <w:rFonts w:eastAsia="Times New Roman"/>
          <w:vanish/>
        </w:rPr>
        <w:t>ntMembereqh:AllianceBernsteinMember2021-01-012021-12-310001333986eqh:AllianceBernsteinMember2021-12-310001333986eqh:AllianceBernsteinMember2020-12-310001333986eqh:AllianceBernsteinMember2019-01-012019-12-310001333986eqh:AllianceBernsteinMembereqh:CphCapita</w:t>
      </w:r>
      <w:r>
        <w:rPr>
          <w:rFonts w:eastAsia="Times New Roman"/>
          <w:vanish/>
        </w:rPr>
        <w:t>lMember2014-06-200001333986eqh:AllianceBernsteinMembereqh:CphCapitalMember2019-12-310001333986eqh:AllianceBernsteinMembereqh:CphCapitalMember2021-12-310001333986us-gaap:AccountingStandardsUpdate201613Member2019-12-310001333986us-gaap:FairValueMeasurementsR</w:t>
      </w:r>
      <w:r>
        <w:rPr>
          <w:rFonts w:eastAsia="Times New Roman"/>
          <w:vanish/>
        </w:rPr>
        <w:t>ecurringMembereqh:PublicCorporateMemberus-gaap:FairValueInputsLevel1Member2021-12-310001333986us-gaap:FairValueInputsLevel2Memberus-gaap:FairValueMeasurementsRecurringMembereqh:PublicCorporateMember2021-12-310001333986us-gaap:FairValueMeasurementsRecurring</w:t>
      </w:r>
      <w:r>
        <w:rPr>
          <w:rFonts w:eastAsia="Times New Roman"/>
          <w:vanish/>
        </w:rPr>
        <w:t>Membereqh:PublicCorporateMemberus-gaap:FairValueInputsLevel3Member2021-12-310001333986us-gaap:FairValueMeasurementsRecurringMembereqh:PublicCorporateMember2021-12-310001333986us-gaap:FairValueMeasurementsRecurringMemberus-gaap:FairValueInputsLevel1Memberus</w:t>
      </w:r>
      <w:r>
        <w:rPr>
          <w:rFonts w:eastAsia="Times New Roman"/>
          <w:vanish/>
        </w:rPr>
        <w:t>-gaap:USTreasuryAndGovernmentMember2021-12-310001333986us-gaap:FairValueInputsLevel2Memberus-gaap:FairValueMeasurementsRecurringMemberus-gaap:USTreasuryAndGovernmentMember2021-12-310001333986us-gaap:FairValueMeasurementsRecurringMemberus-gaap:USTreasuryAnd</w:t>
      </w:r>
      <w:r>
        <w:rPr>
          <w:rFonts w:eastAsia="Times New Roman"/>
          <w:vanish/>
        </w:rPr>
        <w:t>GovernmentMemberus-gaap:FairValueInputsLevel3Member2021-12-310001333986us-gaap:FairValueMeasurementsRecurringMemberus-gaap:USTreasuryAndGovernmentMember2021-12-310001333986us-gaap:FairValueMeasurementsRecurringMemberus-gaap:FairValueInputsLevel1Memberus-ga</w:t>
      </w:r>
      <w:r>
        <w:rPr>
          <w:rFonts w:eastAsia="Times New Roman"/>
          <w:vanish/>
        </w:rPr>
        <w:t>ap:USStatesAndPoliticalSubdivisionsMember2021-12-310001333986us-gaap:FairValueInputsLevel2Memberus-gaap:FairValueMeasurementsRecurringMemberus-gaap:USStatesAndPoliticalSubdivisionsMember2021-12-310001333986us-gaap:FairValueMeasurementsRecurringMemberus-gaa</w:t>
      </w:r>
      <w:r>
        <w:rPr>
          <w:rFonts w:eastAsia="Times New Roman"/>
          <w:vanish/>
        </w:rPr>
        <w:t>p:USStatesAndPoliticalSubdivisionsMemberus-gaap:FairValueInputsLevel3Member2021-12-310001333986us-gaap:FairValueMeasurementsRecurringMemberus-gaap:USStatesAndPoliticalSubdivisionsMember2021-12-310001333986us-gaap:ForeignGovernmentDebtSecuritiesMemberus-gaa</w:t>
      </w:r>
      <w:r>
        <w:rPr>
          <w:rFonts w:eastAsia="Times New Roman"/>
          <w:vanish/>
        </w:rPr>
        <w:t>p:FairValueMeasurementsRecurringMemberus-gaap:FairValueInputsLevel1Member2021-12-310001333986us-gaap:ForeignGovernmentDebtSecuritiesMemberus-gaap:FairValueInputsLevel2Memberus-gaap:FairValueMeasurementsRecurringMember2021-12-310001333986us-gaap:ForeignGove</w:t>
      </w:r>
      <w:r>
        <w:rPr>
          <w:rFonts w:eastAsia="Times New Roman"/>
          <w:vanish/>
        </w:rPr>
        <w:t>rnmentDebtSecuritiesMemberus-gaap:FairValueMeasurementsRecurringMemberus-gaap:FairValueInputsLevel3Member2021-12-310001333986us-gaap:ForeignGovernmentDebtSecuritiesMemberus-gaap:FairValueMeasurementsRecurringMember2021-12-310001333986us-gaap:FairValueMeasu</w:t>
      </w:r>
      <w:r>
        <w:rPr>
          <w:rFonts w:eastAsia="Times New Roman"/>
          <w:vanish/>
        </w:rPr>
        <w:t>rementsRecurringMemberus-gaap:FairValueInputsLevel1Memberus-gaap:ResidentialMortgageBackedSecuritiesMember2021-12-310001333986us-gaap:FairValueInputsLevel2Memberus-gaap:FairValueMeasurementsRecurringMemberus-gaap:ResidentialMortgageBackedSecuritiesMember20</w:t>
      </w:r>
      <w:r>
        <w:rPr>
          <w:rFonts w:eastAsia="Times New Roman"/>
          <w:vanish/>
        </w:rPr>
        <w:t>21-12-310001333986us-gaap:FairValueMeasurementsRecurringMemberus-gaap:ResidentialMortgageBackedSecuritiesMemberus-gaap:FairValueInputsLevel3Member2021-12-310001333986us-gaap:FairValueMeasurementsRecurringMemberus-gaap:ResidentialMortgageBackedSecuritiesMem</w:t>
      </w:r>
      <w:r>
        <w:rPr>
          <w:rFonts w:eastAsia="Times New Roman"/>
          <w:vanish/>
        </w:rPr>
        <w:t>ber2021-12-310001333986us-gaap:FairValueMeasurementsRecurringMemberus-gaap:FairValueInputsLevel1Memberus-gaap:AssetBackedSecuritiesMember2021-12-310001333986us-gaap:FairValueInputsLevel2Memberus-gaap:FairValueMeasurementsRecurringMemberus-gaap:AssetBackedS</w:t>
      </w:r>
      <w:r>
        <w:rPr>
          <w:rFonts w:eastAsia="Times New Roman"/>
          <w:vanish/>
        </w:rPr>
        <w:t>ecuritiesMember2021-12-310001333986us-gaap:FairValueMeasurementsRecurringMemberus-gaap:AssetBackedSecuritiesMemberus-gaap:FairValueInputsLevel3Member2021-12-310001333986us-gaap:FairValueMeasurementsRecurringMemberus-gaap:AssetBackedSecuritiesMember2021-12-</w:t>
      </w:r>
      <w:r>
        <w:rPr>
          <w:rFonts w:eastAsia="Times New Roman"/>
          <w:vanish/>
        </w:rPr>
        <w:t>310001333986us-gaap:FairValueMeasurementsRecurringMemberus-gaap:FairValueInputsLevel1Memberus-gaap:CommercialMortgageBackedSecuritiesMember2021-12-310001333986us-gaap:FairValueInputsLevel2Memberus-gaap:FairValueMeasurementsRecurringMemberus-gaap:Commercial</w:t>
      </w:r>
      <w:r>
        <w:rPr>
          <w:rFonts w:eastAsia="Times New Roman"/>
          <w:vanish/>
        </w:rPr>
        <w:t>MortgageBackedSecuritiesMember2021-12-310001333986us-gaap:FairValueMeasurementsRecurringMemberus-gaap:CommercialMortgageBackedSecuritiesMemberus-gaap:FairValueInputsLevel3Member2021-12-310001333986us-gaap:FairValueMeasurementsRecurringMemberus-gaap:Commerc</w:t>
      </w:r>
      <w:r>
        <w:rPr>
          <w:rFonts w:eastAsia="Times New Roman"/>
          <w:vanish/>
        </w:rPr>
        <w:t>ialMortgageBackedSecuritiesMember2021-12-310001333986us-gaap:RedeemablePreferredStockMemberus-gaap:FairValueMeasurementsRecurringMemberus-gaap:FairValueInputsLevel1Member2021-12-310001333986us-gaap:RedeemablePreferredStockMemberus-gaap:FairValueInputsLevel</w:t>
      </w:r>
      <w:r>
        <w:rPr>
          <w:rFonts w:eastAsia="Times New Roman"/>
          <w:vanish/>
        </w:rPr>
        <w:t>2Memberus-gaap:FairValueMeasurementsRecurringMember2021-12-310001333986us-gaap:RedeemablePreferredStockMemberus-gaap:FairValueMeasurementsRecurringMemberus-gaap:FairValueInputsLevel3Member2021-12-310001333986us-gaap:RedeemablePreferredStockMemberus-gaap:Fa</w:t>
      </w:r>
      <w:r>
        <w:rPr>
          <w:rFonts w:eastAsia="Times New Roman"/>
          <w:vanish/>
        </w:rPr>
        <w:t>irValueMeasurementsRecurringMember2021-12-310001333986us-gaap:FairValueMeasurementsRecurringMemberus-gaap:FairValueInputsLevel1Member2021-12-310001333986us-gaap:FairValueInputsLevel2Memberus-gaap:FairValueMeasurementsRecurringMember2021-12-310001333986us-g</w:t>
      </w:r>
      <w:r>
        <w:rPr>
          <w:rFonts w:eastAsia="Times New Roman"/>
          <w:vanish/>
        </w:rPr>
        <w:t>aap:FairValueMeasurementsRecurringMemberus-gaap:FairValueInputsLevel3Member2021-12-310001333986us-gaap:ShortTermInvestmentsMemberus-gaap:FairValueMeasurementsRecurringMemberus-gaap:FairValueInputsLevel1Member2021-12-310001333986us-gaap:ShortTermInvestments</w:t>
      </w:r>
      <w:r>
        <w:rPr>
          <w:rFonts w:eastAsia="Times New Roman"/>
          <w:vanish/>
        </w:rPr>
        <w:t>Memberus-gaap:FairValueInputsLevel2Memberus-gaap:FairValueMeasurementsRecurringMember2021-12-310001333986us-gaap:ShortTermInvestmentsMemberus-gaap:FairValueMeasurementsRecurringMemberus-gaap:FairValueInputsLevel3Member2021-12-310001333986us-gaap:ShortTermI</w:t>
      </w:r>
      <w:r>
        <w:rPr>
          <w:rFonts w:eastAsia="Times New Roman"/>
          <w:vanish/>
        </w:rPr>
        <w:t>nvestmentsMemberus-gaap:FairValueMeasurementsRecurringMember2021-12-310001333986us-gaap:FairValueMeasurementsRecurringMemberus-gaap:FairValueInputsLevel1Membereqh:AssetsofConsolidatedVIEsVOEsMember2021-12-310001333986us-gaap:FairValueInputsLevel2Memberus-g</w:t>
      </w:r>
      <w:r>
        <w:rPr>
          <w:rFonts w:eastAsia="Times New Roman"/>
          <w:vanish/>
        </w:rPr>
        <w:t>aap:FairValueMeasurementsRecurringMembereqh:AssetsofConsolidatedVIEsVOEsMember2021-12-310001333986us-gaap:FairValueMeasurementsRecurringMemberus-gaap:FairValueInputsLevel3Membereqh:AssetsofConsolidatedVIEsVOEsMember2021-12-310001333986us-gaap:FairValueMeas</w:t>
      </w:r>
      <w:r>
        <w:rPr>
          <w:rFonts w:eastAsia="Times New Roman"/>
          <w:vanish/>
        </w:rPr>
        <w:t>urementsRecurringMembereqh:AssetsofConsolidatedVIEsVOEsMember2021-12-310001333986us-gaap:FairValueMeasurementsRecurringMemberus-gaap:FairValueInputsLevel1Memberus-gaap:SwapMember2021-12-310001333986us-gaap:FairValueInputsLevel2Memberus-gaap:FairValueMeasur</w:t>
      </w:r>
      <w:r>
        <w:rPr>
          <w:rFonts w:eastAsia="Times New Roman"/>
          <w:vanish/>
        </w:rPr>
        <w:t>ementsRecurringMemberus-gaap:SwapMember2021-12-310001333986us-gaap:FairValueMeasurementsRecurringMemberus-gaap:SwapMemberus-gaap:FairValueInputsLevel3Member2021-12-310001333986us-gaap:FairValueMeasurementsRecurringMemberus-gaap:SwapMember2021-12-3100013339</w:t>
      </w:r>
      <w:r>
        <w:rPr>
          <w:rFonts w:eastAsia="Times New Roman"/>
          <w:vanish/>
        </w:rPr>
        <w:t>86us-gaap:FairValueMeasurementsRecurringMemberus-gaap:FairValueInputsLevel1Memberus-gaap:CreditDefaultSwapMember2021-12-310001333986us-gaap:FairValueInputsLevel2Memberus-gaap:FairValueMeasurementsRecurringMemberus-gaap:CreditDefaultSwapMember2021-12-310001</w:t>
      </w:r>
      <w:r>
        <w:rPr>
          <w:rFonts w:eastAsia="Times New Roman"/>
          <w:vanish/>
        </w:rPr>
        <w:t>333986us-gaap:FairValueMeasurementsRecurringMemberus-gaap:CreditDefaultSwapMemberus-gaap:FairValueInputsLevel3Member2021-12-310001333986us-gaap:FairValueMeasurementsRecurringMemberus-gaap:CreditDefaultSwapMember2021-12-310001333986us-gaap:FairValueMeasurem</w:t>
      </w:r>
      <w:r>
        <w:rPr>
          <w:rFonts w:eastAsia="Times New Roman"/>
          <w:vanish/>
        </w:rPr>
        <w:t>entsRecurringMemberus-gaap:FairValueInputsLevel1Memberus-gaap:FutureMember2021-12-310001333986us-gaap:FairValueInputsLevel2Memberus-gaap:FairValueMeasurementsRecurringMemberus-gaap:FutureMember2021-12-310001333986us-gaap:FairValueMeasurementsRecurringMembe</w:t>
      </w:r>
      <w:r>
        <w:rPr>
          <w:rFonts w:eastAsia="Times New Roman"/>
          <w:vanish/>
        </w:rPr>
        <w:t>rus-gaap:FairValueInputsLevel3Memberus-gaap:FutureMember2021-12-310001333986us-gaap:FairValueMeasurementsRecurringMemberus-gaap:FutureMember2021-12-310001333986us-gaap:FairValueMeasurementsRecurringMemberus-gaap:FairValueInputsLevel1Memberus-gaap:OptionMem</w:t>
      </w:r>
      <w:r>
        <w:rPr>
          <w:rFonts w:eastAsia="Times New Roman"/>
          <w:vanish/>
        </w:rPr>
        <w:t>ber2021-12-310001333986us-gaap:FairValueInputsLevel2Memberus-gaap:FairValueMeasurementsRecurringMemberus-gaap:OptionMember2021-12-310001333986us-gaap:FairValueMeasurementsRecurringMemberus-gaap:FairValueInputsLevel3Memberus-gaap:OptionMember2021-12-3100013</w:t>
      </w:r>
      <w:r>
        <w:rPr>
          <w:rFonts w:eastAsia="Times New Roman"/>
          <w:vanish/>
        </w:rPr>
        <w:t>33986us-gaap:FairValueMeasurementsRecurringMemberus-gaap:OptionMember2021-12-310001333986us-gaap:FairValueMeasurementsRecurringMemberus-gaap:FairValueInputsLevel1Memberus-gaap:GuaranteedMinimumWithdrawalBenefitMember2021-12-310001333986us-gaap:FairValueInp</w:t>
      </w:r>
      <w:r>
        <w:rPr>
          <w:rFonts w:eastAsia="Times New Roman"/>
          <w:vanish/>
        </w:rPr>
        <w:t>utsLevel2Memberus-gaap:FairValueMeasurementsRecurringMemberus-gaap:GuaranteedMinimumWithdrawalBenefitMember2021-12-310001333986us-gaap:FairValueMeasurementsRecurringMemberus-gaap:GuaranteedMinimumWithdrawalBenefitMemberus-gaap:FairValueInputsLevel3Member20</w:t>
      </w:r>
      <w:r>
        <w:rPr>
          <w:rFonts w:eastAsia="Times New Roman"/>
          <w:vanish/>
        </w:rPr>
        <w:t>21-12-310001333986us-gaap:FairValueMeasurementsRecurringMemberus-gaap:GuaranteedMinimumWithdrawalBenefitMember2021-12-310001333986us-gaap:FairValueMeasurementsRecurringMemberus-gaap:FairValueInputsLevel1Membereqh:EmbeddedDerivativeNonGMxBInsuranceProductsM</w:t>
      </w:r>
      <w:r>
        <w:rPr>
          <w:rFonts w:eastAsia="Times New Roman"/>
          <w:vanish/>
        </w:rPr>
        <w:t>ember2021-12-310001333986us-gaap:FairValueInputsLevel2Memberus-gaap:FairValueMeasurementsRecurringMembereqh:EmbeddedDerivativeNonGMxBInsuranceProductsMember2021-12-310001333986us-gaap:FairValueMeasurementsRecurringMemberus-gaap:FairValueInputsLevel3Membere</w:t>
      </w:r>
      <w:r>
        <w:rPr>
          <w:rFonts w:eastAsia="Times New Roman"/>
          <w:vanish/>
        </w:rPr>
        <w:t>qh:EmbeddedDerivativeNonGMxBInsuranceProductsMember2021-12-310001333986us-gaap:FairValueMeasurementsRecurringMembereqh:EmbeddedDerivativeNonGMxBInsuranceProductsMember2021-12-310001333986us-gaap:FairValueMeasurementsRecurringMemberus-gaap:FairValueInputsLe</w:t>
      </w:r>
      <w:r>
        <w:rPr>
          <w:rFonts w:eastAsia="Times New Roman"/>
          <w:vanish/>
        </w:rPr>
        <w:t>vel1Memberus-gaap:VariableInterestEntityPrimaryBeneficiaryMember2021-12-310001333986us-gaap:FairValueInputsLevel2Memberus-gaap:FairValueMeasurementsRecurringMemberus-gaap:VariableInterestEntityPrimaryBeneficiaryMember2021-12-310001333986us-gaap:FairValueMe</w:t>
      </w:r>
      <w:r>
        <w:rPr>
          <w:rFonts w:eastAsia="Times New Roman"/>
          <w:vanish/>
        </w:rPr>
        <w:t>asurementsRecurringMemberus-gaap:VariableInterestEntityPrimaryBeneficiaryMemberus-gaap:FairValueInputsLevel3Member2021-12-310001333986us-gaap:FairValueMeasurementsRecurringMemberus-gaap:VariableInterestEntityPrimaryBeneficiaryMember2021-12-310001333986us-g</w:t>
      </w:r>
      <w:r>
        <w:rPr>
          <w:rFonts w:eastAsia="Times New Roman"/>
          <w:vanish/>
        </w:rPr>
        <w:t>aap:FairValueMeasurementsRecurringMemberus-gaap:FairValueMeasuredAtNetAssetValuePerShareMember2021-12-310001333986us-gaap:CollateralizedLoanObligationsMemberus-gaap:CarryingReportedAmountFairValueDisclosureMember2021-12-310001333986us-gaap:OtherLiabilities</w:t>
      </w:r>
      <w:r>
        <w:rPr>
          <w:rFonts w:eastAsia="Times New Roman"/>
          <w:vanish/>
        </w:rPr>
        <w:t>Memberus-gaap:CarryingReportedAmountFairValueDisclosureMember2021-12-310001333986us-gaap:FairValueMeasurementsRecurringMembereqh:PublicCorporateMemberus-gaap:FairValueInputsLevel1Member2020-12-310001333986us-gaap:FairValueInputsLevel2Memberus-gaap:FairValu</w:t>
      </w:r>
      <w:r>
        <w:rPr>
          <w:rFonts w:eastAsia="Times New Roman"/>
          <w:vanish/>
        </w:rPr>
        <w:t>eMeasurementsRecurringMembereqh:PublicCorporateMember2020-12-310001333986us-gaap:FairValueMeasurementsRecurringMembereqh:PublicCorporateMemberus-gaap:FairValueInputsLevel3Member2020-12-310001333986us-gaap:FairValueMeasurementsRecurringMembereqh:PublicCorpo</w:t>
      </w:r>
      <w:r>
        <w:rPr>
          <w:rFonts w:eastAsia="Times New Roman"/>
          <w:vanish/>
        </w:rPr>
        <w:t>rateMember2020-12-310001333986us-gaap:FairValueMeasurementsRecurringMemberus-gaap:FairValueInputsLevel1Memberus-gaap:USTreasuryAndGovernmentMember2020-12-310001333986us-gaap:FairValueInputsLevel2Memberus-gaap:FairValueMeasurementsRecurringMemberus-gaap:UST</w:t>
      </w:r>
      <w:r>
        <w:rPr>
          <w:rFonts w:eastAsia="Times New Roman"/>
          <w:vanish/>
        </w:rPr>
        <w:t>reasuryAndGovernmentMember2020-12-310001333986us-gaap:FairValueMeasurementsRecurringMemberus-gaap:USTreasuryAndGovernmentMemberus-gaap:FairValueInputsLevel3Member2020-12-310001333986us-gaap:FairValueMeasurementsRecurringMemberus-gaap:USTreasuryAndGovernmen</w:t>
      </w:r>
      <w:r>
        <w:rPr>
          <w:rFonts w:eastAsia="Times New Roman"/>
          <w:vanish/>
        </w:rPr>
        <w:t>tMember2020-12-310001333986us-gaap:FairValueMeasurementsRecurringMemberus-gaap:FairValueInputsLevel1Memberus-gaap:USStatesAndPoliticalSubdivisionsMember2020-12-310001333986us-gaap:FairValueInputsLevel2Memberus-gaap:FairValueMeasurementsRecurringMemberus-ga</w:t>
      </w:r>
      <w:r>
        <w:rPr>
          <w:rFonts w:eastAsia="Times New Roman"/>
          <w:vanish/>
        </w:rPr>
        <w:t>ap:USStatesAndPoliticalSubdivisionsMember2020-12-310001333986us-gaap:FairValueMeasurementsRecurringMemberus-gaap:USStatesAndPoliticalSubdivisionsMemberus-gaap:FairValueInputsLevel3Member2020-12-310001333986us-gaap:FairValueMeasurementsRecurringMemberus-gaa</w:t>
      </w:r>
      <w:r>
        <w:rPr>
          <w:rFonts w:eastAsia="Times New Roman"/>
          <w:vanish/>
        </w:rPr>
        <w:t>p:USStatesAndPoliticalSubdivisionsMember2020-12-310001333986us-gaap:ForeignGovernmentDebtSecuritiesMemberus-gaap:FairValueMeasurementsRecurringMemberus-gaap:FairValueInputsLevel1Member2020-12-310001333986us-gaap:ForeignGovernmentDebtSecuritiesMemberus-gaap</w:t>
      </w:r>
      <w:r>
        <w:rPr>
          <w:rFonts w:eastAsia="Times New Roman"/>
          <w:vanish/>
        </w:rPr>
        <w:t>:FairValueInputsLevel2Memberus-gaap:FairValueMeasurementsRecurringMember2020-12-310001333986us-gaap:ForeignGovernmentDebtSecuritiesMemberus-gaap:FairValueMeasurementsRecurringMemberus-gaap:FairValueInputsLevel3Member2020-12-310001333986us-gaap:ForeignGover</w:t>
      </w:r>
      <w:r>
        <w:rPr>
          <w:rFonts w:eastAsia="Times New Roman"/>
          <w:vanish/>
        </w:rPr>
        <w:t>nmentDebtSecuritiesMemberus-gaap:FairValueMeasurementsRecurringMember2020-12-310001333986us-gaap:FairValueMeasurementsRecurringMemberus-gaap:FairValueInputsLevel1Memberus-gaap:ResidentialMortgageBackedSecuritiesMember2020-12-310001333986us-gaap:FairValueIn</w:t>
      </w:r>
      <w:r>
        <w:rPr>
          <w:rFonts w:eastAsia="Times New Roman"/>
          <w:vanish/>
        </w:rPr>
        <w:t>putsLevel2Memberus-gaap:FairValueMeasurementsRecurringMemberus-gaap:ResidentialMortgageBackedSecuritiesMember2020-12-310001333986us-gaap:FairValueMeasurementsRecurringMemberus-gaap:ResidentialMortgageBackedSecuritiesMemberus-gaap:FairValueInputsLevel3Membe</w:t>
      </w:r>
      <w:r>
        <w:rPr>
          <w:rFonts w:eastAsia="Times New Roman"/>
          <w:vanish/>
        </w:rPr>
        <w:t>r2020-12-310001333986us-gaap:FairValueMeasurementsRecurringMemberus-gaap:ResidentialMortgageBackedSecuritiesMember2020-12-310001333986us-gaap:FairValueMeasurementsRecurringMemberus-gaap:FairValueInputsLevel1Memberus-gaap:AssetBackedSecuritiesMember2020-12-</w:t>
      </w:r>
      <w:r>
        <w:rPr>
          <w:rFonts w:eastAsia="Times New Roman"/>
          <w:vanish/>
        </w:rPr>
        <w:t>310001333986us-gaap:FairValueInputsLevel2Memberus-gaap:FairValueMeasurementsRecurringMemberus-gaap:AssetBackedSecuritiesMember2020-12-310001333986us-gaap:FairValueMeasurementsRecurringMemberus-gaap:AssetBackedSecuritiesMemberus-gaap:FairValueInputsLevel3Me</w:t>
      </w:r>
      <w:r>
        <w:rPr>
          <w:rFonts w:eastAsia="Times New Roman"/>
          <w:vanish/>
        </w:rPr>
        <w:t>mber2020-12-310001333986us-gaap:FairValueMeasurementsRecurringMemberus-gaap:AssetBackedSecuritiesMember2020-12-310001333986us-gaap:FairValueMeasurementsRecurringMemberus-gaap:FairValueInputsLevel1Memberus-gaap:CommercialMortgageBackedSecuritiesMember2020-1</w:t>
      </w:r>
      <w:r>
        <w:rPr>
          <w:rFonts w:eastAsia="Times New Roman"/>
          <w:vanish/>
        </w:rPr>
        <w:t>2-310001333986us-gaap:FairValueInputsLevel2Memberus-gaap:FairValueMeasurementsRecurringMemberus-gaap:CommercialMortgageBackedSecuritiesMember2020-12-310001333986us-gaap:FairValueMeasurementsRecurringMemberus-gaap:CommercialMortgageBackedSecuritiesMemberus-</w:t>
      </w:r>
      <w:r>
        <w:rPr>
          <w:rFonts w:eastAsia="Times New Roman"/>
          <w:vanish/>
        </w:rPr>
        <w:t>gaap:FairValueInputsLevel3Member2020-12-310001333986us-gaap:FairValueMeasurementsRecurringMemberus-gaap:CommercialMortgageBackedSecuritiesMember2020-12-310001333986us-gaap:RedeemablePreferredStockMemberus-gaap:FairValueMeasurementsRecurringMemberus-gaap:Fa</w:t>
      </w:r>
      <w:r>
        <w:rPr>
          <w:rFonts w:eastAsia="Times New Roman"/>
          <w:vanish/>
        </w:rPr>
        <w:t>irValueInputsLevel1Member2020-12-310001333986us-gaap:RedeemablePreferredStockMemberus-gaap:FairValueInputsLevel2Memberus-gaap:FairValueMeasurementsRecurringMember2020-12-310001333986us-gaap:RedeemablePreferredStockMemberus-gaap:FairValueMeasurementsRecurri</w:t>
      </w:r>
      <w:r>
        <w:rPr>
          <w:rFonts w:eastAsia="Times New Roman"/>
          <w:vanish/>
        </w:rPr>
        <w:t>ngMemberus-gaap:FairValueInputsLevel3Member2020-12-310001333986us-gaap:RedeemablePreferredStockMemberus-gaap:FairValueMeasurementsRecurringMember2020-12-310001333986us-gaap:FairValueMeasurementsRecurringMemberus-gaap:FairValueInputsLevel1Member2020-12-3100</w:t>
      </w:r>
      <w:r>
        <w:rPr>
          <w:rFonts w:eastAsia="Times New Roman"/>
          <w:vanish/>
        </w:rPr>
        <w:t>01333986us-gaap:FairValueInputsLevel2Memberus-gaap:FairValueMeasurementsRecurringMember2020-12-310001333986us-gaap:FairValueMeasurementsRecurringMemberus-gaap:FairValueInputsLevel3Member2020-12-310001333986us-gaap:ShortTermInvestmentsMemberus-gaap:FairValu</w:t>
      </w:r>
      <w:r>
        <w:rPr>
          <w:rFonts w:eastAsia="Times New Roman"/>
          <w:vanish/>
        </w:rPr>
        <w:t>eMeasurementsRecurringMemberus-gaap:FairValueInputsLevel1Member2020-12-310001333986us-gaap:ShortTermInvestmentsMemberus-gaap:FairValueInputsLevel2Memberus-gaap:FairValueMeasurementsRecurringMember2020-12-310001333986us-gaap:ShortTermInvestmentsMemberus-gaa</w:t>
      </w:r>
      <w:r>
        <w:rPr>
          <w:rFonts w:eastAsia="Times New Roman"/>
          <w:vanish/>
        </w:rPr>
        <w:t>p:FairValueMeasurementsRecurringMemberus-gaap:FairValueInputsLevel3Member2020-12-310001333986us-gaap:ShortTermInvestmentsMemberus-gaap:FairValueMeasurementsRecurringMember2020-12-310001333986us-gaap:FairValueMeasurementsRecurringMemberus-gaap:FairValueInpu</w:t>
      </w:r>
      <w:r>
        <w:rPr>
          <w:rFonts w:eastAsia="Times New Roman"/>
          <w:vanish/>
        </w:rPr>
        <w:t>tsLevel1Membereqh:AssetsofConsolidatedVIEsVOEsMember2020-12-310001333986us-gaap:FairValueInputsLevel2Memberus-gaap:FairValueMeasurementsRecurringMembereqh:AssetsofConsolidatedVIEsVOEsMember2020-12-310001333986us-gaap:FairValueMeasurementsRecurringMemberus-</w:t>
      </w:r>
      <w:r>
        <w:rPr>
          <w:rFonts w:eastAsia="Times New Roman"/>
          <w:vanish/>
        </w:rPr>
        <w:t>gaap:FairValueInputsLevel3Membereqh:AssetsofConsolidatedVIEsVOEsMember2020-12-310001333986us-gaap:FairValueMeasurementsRecurringMembereqh:AssetsofConsolidatedVIEsVOEsMember2020-12-310001333986us-gaap:FairValueMeasurementsRecurringMemberus-gaap:FairValueInp</w:t>
      </w:r>
      <w:r>
        <w:rPr>
          <w:rFonts w:eastAsia="Times New Roman"/>
          <w:vanish/>
        </w:rPr>
        <w:t>utsLevel1Memberus-gaap:SwapMember2020-12-310001333986us-gaap:FairValueInputsLevel2Memberus-gaap:FairValueMeasurementsRecurringMemberus-gaap:SwapMember2020-12-310001333986us-gaap:FairValueMeasurementsRecurringMemberus-gaap:SwapMemberus-gaap:FairValueInputsL</w:t>
      </w:r>
      <w:r>
        <w:rPr>
          <w:rFonts w:eastAsia="Times New Roman"/>
          <w:vanish/>
        </w:rPr>
        <w:t>evel3Member2020-12-310001333986us-gaap:FairValueMeasurementsRecurringMemberus-gaap:SwapMember2020-12-310001333986us-gaap:FairValueMeasurementsRecurringMemberus-gaap:FairValueInputsLevel1Memberus-gaap:CreditDefaultSwapMember2020-12-310001333986us-gaap:FairV</w:t>
      </w:r>
      <w:r>
        <w:rPr>
          <w:rFonts w:eastAsia="Times New Roman"/>
          <w:vanish/>
        </w:rPr>
        <w:t>alueInputsLevel2Memberus-gaap:FairValueMeasurementsRecurringMemberus-gaap:CreditDefaultSwapMember2020-12-310001333986us-gaap:FairValueMeasurementsRecurringMemberus-gaap:CreditDefaultSwapMemberus-gaap:FairValueInputsLevel3Member2020-12-310001333986us-gaap:F</w:t>
      </w:r>
      <w:r>
        <w:rPr>
          <w:rFonts w:eastAsia="Times New Roman"/>
          <w:vanish/>
        </w:rPr>
        <w:t>airValueMeasurementsRecurringMemberus-gaap:CreditDefaultSwapMember2020-12-310001333986us-gaap:FairValueMeasurementsRecurringMemberus-gaap:FairValueInputsLevel1Memberus-gaap:FutureMember2020-12-310001333986us-gaap:FairValueInputsLevel2Memberus-gaap:FairValu</w:t>
      </w:r>
      <w:r>
        <w:rPr>
          <w:rFonts w:eastAsia="Times New Roman"/>
          <w:vanish/>
        </w:rPr>
        <w:t>eMeasurementsRecurringMemberus-gaap:FutureMember2020-12-310001333986us-gaap:FairValueMeasurementsRecurringMemberus-gaap:FairValueInputsLevel3Memberus-gaap:FutureMember2020-12-310001333986us-gaap:FairValueMeasurementsRecurringMemberus-gaap:FutureMember2020-</w:t>
      </w:r>
      <w:r>
        <w:rPr>
          <w:rFonts w:eastAsia="Times New Roman"/>
          <w:vanish/>
        </w:rPr>
        <w:t>12-310001333986us-gaap:FairValueMeasurementsRecurringMemberus-gaap:FairValueInputsLevel1Memberus-gaap:OptionMember2020-12-310001333986us-gaap:FairValueInputsLevel2Memberus-gaap:FairValueMeasurementsRecurringMemberus-gaap:OptionMember2020-12-310001333986us-</w:t>
      </w:r>
      <w:r>
        <w:rPr>
          <w:rFonts w:eastAsia="Times New Roman"/>
          <w:vanish/>
        </w:rPr>
        <w:t>gaap:FairValueMeasurementsRecurringMemberus-gaap:FairValueInputsLevel3Memberus-gaap:OptionMember2020-12-310001333986us-gaap:FairValueMeasurementsRecurringMemberus-gaap:OptionMember2020-12-310001333986us-gaap:FairValueMeasurementsRecurringMemberus-gaap:Fair</w:t>
      </w:r>
      <w:r>
        <w:rPr>
          <w:rFonts w:eastAsia="Times New Roman"/>
          <w:vanish/>
        </w:rPr>
        <w:t>ValueInputsLevel1Memberus-gaap:InterestRateSwaptionMember2020-12-310001333986us-gaap:FairValueInputsLevel2Memberus-gaap:FairValueMeasurementsRecurringMemberus-gaap:InterestRateSwaptionMember2020-12-310001333986us-gaap:FairValueMeasurementsRecurringMemberus</w:t>
      </w:r>
      <w:r>
        <w:rPr>
          <w:rFonts w:eastAsia="Times New Roman"/>
          <w:vanish/>
        </w:rPr>
        <w:t>-gaap:FairValueInputsLevel3Memberus-gaap:InterestRateSwaptionMember2020-12-310001333986us-gaap:FairValueMeasurementsRecurringMemberus-gaap:InterestRateSwaptionMember2020-12-310001333986us-gaap:FairValueMeasurementsRecurringMemberus-gaap:FairValueInputsLeve</w:t>
      </w:r>
      <w:r>
        <w:rPr>
          <w:rFonts w:eastAsia="Times New Roman"/>
          <w:vanish/>
        </w:rPr>
        <w:t>l1Memberus-gaap:GuaranteedMinimumWithdrawalBenefitMember2020-12-310001333986us-gaap:FairValueInputsLevel2Memberus-gaap:FairValueMeasurementsRecurringMemberus-gaap:GuaranteedMinimumWithdrawalBenefitMember2020-12-310001333986us-gaap:FairValueMeasurementsRecu</w:t>
      </w:r>
      <w:r>
        <w:rPr>
          <w:rFonts w:eastAsia="Times New Roman"/>
          <w:vanish/>
        </w:rPr>
        <w:t>rringMemberus-gaap:GuaranteedMinimumWithdrawalBenefitMemberus-gaap:FairValueInputsLevel3Member2020-12-310001333986us-gaap:FairValueMeasurementsRecurringMemberus-gaap:GuaranteedMinimumWithdrawalBenefitMember2020-12-310001333986us-gaap:FairValueMeasurementsR</w:t>
      </w:r>
      <w:r>
        <w:rPr>
          <w:rFonts w:eastAsia="Times New Roman"/>
          <w:vanish/>
        </w:rPr>
        <w:t>ecurringMemberus-gaap:FairValueInputsLevel1Membereqh:EmbeddedDerivativeNonGMxBInsuranceProductsMember2020-12-310001333986us-gaap:FairValueInputsLevel2Memberus-gaap:FairValueMeasurementsRecurringMembereqh:EmbeddedDerivativeNonGMxBInsuranceProductsMember2020</w:t>
      </w:r>
      <w:r>
        <w:rPr>
          <w:rFonts w:eastAsia="Times New Roman"/>
          <w:vanish/>
        </w:rPr>
        <w:t>-12-310001333986us-gaap:FairValueMeasurementsRecurringMemberus-gaap:FairValueInputsLevel3Membereqh:EmbeddedDerivativeNonGMxBInsuranceProductsMember2020-12-310001333986us-gaap:FairValueMeasurementsRecurringMembereqh:EmbeddedDerivativeNonGMxBInsuranceProduct</w:t>
      </w:r>
      <w:r>
        <w:rPr>
          <w:rFonts w:eastAsia="Times New Roman"/>
          <w:vanish/>
        </w:rPr>
        <w:t>sMember2020-12-310001333986us-gaap:FairValueMeasurementsRecurringMemberus-gaap:FairValueInputsLevel1Memberus-gaap:VariableInterestEntityPrimaryBeneficiaryMember2020-12-310001333986us-gaap:FairValueInputsLevel2Memberus-gaap:FairValueMeasurementsRecurringMem</w:t>
      </w:r>
      <w:r>
        <w:rPr>
          <w:rFonts w:eastAsia="Times New Roman"/>
          <w:vanish/>
        </w:rPr>
        <w:t>berus-gaap:VariableInterestEntityPrimaryBeneficiaryMember2020-12-310001333986us-gaap:FairValueMeasurementsRecurringMemberus-gaap:VariableInterestEntityPrimaryBeneficiaryMemberus-gaap:FairValueInputsLevel3Member2020-12-310001333986us-gaap:FairValueMeasureme</w:t>
      </w:r>
      <w:r>
        <w:rPr>
          <w:rFonts w:eastAsia="Times New Roman"/>
          <w:vanish/>
        </w:rPr>
        <w:t>ntsRecurringMemberus-gaap:VariableInterestEntityPrimaryBeneficiaryMember2020-12-310001333986us-gaap:FairValueMeasurementsRecurringMemberus-gaap:FairValueMeasuredAtNetAssetValuePerShareMember2020-12-310001333986us-gaap:CorporateDebtSecuritiesMemberus-gaap:F</w:t>
      </w:r>
      <w:r>
        <w:rPr>
          <w:rFonts w:eastAsia="Times New Roman"/>
          <w:vanish/>
        </w:rPr>
        <w:t>airValueInputsLevel3Member2020-12-310001333986us-gaap:USStatesAndPoliticalSubdivisionsMemberus-gaap:FairValueInputsLevel3Member2020-12-310001333986us-gaap:AssetBackedSecuritiesMemberus-gaap:FairValueInputsLevel3Member2020-12-310001333986us-gaap:CommercialM</w:t>
      </w:r>
      <w:r>
        <w:rPr>
          <w:rFonts w:eastAsia="Times New Roman"/>
          <w:vanish/>
        </w:rPr>
        <w:t>ortgageBackedSecuritiesMemberus-gaap:FairValueInputsLevel3Member2020-12-310001333986eqh:TradingSecuritiesMemberus-gaap:FairValueInputsLevel3Member2020-12-310001333986eqh:FixedMaturitiesAtFairValueUsingTheFairValueOptionMemberus-gaap:FairValueInputsLevel3Me</w:t>
      </w:r>
      <w:r>
        <w:rPr>
          <w:rFonts w:eastAsia="Times New Roman"/>
          <w:vanish/>
        </w:rPr>
        <w:t>mber2020-12-310001333986us-gaap:CorporateDebtSecuritiesMemberus-gaap:FairValueInputsLevel3Member2021-01-012021-12-310001333986us-gaap:USStatesAndPoliticalSubdivisionsMemberus-gaap:FairValueInputsLevel3Member2021-01-012021-12-310001333986us-gaap:AssetBacked</w:t>
      </w:r>
      <w:r>
        <w:rPr>
          <w:rFonts w:eastAsia="Times New Roman"/>
          <w:vanish/>
        </w:rPr>
        <w:t>SecuritiesMemberus-gaap:FairValueInputsLevel3Member2021-01-012021-12-310001333986us-gaap:CommercialMortgageBackedSecuritiesMemberus-gaap:FairValueInputsLevel3Member2021-01-012021-12-310001333986eqh:TradingSecuritiesMemberus-gaap:FairValueInputsLevel3Member</w:t>
      </w:r>
      <w:r>
        <w:rPr>
          <w:rFonts w:eastAsia="Times New Roman"/>
          <w:vanish/>
        </w:rPr>
        <w:t>2021-01-012021-12-310001333986eqh:FixedMaturitiesAtFairValueUsingTheFairValueOptionMemberus-gaap:FairValueInputsLevel3Member2021-01-012021-12-310001333986us-gaap:CorporateDebtSecuritiesMemberus-gaap:FairValueInputsLevel3Member2021-12-310001333986us-gaap:US</w:t>
      </w:r>
      <w:r>
        <w:rPr>
          <w:rFonts w:eastAsia="Times New Roman"/>
          <w:vanish/>
        </w:rPr>
        <w:t>StatesAndPoliticalSubdivisionsMemberus-gaap:FairValueInputsLevel3Member2021-12-310001333986us-gaap:AssetBackedSecuritiesMemberus-gaap:FairValueInputsLevel3Member2021-12-310001333986us-gaap:CommercialMortgageBackedSecuritiesMemberus-gaap:FairValueInputsLeve</w:t>
      </w:r>
      <w:r>
        <w:rPr>
          <w:rFonts w:eastAsia="Times New Roman"/>
          <w:vanish/>
        </w:rPr>
        <w:t>l3Member2021-12-310001333986eqh:TradingSecuritiesMemberus-gaap:FairValueInputsLevel3Member2021-12-310001333986eqh:FixedMaturitiesAtFairValueUsingTheFairValueOptionMemberus-gaap:FairValueInputsLevel3Member2021-12-310001333986us-gaap:CorporateDebtSecuritiesM</w:t>
      </w:r>
      <w:r>
        <w:rPr>
          <w:rFonts w:eastAsia="Times New Roman"/>
          <w:vanish/>
        </w:rPr>
        <w:t>emberus-gaap:FairValueInputsLevel3Member2019-12-310001333986us-gaap:USStatesAndPoliticalSubdivisionsMemberus-gaap:FairValueInputsLevel3Member2019-12-310001333986us-gaap:AssetBackedSecuritiesMemberus-gaap:FairValueInputsLevel3Member2019-12-310001333986us-ga</w:t>
      </w:r>
      <w:r>
        <w:rPr>
          <w:rFonts w:eastAsia="Times New Roman"/>
          <w:vanish/>
        </w:rPr>
        <w:t>ap:CommercialMortgageBackedSecuritiesMemberus-gaap:FairValueInputsLevel3Member2019-12-310001333986eqh:TradingSecuritiesMemberus-gaap:FairValueInputsLevel3Member2019-12-310001333986eqh:FixedMaturitiesAtFairValueUsingTheFairValueOptionMemberus-gaap:FairValue</w:t>
      </w:r>
      <w:r>
        <w:rPr>
          <w:rFonts w:eastAsia="Times New Roman"/>
          <w:vanish/>
        </w:rPr>
        <w:t>InputsLevel3Member2019-12-310001333986us-gaap:CorporateDebtSecuritiesMemberus-gaap:FairValueInputsLevel3Member2020-01-012020-12-310001333986us-gaap:USStatesAndPoliticalSubdivisionsMemberus-gaap:FairValueInputsLevel3Member2020-01-012020-12-310001333986us-ga</w:t>
      </w:r>
      <w:r>
        <w:rPr>
          <w:rFonts w:eastAsia="Times New Roman"/>
          <w:vanish/>
        </w:rPr>
        <w:t>ap:AssetBackedSecuritiesMemberus-gaap:FairValueInputsLevel3Member2020-01-012020-12-310001333986us-gaap:CommercialMortgageBackedSecuritiesMemberus-gaap:FairValueInputsLevel3Member2020-01-012020-12-310001333986eqh:TradingSecuritiesMemberus-gaap:FairValueInpu</w:t>
      </w:r>
      <w:r>
        <w:rPr>
          <w:rFonts w:eastAsia="Times New Roman"/>
          <w:vanish/>
        </w:rPr>
        <w:t>tsLevel3Member2020-01-012020-12-310001333986eqh:FixedMaturitiesAtFairValueUsingTheFairValueOptionMemberus-gaap:FairValueInputsLevel3Member2020-01-012020-12-310001333986us-gaap:CorporateDebtSecuritiesMemberus-gaap:FairValueInputsLevel3Member2018-12-31000133</w:t>
      </w:r>
      <w:r>
        <w:rPr>
          <w:rFonts w:eastAsia="Times New Roman"/>
          <w:vanish/>
        </w:rPr>
        <w:t>3986us-gaap:USStatesAndPoliticalSubdivisionsMemberus-gaap:FairValueInputsLevel3Member2018-12-310001333986us-gaap:AssetBackedSecuritiesMemberus-gaap:FairValueInputsLevel3Member2018-12-310001333986us-gaap:CommercialMortgageBackedSecuritiesMemberus-gaap:FairV</w:t>
      </w:r>
      <w:r>
        <w:rPr>
          <w:rFonts w:eastAsia="Times New Roman"/>
          <w:vanish/>
        </w:rPr>
        <w:t>alueInputsLevel3Member2018-12-310001333986eqh:TradingSecuritiesMemberus-gaap:FairValueInputsLevel3Member2018-12-310001333986eqh:FixedMaturitiesAtFairValueUsingTheFairValueOptionMemberus-gaap:FairValueInputsLevel3Member2018-12-310001333986us-gaap:CorporateD</w:t>
      </w:r>
      <w:r>
        <w:rPr>
          <w:rFonts w:eastAsia="Times New Roman"/>
          <w:vanish/>
        </w:rPr>
        <w:t>ebtSecuritiesMemberus-gaap:FairValueInputsLevel3Member2019-01-012019-12-310001333986us-gaap:USStatesAndPoliticalSubdivisionsMemberus-gaap:FairValueInputsLevel3Member2019-01-012019-12-310001333986us-gaap:AssetBackedSecuritiesMemberus-gaap:FairValueInputsLev</w:t>
      </w:r>
      <w:r>
        <w:rPr>
          <w:rFonts w:eastAsia="Times New Roman"/>
          <w:vanish/>
        </w:rPr>
        <w:t>el3Member2019-01-012019-12-310001333986us-gaap:CommercialMortgageBackedSecuritiesMemberus-gaap:FairValueInputsLevel3Member2019-01-012019-12-310001333986eqh:TradingSecuritiesMemberus-gaap:FairValueInputsLevel3Member2019-01-012019-12-310001333986eqh:FixedMat</w:t>
      </w:r>
      <w:r>
        <w:rPr>
          <w:rFonts w:eastAsia="Times New Roman"/>
          <w:vanish/>
        </w:rPr>
        <w:t>uritiesAtFairValueUsingTheFairValueOptionMemberus-gaap:FairValueInputsLevel3Member2019-01-012019-12-310001333986us-gaap:EquityMethodInvestmentsMemberus-gaap:FairValueInputsLevel3Member2020-12-310001333986eqh:EmbeddedDerivativeGMIBReinsuranceMemberus-gaap:F</w:t>
      </w:r>
      <w:r>
        <w:rPr>
          <w:rFonts w:eastAsia="Times New Roman"/>
          <w:vanish/>
        </w:rPr>
        <w:t>airValueInputsLevel3Member2020-12-310001333986eqh:EmbeddedDerivativeDueFromReinsuranceReinsurersMemberus-gaap:FairValueInputsLevel3Member2020-12-310001333986eqh:SeparateAccountsMemberus-gaap:FairValueInputsLevel3Member2020-12-310001333986us-gaap:FairValueI</w:t>
      </w:r>
      <w:r>
        <w:rPr>
          <w:rFonts w:eastAsia="Times New Roman"/>
          <w:vanish/>
        </w:rPr>
        <w:t>nputsLevel3Membereqh:GuaranteedIncomeBenefitGuaranteedWithdrawalBenefitAndOtherFeaturesLiabilityMember2020-12-310001333986eqh:ContingentPaymentArrangementsMemberus-gaap:FairValueInputsLevel3Member2020-12-310001333986us-gaap:EquityMethodInvestmentsMemberus-</w:t>
      </w:r>
      <w:r>
        <w:rPr>
          <w:rFonts w:eastAsia="Times New Roman"/>
          <w:vanish/>
        </w:rPr>
        <w:t>gaap:FairValueInputsLevel3Member2021-01-012021-12-310001333986eqh:EmbeddedDerivativeGMIBReinsuranceMemberus-gaap:FairValueInputsLevel3Member2021-01-012021-12-310001333986eqh:EmbeddedDerivativeDueFromReinsuranceReinsurersMemberus-gaap:FairValueInputsLevel3M</w:t>
      </w:r>
      <w:r>
        <w:rPr>
          <w:rFonts w:eastAsia="Times New Roman"/>
          <w:vanish/>
        </w:rPr>
        <w:t>ember2021-01-012021-12-310001333986eqh:SeparateAccountsMemberus-gaap:FairValueInputsLevel3Member2021-01-012021-12-310001333986us-gaap:FairValueInputsLevel3Membereqh:GuaranteedIncomeBenefitGuaranteedWithdrawalBenefitAndOtherFeaturesLiabilityMember2021-01-01</w:t>
      </w:r>
      <w:r>
        <w:rPr>
          <w:rFonts w:eastAsia="Times New Roman"/>
          <w:vanish/>
        </w:rPr>
        <w:t>2021-12-310001333986eqh:ContingentPaymentArrangementsMemberus-gaap:FairValueInputsLevel3Member2021-01-012021-12-310001333986us-gaap:EquityMethodInvestmentsMemberus-gaap:FairValueInputsLevel3Member2021-12-310001333986eqh:EmbeddedDerivativeGMIBReinsuranceMem</w:t>
      </w:r>
      <w:r>
        <w:rPr>
          <w:rFonts w:eastAsia="Times New Roman"/>
          <w:vanish/>
        </w:rPr>
        <w:t>berus-gaap:FairValueInputsLevel3Member2021-12-310001333986eqh:EmbeddedDerivativeDueFromReinsuranceReinsurersMemberus-gaap:FairValueInputsLevel3Member2021-12-310001333986eqh:SeparateAccountsMemberus-gaap:FairValueInputsLevel3Member2021-12-310001333986us-gaa</w:t>
      </w:r>
      <w:r>
        <w:rPr>
          <w:rFonts w:eastAsia="Times New Roman"/>
          <w:vanish/>
        </w:rPr>
        <w:t>p:FairValueInputsLevel3Membereqh:GuaranteedIncomeBenefitGuaranteedWithdrawalBenefitAndOtherFeaturesLiabilityMember2021-12-310001333986eqh:ContingentPaymentArrangementsMemberus-gaap:FairValueInputsLevel3Member2021-12-310001333986us-gaap:EquityMethodInvestme</w:t>
      </w:r>
      <w:r>
        <w:rPr>
          <w:rFonts w:eastAsia="Times New Roman"/>
          <w:vanish/>
        </w:rPr>
        <w:t>ntsMemberus-gaap:FairValueInputsLevel3Member2019-12-310001333986eqh:EmbeddedDerivativeGMIBReinsuranceMemberus-gaap:FairValueInputsLevel3Member2019-12-310001333986eqh:EmbeddedDerivativeDueFromReinsuranceReinsurersMemberus-gaap:FairValueInputsLevel3Member201</w:t>
      </w:r>
      <w:r>
        <w:rPr>
          <w:rFonts w:eastAsia="Times New Roman"/>
          <w:vanish/>
        </w:rPr>
        <w:t>9-12-310001333986eqh:SeparateAccountsMemberus-gaap:FairValueInputsLevel3Member2019-12-310001333986us-gaap:FairValueInputsLevel3Membereqh:GuaranteedIncomeBenefitGuaranteedWithdrawalBenefitAndOtherFeaturesLiabilityMember2019-12-310001333986eqh:ContingentPaym</w:t>
      </w:r>
      <w:r>
        <w:rPr>
          <w:rFonts w:eastAsia="Times New Roman"/>
          <w:vanish/>
        </w:rPr>
        <w:t>entArrangementsMemberus-gaap:FairValueInputsLevel3Member2019-12-310001333986us-gaap:EquityMethodInvestmentsMemberus-gaap:FairValueInputsLevel3Member2020-01-012020-12-310001333986eqh:EmbeddedDerivativeGMIBReinsuranceMemberus-gaap:FairValueInputsLevel3Member</w:t>
      </w:r>
      <w:r>
        <w:rPr>
          <w:rFonts w:eastAsia="Times New Roman"/>
          <w:vanish/>
        </w:rPr>
        <w:t>2020-01-012020-12-310001333986eqh:EmbeddedDerivativeDueFromReinsuranceReinsurersMemberus-gaap:FairValueInputsLevel3Member2020-01-012020-12-310001333986eqh:SeparateAccountsMemberus-gaap:FairValueInputsLevel3Member2020-01-012020-12-310001333986us-gaap:FairVa</w:t>
      </w:r>
      <w:r>
        <w:rPr>
          <w:rFonts w:eastAsia="Times New Roman"/>
          <w:vanish/>
        </w:rPr>
        <w:t>lueInputsLevel3Membereqh:GuaranteedIncomeBenefitGuaranteedWithdrawalBenefitAndOtherFeaturesLiabilityMember2020-01-012020-12-310001333986eqh:ContingentPaymentArrangementsMemberus-gaap:FairValueInputsLevel3Member2020-01-012020-12-310001333986us-gaap:EquityMe</w:t>
      </w:r>
      <w:r>
        <w:rPr>
          <w:rFonts w:eastAsia="Times New Roman"/>
          <w:vanish/>
        </w:rPr>
        <w:t>thodInvestmentsMemberus-gaap:FairValueInputsLevel3Member2018-12-310001333986eqh:EmbeddedDerivativeGMIBReinsuranceMemberus-gaap:FairValueInputsLevel3Member2018-12-310001333986eqh:EmbeddedDerivativeDueFromReinsuranceReinsurersMemberus-gaap:FairValueInputsLev</w:t>
      </w:r>
      <w:r>
        <w:rPr>
          <w:rFonts w:eastAsia="Times New Roman"/>
          <w:vanish/>
        </w:rPr>
        <w:t>el3Member2018-12-310001333986eqh:SeparateAccountsMemberus-gaap:FairValueInputsLevel3Member2018-12-310001333986us-gaap:FairValueInputsLevel3Membereqh:GuaranteedIncomeBenefitGuaranteedWithdrawalBenefitAndOtherFeaturesLiabilityMember2018-12-310001333986eqh:Co</w:t>
      </w:r>
      <w:r>
        <w:rPr>
          <w:rFonts w:eastAsia="Times New Roman"/>
          <w:vanish/>
        </w:rPr>
        <w:t>ntingentPaymentArrangementsMemberus-gaap:FairValueInputsLevel3Member2018-12-310001333986us-gaap:EquityMethodInvestmentsMemberus-gaap:FairValueInputsLevel3Member2019-01-012019-12-310001333986eqh:EmbeddedDerivativeGMIBReinsuranceMemberus-gaap:FairValueInputs</w:t>
      </w:r>
      <w:r>
        <w:rPr>
          <w:rFonts w:eastAsia="Times New Roman"/>
          <w:vanish/>
        </w:rPr>
        <w:t>Level3Member2019-01-012019-12-310001333986eqh:EmbeddedDerivativeDueFromReinsuranceReinsurersMemberus-gaap:FairValueInputsLevel3Member2019-01-012019-12-310001333986eqh:SeparateAccountsMemberus-gaap:FairValueInputsLevel3Member2019-01-012019-12-310001333986us</w:t>
      </w:r>
      <w:r>
        <w:rPr>
          <w:rFonts w:eastAsia="Times New Roman"/>
          <w:vanish/>
        </w:rPr>
        <w:t>-gaap:FairValueInputsLevel3Membereqh:GuaranteedIncomeBenefitGuaranteedWithdrawalBenefitAndOtherFeaturesLiabilityMember2019-01-012019-12-310001333986eqh:ContingentPaymentArrangementsMemberus-gaap:FairValueInputsLevel3Member2019-01-012019-12-310001333986eqh:</w:t>
      </w:r>
      <w:r>
        <w:rPr>
          <w:rFonts w:eastAsia="Times New Roman"/>
          <w:vanish/>
        </w:rPr>
        <w:t>GuaranteedIncomeBenefitGuaranteedWithdrawalBenefitAndOtherFeaturesLiabilityMember2021-01-012021-12-310001333986eqh:GuaranteedIncomeBenefitGuaranteedWithdrawalBenefitAndOtherFeaturesLiabilityMember2020-01-012020-12-310001333986eqh:EmbeddedDerivativeGMIBRein</w:t>
      </w:r>
      <w:r>
        <w:rPr>
          <w:rFonts w:eastAsia="Times New Roman"/>
          <w:vanish/>
        </w:rPr>
        <w:t>suranceMember2021-01-012021-12-310001333986eqh:EmbeddedDerivativeGMIBReinsuranceMember2020-01-012020-12-310001333986eqh:EmbeddedDerivativeDueFromReinsuranceReinsurersMember2021-10-012021-12-310001333986eqh:EmbeddedDerivativeDueFromReinsuranceReinsurersMemb</w:t>
      </w:r>
      <w:r>
        <w:rPr>
          <w:rFonts w:eastAsia="Times New Roman"/>
          <w:vanish/>
        </w:rPr>
        <w:t>er2021-01-012021-12-310001333986eqh:MatrixPricingModelValuationTechniqueMemberus-gaap:CorporateDebtSecuritiesMemberus-gaap:FairValueInputsLevel3Member2021-12-310001333986eqh:MeasurementInputSpreadOverBenchmarkMembereqh:MatrixPricingModelValuationTechniqueM</w:t>
      </w:r>
      <w:r>
        <w:rPr>
          <w:rFonts w:eastAsia="Times New Roman"/>
          <w:vanish/>
        </w:rPr>
        <w:t>emberus-gaap:CorporateDebtSecuritiesMemberus-gaap:FairValueInputsLevel3Membersrt:MinimumMember2021-12-310001333986srt:MaximumMembereqh:MeasurementInputSpreadOverBenchmarkMembereqh:MatrixPricingModelValuationTechniqueMemberus-gaap:CorporateDebtSecuritiesMem</w:t>
      </w:r>
      <w:r>
        <w:rPr>
          <w:rFonts w:eastAsia="Times New Roman"/>
          <w:vanish/>
        </w:rPr>
        <w:t>berus-gaap:FairValueInputsLevel3Member2021-12-310001333986eqh:MeasurementInputSpreadOverBenchmarkMembersrt:WeightedAverageMembereqh:MatrixPricingModelValuationTechniqueMemberus-gaap:CorporateDebtSecuritiesMemberus-gaap:FairValueInputsLevel3Member2021-12-31</w:t>
      </w:r>
      <w:r>
        <w:rPr>
          <w:rFonts w:eastAsia="Times New Roman"/>
          <w:vanish/>
        </w:rPr>
        <w:t>0001333986eqh:MarketComparableCompaniesValuationTechniqueMemberus-gaap:CorporateDebtSecuritiesMemberus-gaap:FairValueInputsLevel3Member2021-12-310001333986eqh:MarketComparableCompaniesValuationTechniqueMemberus-gaap:CorporateDebtSecuritiesMemberus-gaap:Mea</w:t>
      </w:r>
      <w:r>
        <w:rPr>
          <w:rFonts w:eastAsia="Times New Roman"/>
          <w:vanish/>
        </w:rPr>
        <w:t>surementInputEbitdaMultipleMemberus-gaap:FairValueInputsLevel3Membersrt:MinimumMember2021-12-310001333986eqh:MarketComparableCompaniesValuationTechniqueMembersrt:MaximumMemberus-gaap:CorporateDebtSecuritiesMemberus-gaap:MeasurementInputEbitdaMultipleMember</w:t>
      </w:r>
      <w:r>
        <w:rPr>
          <w:rFonts w:eastAsia="Times New Roman"/>
          <w:vanish/>
        </w:rPr>
        <w:t>us-gaap:FairValueInputsLevel3Member2021-12-310001333986eqh:MarketComparableCompaniesValuationTechniqueMemberus-gaap:MeasurementInputDiscountRateMemberus-gaap:CorporateDebtSecuritiesMemberus-gaap:FairValueInputsLevel3Membersrt:MinimumMember2021-12-310001333</w:t>
      </w:r>
      <w:r>
        <w:rPr>
          <w:rFonts w:eastAsia="Times New Roman"/>
          <w:vanish/>
        </w:rPr>
        <w:t>986eqh:MarketComparableCompaniesValuationTechniqueMembersrt:MaximumMemberus-gaap:MeasurementInputDiscountRateMemberus-gaap:CorporateDebtSecuritiesMemberus-gaap:FairValueInputsLevel3Member2021-12-310001333986eqh:MarketComparableCompaniesValuationTechniqueMe</w:t>
      </w:r>
      <w:r>
        <w:rPr>
          <w:rFonts w:eastAsia="Times New Roman"/>
          <w:vanish/>
        </w:rPr>
        <w:t>mbereqh:MeasurementInputCashFlowMultiplesMemberus-gaap:CorporateDebtSecuritiesMemberus-gaap:FairValueInputsLevel3Membersrt:MinimumMember2021-12-310001333986eqh:MarketComparableCompaniesValuationTechniqueMembersrt:MaximumMembereqh:MeasurementInputCashFlowMu</w:t>
      </w:r>
      <w:r>
        <w:rPr>
          <w:rFonts w:eastAsia="Times New Roman"/>
          <w:vanish/>
        </w:rPr>
        <w:t>ltiplesMemberus-gaap:CorporateDebtSecuritiesMemberus-gaap:FairValueInputsLevel3Member2021-12-310001333986eqh:MarketComparableCompaniesValuationTechniqueMembereqh:MeasurementInputLoanToValueMemberus-gaap:CorporateDebtSecuritiesMemberus-gaap:FairValueInputsL</w:t>
      </w:r>
      <w:r>
        <w:rPr>
          <w:rFonts w:eastAsia="Times New Roman"/>
          <w:vanish/>
        </w:rPr>
        <w:t>evel3Membersrt:MinimumMember2021-12-310001333986eqh:MarketComparableCompaniesValuationTechniqueMembersrt:MaximumMembereqh:MeasurementInputLoanToValueMemberus-gaap:CorporateDebtSecuritiesMemberus-gaap:FairValueInputsLevel3Member2021-12-310001333986eqh:Marke</w:t>
      </w:r>
      <w:r>
        <w:rPr>
          <w:rFonts w:eastAsia="Times New Roman"/>
          <w:vanish/>
        </w:rPr>
        <w:t>tComparableCompaniesValuationTechniqueMembersrt:WeightedAverageMemberus-gaap:CorporateDebtSecuritiesMemberus-gaap:MeasurementInputEbitdaMultipleMemberus-gaap:FairValueInputsLevel3Member2021-12-310001333986eqh:MarketComparableCompaniesValuationTechniqueMemb</w:t>
      </w:r>
      <w:r>
        <w:rPr>
          <w:rFonts w:eastAsia="Times New Roman"/>
          <w:vanish/>
        </w:rPr>
        <w:t>ersrt:WeightedAverageMemberus-gaap:MeasurementInputDiscountRateMemberus-gaap:CorporateDebtSecuritiesMemberus-gaap:FairValueInputsLevel3Member2021-12-310001333986eqh:MarketComparableCompaniesValuationTechniqueMembersrt:WeightedAverageMembereqh:MeasurementIn</w:t>
      </w:r>
      <w:r>
        <w:rPr>
          <w:rFonts w:eastAsia="Times New Roman"/>
          <w:vanish/>
        </w:rPr>
        <w:t>putCashFlowMultiplesMemberus-gaap:CorporateDebtSecuritiesMemberus-gaap:FairValueInputsLevel3Member2021-12-310001333986eqh:MarketComparableCompaniesValuationTechniqueMembersrt:WeightedAverageMembereqh:MeasurementInputLoanToValueMemberus-gaap:CorporateDebtSe</w:t>
      </w:r>
      <w:r>
        <w:rPr>
          <w:rFonts w:eastAsia="Times New Roman"/>
          <w:vanish/>
        </w:rPr>
        <w:t>curitiesMemberus-gaap:FairValueInputsLevel3Member2021-12-310001333986eqh:DiscountedCashFlowValuationTechniqueMemberus-gaap:FairValueInputsLevel3Membereqh:TradingSecuritiesMember2021-12-310001333986eqh:DiscountedCashFlowValuationTechniqueMemberus-gaap:Measu</w:t>
      </w:r>
      <w:r>
        <w:rPr>
          <w:rFonts w:eastAsia="Times New Roman"/>
          <w:vanish/>
        </w:rPr>
        <w:t>rementInputRevenueMultipleMemberus-gaap:FairValueInputsLevel3Membereqh:TradingSecuritiesMember2021-12-310001333986eqh:DiscountedCashFlowValuationTechniqueMembereqh:MeasurementInputsDiscountFactorMemberus-gaap:FairValueInputsLevel3Membereqh:TradingSecuritie</w:t>
      </w:r>
      <w:r>
        <w:rPr>
          <w:rFonts w:eastAsia="Times New Roman"/>
          <w:vanish/>
        </w:rPr>
        <w:t>sMember2021-12-310001333986eqh:DiscountedCashFlowValuationTechniqueMemberus-gaap:FairValueInputsLevel3Membereqh:TradingSecuritiesMember2021-01-012021-12-310001333986eqh:MarketComparableCompaniesValuationTechniqueMemberus-gaap:EquityMethodInvestmentsMemberu</w:t>
      </w:r>
      <w:r>
        <w:rPr>
          <w:rFonts w:eastAsia="Times New Roman"/>
          <w:vanish/>
        </w:rPr>
        <w:t>s-gaap:FairValueInputsLevel3Member2021-12-310001333986eqh:MarketComparableCompaniesValuationTechniqueMemberus-gaap:MeasurementInputRevenueMultipleMemberus-gaap:EquityMethodInvestmentsMemberus-gaap:FairValueInputsLevel3Membersrt:MinimumMember2021-12-3100013</w:t>
      </w:r>
      <w:r>
        <w:rPr>
          <w:rFonts w:eastAsia="Times New Roman"/>
          <w:vanish/>
        </w:rPr>
        <w:t>33986eqh:MarketComparableCompaniesValuationTechniqueMembersrt:MaximumMemberus-gaap:MeasurementInputRevenueMultipleMemberus-gaap:EquityMethodInvestmentsMemberus-gaap:FairValueInputsLevel3Member2021-12-310001333986eqh:MarketComparableCompaniesValuationTechni</w:t>
      </w:r>
      <w:r>
        <w:rPr>
          <w:rFonts w:eastAsia="Times New Roman"/>
          <w:vanish/>
        </w:rPr>
        <w:t>queMembersrt:WeightedAverageMemberus-gaap:MeasurementInputRevenueMultipleMemberus-gaap:EquityMethodInvestmentsMemberus-gaap:FairValueInputsLevel3Member2021-12-310001333986eqh:DiscountedCashFlowValuationTechniqueMembereqh:EmbeddedDerivativeGMIBReinsuranceMe</w:t>
      </w:r>
      <w:r>
        <w:rPr>
          <w:rFonts w:eastAsia="Times New Roman"/>
          <w:vanish/>
        </w:rPr>
        <w:t>mberus-gaap:FairValueInputsLevel3Member2021-12-310001333986eqh:DiscountedCashFlowValuationTechniqueMembereqh:EmbeddedDerivativeGMIBReinsuranceMemberus-gaap:MeasurementInputLapseRateMemberus-gaap:FairValueInputsLevel3Membersrt:MinimumMember2021-12-310001333</w:t>
      </w:r>
      <w:r>
        <w:rPr>
          <w:rFonts w:eastAsia="Times New Roman"/>
          <w:vanish/>
        </w:rPr>
        <w:t>986eqh:DiscountedCashFlowValuationTechniqueMembersrt:MaximumMembereqh:EmbeddedDerivativeGMIBReinsuranceMemberus-gaap:MeasurementInputLapseRateMemberus-gaap:FairValueInputsLevel3Member2021-12-310001333986eqh:DiscountedCashFlowValuationTechniqueMemberus-gaap</w:t>
      </w:r>
      <w:r>
        <w:rPr>
          <w:rFonts w:eastAsia="Times New Roman"/>
          <w:vanish/>
        </w:rPr>
        <w:t>:MeasurementInputWithdrawalRateMembereqh:EmbeddedDerivativeGMIBReinsuranceMemberus-gaap:FairValueInputsLevel3Membersrt:MinimumMember2021-12-310001333986eqh:DiscountedCashFlowValuationTechniqueMembersrt:MaximumMemberus-gaap:MeasurementInputWithdrawalRateMem</w:t>
      </w:r>
      <w:r>
        <w:rPr>
          <w:rFonts w:eastAsia="Times New Roman"/>
          <w:vanish/>
        </w:rPr>
        <w:t>bereqh:EmbeddedDerivativeGMIBReinsuranceMemberus-gaap:FairValueInputsLevel3Member2021-12-310001333986eqh:DiscountedCashFlowValuationTechniqueMembereqh:EmbeddedDerivativeGMIBReinsuranceMemberus-gaap:MeasurementInputUtilizationRateMemberus-gaap:FairValueInpu</w:t>
      </w:r>
      <w:r>
        <w:rPr>
          <w:rFonts w:eastAsia="Times New Roman"/>
          <w:vanish/>
        </w:rPr>
        <w:t>tsLevel3Membersrt:MinimumMember2021-12-310001333986eqh:DiscountedCashFlowValuationTechniqueMembersrt:MaximumMembereqh:EmbeddedDerivativeGMIBReinsuranceMemberus-gaap:MeasurementInputUtilizationRateMemberus-gaap:FairValueInputsLevel3Member2021-12-31000133398</w:t>
      </w:r>
      <w:r>
        <w:rPr>
          <w:rFonts w:eastAsia="Times New Roman"/>
          <w:vanish/>
        </w:rPr>
        <w:t>6eqh:DiscountedCashFlowValuationTechniqueMembereqh:EmbeddedDerivativeGMIBReinsuranceMemberus-gaap:FairValueInputsLevel3Membereqh:MeasurementInputNonperformanceRiskMembersrt:MinimumMember2021-12-310001333986eqh:DiscountedCashFlowValuationTechniqueMembersrt:</w:t>
      </w:r>
      <w:r>
        <w:rPr>
          <w:rFonts w:eastAsia="Times New Roman"/>
          <w:vanish/>
        </w:rPr>
        <w:t>MaximumMembereqh:EmbeddedDerivativeGMIBReinsuranceMemberus-gaap:FairValueInputsLevel3Membereqh:MeasurementInputNonperformanceRiskMember2021-12-310001333986eqh:DiscountedCashFlowValuationTechniqueMembereqh:EmbeddedDerivativeGMIBReinsuranceMembereqh:Measurem</w:t>
      </w:r>
      <w:r>
        <w:rPr>
          <w:rFonts w:eastAsia="Times New Roman"/>
          <w:vanish/>
        </w:rPr>
        <w:t>entInputEquityVolatilityMemberus-gaap:FairValueInputsLevel3Membersrt:MinimumMember2021-12-310001333986eqh:DiscountedCashFlowValuationTechniqueMembersrt:MaximumMembereqh:EmbeddedDerivativeGMIBReinsuranceMembereqh:MeasurementInputEquityVolatilityMemberus-gaa</w:t>
      </w:r>
      <w:r>
        <w:rPr>
          <w:rFonts w:eastAsia="Times New Roman"/>
          <w:vanish/>
        </w:rPr>
        <w:t>p:FairValueInputsLevel3Member2021-12-310001333986eqh:DiscountedCashFlowValuationTechniqueMemberus-gaap:MeasurementInputMortalityRateMembereqh:EmbeddedDerivativeGMIBReinsuranceMembereqh:RangeOneMemberus-gaap:FairValueInputsLevel3Membersrt:MinimumMember2021-</w:t>
      </w:r>
      <w:r>
        <w:rPr>
          <w:rFonts w:eastAsia="Times New Roman"/>
          <w:vanish/>
        </w:rPr>
        <w:t>12-310001333986eqh:DiscountedCashFlowValuationTechniqueMembersrt:MaximumMemberus-gaap:MeasurementInputMortalityRateMembereqh:EmbeddedDerivativeGMIBReinsuranceMembereqh:RangeOneMemberus-gaap:FairValueInputsLevel3Member2021-12-310001333986eqh:DiscountedCashF</w:t>
      </w:r>
      <w:r>
        <w:rPr>
          <w:rFonts w:eastAsia="Times New Roman"/>
          <w:vanish/>
        </w:rPr>
        <w:t>lowValuationTechniqueMemberus-gaap:MeasurementInputMortalityRateMembereqh:EmbeddedDerivativeGMIBReinsuranceMembereqh:RangeTwoMemberus-gaap:FairValueInputsLevel3Membersrt:MinimumMember2021-12-310001333986eqh:DiscountedCashFlowValuationTechniqueMembersrt:Max</w:t>
      </w:r>
      <w:r>
        <w:rPr>
          <w:rFonts w:eastAsia="Times New Roman"/>
          <w:vanish/>
        </w:rPr>
        <w:t>imumMemberus-gaap:MeasurementInputMortalityRateMembereqh:EmbeddedDerivativeGMIBReinsuranceMembereqh:RangeTwoMemberus-gaap:FairValueInputsLevel3Member2021-12-310001333986eqh:DiscountedCashFlowValuationTechniqueMemberus-gaap:MeasurementInputMortalityRateMemb</w:t>
      </w:r>
      <w:r>
        <w:rPr>
          <w:rFonts w:eastAsia="Times New Roman"/>
          <w:vanish/>
        </w:rPr>
        <w:t>ereqh:EmbeddedDerivativeGMIBReinsuranceMembereqh:RangeThreeMemberus-gaap:FairValueInputsLevel3Membersrt:MinimumMember2021-12-310001333986eqh:DiscountedCashFlowValuationTechniqueMembersrt:MaximumMemberus-gaap:MeasurementInputMortalityRateMembereqh:EmbeddedD</w:t>
      </w:r>
      <w:r>
        <w:rPr>
          <w:rFonts w:eastAsia="Times New Roman"/>
          <w:vanish/>
        </w:rPr>
        <w:t>erivativeGMIBReinsuranceMembereqh:RangeThreeMemberus-gaap:FairValueInputsLevel3Member2021-12-310001333986eqh:DiscountedCashFlowValuationTechniqueMembersrt:WeightedAverageMembereqh:EmbeddedDerivativeGMIBReinsuranceMemberus-gaap:MeasurementInputLapseRateMemb</w:t>
      </w:r>
      <w:r>
        <w:rPr>
          <w:rFonts w:eastAsia="Times New Roman"/>
          <w:vanish/>
        </w:rPr>
        <w:t>erus-gaap:FairValueInputsLevel3Member2021-12-310001333986eqh:DiscountedCashFlowValuationTechniqueMembersrt:WeightedAverageMemberus-gaap:MeasurementInputWithdrawalRateMembereqh:EmbeddedDerivativeGMIBReinsuranceMemberus-gaap:FairValueInputsLevel3Member2021-1</w:t>
      </w:r>
      <w:r>
        <w:rPr>
          <w:rFonts w:eastAsia="Times New Roman"/>
          <w:vanish/>
        </w:rPr>
        <w:t>2-310001333986eqh:DiscountedCashFlowValuationTechniqueMembersrt:WeightedAverageMembereqh:EmbeddedDerivativeGMIBReinsuranceMemberus-gaap:MeasurementInputUtilizationRateMemberus-gaap:FairValueInputsLevel3Member2021-12-310001333986eqh:DiscountedCashFlowValuat</w:t>
      </w:r>
      <w:r>
        <w:rPr>
          <w:rFonts w:eastAsia="Times New Roman"/>
          <w:vanish/>
        </w:rPr>
        <w:t>ionTechniqueMembersrt:WeightedAverageMembereqh:EmbeddedDerivativeGMIBReinsuranceMemberus-gaap:FairValueInputsLevel3Membereqh:MeasurementInputNonperformanceRiskMember2021-12-310001333986eqh:DiscountedCashFlowValuationTechniqueMembersrt:WeightedAverageMember</w:t>
      </w:r>
      <w:r>
        <w:rPr>
          <w:rFonts w:eastAsia="Times New Roman"/>
          <w:vanish/>
        </w:rPr>
        <w:t>eqh:EmbeddedDerivativeGMIBReinsuranceMembereqh:MeasurementInputEquityVolatilityMemberus-gaap:FairValueInputsLevel3Member2021-12-310001333986eqh:DiscountedCashFlowValuationTechniqueMembersrt:WeightedAverageMemberus-gaap:MeasurementInputMortalityRateMembereq</w:t>
      </w:r>
      <w:r>
        <w:rPr>
          <w:rFonts w:eastAsia="Times New Roman"/>
          <w:vanish/>
        </w:rPr>
        <w:t>h:EmbeddedDerivativeGMIBReinsuranceMembereqh:RangeOneMemberus-gaap:FairValueInputsLevel3Member2021-12-310001333986eqh:DiscountedCashFlowValuationTechniqueMembersrt:WeightedAverageMemberus-gaap:MeasurementInputMortalityRateMembereqh:EmbeddedDerivativeGMIBRe</w:t>
      </w:r>
      <w:r>
        <w:rPr>
          <w:rFonts w:eastAsia="Times New Roman"/>
          <w:vanish/>
        </w:rPr>
        <w:t>insuranceMembereqh:RangeTwoMemberus-gaap:FairValueInputsLevel3Member2021-12-310001333986eqh:DiscountedCashFlowValuationTechniqueMembersrt:WeightedAverageMemberus-gaap:MeasurementInputMortalityRateMembereqh:EmbeddedDerivativeGMIBReinsuranceMembereqh:RangeTh</w:t>
      </w:r>
      <w:r>
        <w:rPr>
          <w:rFonts w:eastAsia="Times New Roman"/>
          <w:vanish/>
        </w:rPr>
        <w:t>reeMemberus-gaap:FairValueInputsLevel3Member2021-12-310001333986eqh:DiscountedCashFlowValuationTechniqueMembereqh:EmbeddedDerivativeDueFromReinsuranceReinsurersMemberus-gaap:FairValueInputsLevel3Member2021-12-310001333986eqh:DiscountedCashFlowValuationTech</w:t>
      </w:r>
      <w:r>
        <w:rPr>
          <w:rFonts w:eastAsia="Times New Roman"/>
          <w:vanish/>
        </w:rPr>
        <w:t>niqueMemberus-gaap:MeasurementInputLapseRateMembereqh:EmbeddedDerivativeDueFromReinsuranceReinsurersMemberus-gaap:FairValueInputsLevel3Membersrt:MinimumMember2021-12-310001333986eqh:DiscountedCashFlowValuationTechniqueMembersrt:MaximumMemberus-gaap:Measure</w:t>
      </w:r>
      <w:r>
        <w:rPr>
          <w:rFonts w:eastAsia="Times New Roman"/>
          <w:vanish/>
        </w:rPr>
        <w:t>mentInputLapseRateMembereqh:EmbeddedDerivativeDueFromReinsuranceReinsurersMemberus-gaap:FairValueInputsLevel3Member2021-12-310001333986eqh:DiscountedCashFlowValuationTechniqueMemberus-gaap:MeasurementInputWithdrawalRateMembereqh:EmbeddedDerivativeDueFromRe</w:t>
      </w:r>
      <w:r>
        <w:rPr>
          <w:rFonts w:eastAsia="Times New Roman"/>
          <w:vanish/>
        </w:rPr>
        <w:t>insuranceReinsurersMemberus-gaap:FairValueInputsLevel3Membersrt:MinimumMember2021-12-310001333986eqh:DiscountedCashFlowValuationTechniqueMembersrt:MaximumMemberus-gaap:MeasurementInputWithdrawalRateMembereqh:EmbeddedDerivativeDueFromReinsuranceReinsurersMe</w:t>
      </w:r>
      <w:r>
        <w:rPr>
          <w:rFonts w:eastAsia="Times New Roman"/>
          <w:vanish/>
        </w:rPr>
        <w:t>mberus-gaap:FairValueInputsLevel3Member2021-12-310001333986eqh:DiscountedCashFlowValuationTechniqueMemberus-gaap:MeasurementInputUtilizationRateMembereqh:EmbeddedDerivativeDueFromReinsuranceReinsurersMemberus-gaap:FairValueInputsLevel3Membersrt:MinimumMemb</w:t>
      </w:r>
      <w:r>
        <w:rPr>
          <w:rFonts w:eastAsia="Times New Roman"/>
          <w:vanish/>
        </w:rPr>
        <w:t>er2021-12-310001333986eqh:DiscountedCashFlowValuationTechniqueMembersrt:MaximumMemberus-gaap:MeasurementInputUtilizationRateMembereqh:EmbeddedDerivativeDueFromReinsuranceReinsurersMemberus-gaap:FairValueInputsLevel3Member2021-12-310001333986eqh:DiscountedC</w:t>
      </w:r>
      <w:r>
        <w:rPr>
          <w:rFonts w:eastAsia="Times New Roman"/>
          <w:vanish/>
        </w:rPr>
        <w:t>ashFlowValuationTechniqueMembereqh:EmbeddedDerivativeDueFromReinsuranceReinsurersMemberus-gaap:FairValueInputsLevel3Membereqh:MeasurementInputNonperformanceRiskMember2021-12-310001333986eqh:DiscountedCashFlowValuationTechniqueMembereqh:MeasurementInputEqui</w:t>
      </w:r>
      <w:r>
        <w:rPr>
          <w:rFonts w:eastAsia="Times New Roman"/>
          <w:vanish/>
        </w:rPr>
        <w:t>tyVolatilityMembereqh:EmbeddedDerivativeDueFromReinsuranceReinsurersMemberus-gaap:FairValueInputsLevel3Membersrt:MinimumMember2021-12-310001333986eqh:DiscountedCashFlowValuationTechniqueMembersrt:MaximumMembereqh:MeasurementInputEquityVolatilityMembereqh:E</w:t>
      </w:r>
      <w:r>
        <w:rPr>
          <w:rFonts w:eastAsia="Times New Roman"/>
          <w:vanish/>
        </w:rPr>
        <w:t>mbeddedDerivativeDueFromReinsuranceReinsurersMemberus-gaap:FairValueInputsLevel3Member2021-12-310001333986eqh:DiscountedCashFlowValuationTechniqueMemberus-gaap:MeasurementInputMortalityRateMembereqh:RangeOneMembereqh:EmbeddedDerivativeDueFromReinsuranceRei</w:t>
      </w:r>
      <w:r>
        <w:rPr>
          <w:rFonts w:eastAsia="Times New Roman"/>
          <w:vanish/>
        </w:rPr>
        <w:t>nsurersMemberus-gaap:FairValueInputsLevel3Membersrt:MinimumMember2021-12-310001333986eqh:DiscountedCashFlowValuationTechniqueMembersrt:MaximumMemberus-gaap:MeasurementInputMortalityRateMembereqh:RangeOneMembereqh:EmbeddedDerivativeDueFromReinsuranceReinsur</w:t>
      </w:r>
      <w:r>
        <w:rPr>
          <w:rFonts w:eastAsia="Times New Roman"/>
          <w:vanish/>
        </w:rPr>
        <w:t>ersMemberus-gaap:FairValueInputsLevel3Member2021-12-310001333986eqh:DiscountedCashFlowValuationTechniqueMemberus-gaap:MeasurementInputMortalityRateMembereqh:RangeTwoMembereqh:EmbeddedDerivativeDueFromReinsuranceReinsurersMemberus-gaap:FairValueInputsLevel3</w:t>
      </w:r>
      <w:r>
        <w:rPr>
          <w:rFonts w:eastAsia="Times New Roman"/>
          <w:vanish/>
        </w:rPr>
        <w:t>Membersrt:MinimumMember2021-12-310001333986eqh:DiscountedCashFlowValuationTechniqueMembersrt:MaximumMemberus-gaap:MeasurementInputMortalityRateMembereqh:RangeTwoMembereqh:EmbeddedDerivativeDueFromReinsuranceReinsurersMemberus-gaap:FairValueInputsLevel3Memb</w:t>
      </w:r>
      <w:r>
        <w:rPr>
          <w:rFonts w:eastAsia="Times New Roman"/>
          <w:vanish/>
        </w:rPr>
        <w:t>er2021-12-310001333986eqh:DiscountedCashFlowValuationTechniqueMemberus-gaap:MeasurementInputMortalityRateMembereqh:RangeThreeMembereqh:EmbeddedDerivativeDueFromReinsuranceReinsurersMemberus-gaap:FairValueInputsLevel3Membersrt:MinimumMember2021-12-310001333</w:t>
      </w:r>
      <w:r>
        <w:rPr>
          <w:rFonts w:eastAsia="Times New Roman"/>
          <w:vanish/>
        </w:rPr>
        <w:t>986eqh:DiscountedCashFlowValuationTechniqueMembersrt:MaximumMemberus-gaap:MeasurementInputMortalityRateMembereqh:RangeThreeMembereqh:EmbeddedDerivativeDueFromReinsuranceReinsurersMemberus-gaap:FairValueInputsLevel3Member2021-12-310001333986eqh:DiscountedCa</w:t>
      </w:r>
      <w:r>
        <w:rPr>
          <w:rFonts w:eastAsia="Times New Roman"/>
          <w:vanish/>
        </w:rPr>
        <w:t>shFlowValuationTechniqueMembersrt:WeightedAverageMemberus-gaap:MeasurementInputLapseRateMembereqh:EmbeddedDerivativeDueFromReinsuranceReinsurersMemberus-gaap:FairValueInputsLevel3Member2021-12-310001333986eqh:DiscountedCashFlowValuationTechniqueMembersrt:W</w:t>
      </w:r>
      <w:r>
        <w:rPr>
          <w:rFonts w:eastAsia="Times New Roman"/>
          <w:vanish/>
        </w:rPr>
        <w:t>eightedAverageMemberus-gaap:MeasurementInputWithdrawalRateMembereqh:EmbeddedDerivativeDueFromReinsuranceReinsurersMemberus-gaap:FairValueInputsLevel3Member2021-12-310001333986eqh:DiscountedCashFlowValuationTechniqueMembersrt:WeightedAverageMemberus-gaap:Me</w:t>
      </w:r>
      <w:r>
        <w:rPr>
          <w:rFonts w:eastAsia="Times New Roman"/>
          <w:vanish/>
        </w:rPr>
        <w:t>asurementInputUtilizationRateMembereqh:EmbeddedDerivativeDueFromReinsuranceReinsurersMemberus-gaap:FairValueInputsLevel3Member2021-12-310001333986eqh:DiscountedCashFlowValuationTechniqueMembersrt:WeightedAverageMembereqh:EmbeddedDerivativeDueFromReinsuranc</w:t>
      </w:r>
      <w:r>
        <w:rPr>
          <w:rFonts w:eastAsia="Times New Roman"/>
          <w:vanish/>
        </w:rPr>
        <w:t>eReinsurersMemberus-gaap:FairValueInputsLevel3Membereqh:MeasurementInputNonperformanceRiskMember2021-12-310001333986eqh:DiscountedCashFlowValuationTechniqueMembersrt:WeightedAverageMembereqh:MeasurementInputEquityVolatilityMembereqh:EmbeddedDerivativeDueFr</w:t>
      </w:r>
      <w:r>
        <w:rPr>
          <w:rFonts w:eastAsia="Times New Roman"/>
          <w:vanish/>
        </w:rPr>
        <w:t>omReinsuranceReinsurersMemberus-gaap:FairValueInputsLevel3Member2021-12-310001333986eqh:DiscountedCashFlowValuationTechniqueMembersrt:WeightedAverageMemberus-gaap:MeasurementInputMortalityRateMembereqh:RangeOneMembereqh:EmbeddedDerivativeDueFromReinsurance</w:t>
      </w:r>
      <w:r>
        <w:rPr>
          <w:rFonts w:eastAsia="Times New Roman"/>
          <w:vanish/>
        </w:rPr>
        <w:t>ReinsurersMemberus-gaap:FairValueInputsLevel3Member2021-12-310001333986eqh:DiscountedCashFlowValuationTechniqueMembersrt:WeightedAverageMemberus-gaap:MeasurementInputMortalityRateMembereqh:RangeThreeMembereqh:EmbeddedDerivativeDueFromReinsuranceReinsurersM</w:t>
      </w:r>
      <w:r>
        <w:rPr>
          <w:rFonts w:eastAsia="Times New Roman"/>
          <w:vanish/>
        </w:rPr>
        <w:t>emberus-gaap:FairValueInputsLevel3Member2021-12-310001333986eqh:DiscountedCashFlowValuationTechniqueMembersrt:WeightedAverageMemberus-gaap:MeasurementInputMortalityRateMembereqh:RangeTwoMembereqh:EmbeddedDerivativeDueFromReinsuranceReinsurersMemberus-gaap:</w:t>
      </w:r>
      <w:r>
        <w:rPr>
          <w:rFonts w:eastAsia="Times New Roman"/>
          <w:vanish/>
        </w:rPr>
        <w:t>FairValueInputsLevel3Member2021-12-310001333986eqh:DiscountedCashFlowValuationTechniqueMembereqh:AllianceBernsteinMemberus-gaap:FairValueInputsLevel3Member2021-12-310001333986eqh:DiscountedCashFlowValuationTechniqueMemberus-gaap:MeasurementInputLongTermRev</w:t>
      </w:r>
      <w:r>
        <w:rPr>
          <w:rFonts w:eastAsia="Times New Roman"/>
          <w:vanish/>
        </w:rPr>
        <w:t>enueGrowthRateMembereqh:AllianceBernsteinMemberus-gaap:FairValueInputsLevel3Membersrt:MinimumMember2021-12-310001333986eqh:DiscountedCashFlowValuationTechniqueMembersrt:MaximumMemberus-gaap:MeasurementInputLongTermRevenueGrowthRateMembereqh:AllianceBernste</w:t>
      </w:r>
      <w:r>
        <w:rPr>
          <w:rFonts w:eastAsia="Times New Roman"/>
          <w:vanish/>
        </w:rPr>
        <w:t>inMemberus-gaap:FairValueInputsLevel3Member2021-12-310001333986eqh:DiscountedCashFlowValuationTechniqueMemberus-gaap:MeasurementInputDiscountRateMembereqh:AllianceBernsteinMemberus-gaap:FairValueInputsLevel3Membersrt:MinimumMember2021-12-310001333986eqh:Di</w:t>
      </w:r>
      <w:r>
        <w:rPr>
          <w:rFonts w:eastAsia="Times New Roman"/>
          <w:vanish/>
        </w:rPr>
        <w:t>scountedCashFlowValuationTechniqueMembersrt:MaximumMemberus-gaap:MeasurementInputDiscountRateMembereqh:AllianceBernsteinMemberus-gaap:FairValueInputsLevel3Member2021-12-310001333986eqh:DiscountedCashFlowValuationTechniqueMembersrt:WeightedAverageMemberus-g</w:t>
      </w:r>
      <w:r>
        <w:rPr>
          <w:rFonts w:eastAsia="Times New Roman"/>
          <w:vanish/>
        </w:rPr>
        <w:t>aap:MeasurementInputLongTermRevenueGrowthRateMembereqh:AllianceBernsteinMemberus-gaap:FairValueInputsLevel3Member2021-12-310001333986eqh:DiscountedCashFlowValuationTechniqueMembersrt:WeightedAverageMemberus-gaap:MeasurementInputDiscountRateMembereqh:Allian</w:t>
      </w:r>
      <w:r>
        <w:rPr>
          <w:rFonts w:eastAsia="Times New Roman"/>
          <w:vanish/>
        </w:rPr>
        <w:t>ceBernsteinMemberus-gaap:FairValueInputsLevel3Member2021-12-310001333986eqh:DiscountedCashFlowValuationTechniqueMembereqh:GuaranteedMinimumInsuranceBenefitsnoLapseGuaranteeMemberus-gaap:FairValueInputsLevel3Member2021-12-310001333986eqh:DiscountedCashFlowV</w:t>
      </w:r>
      <w:r>
        <w:rPr>
          <w:rFonts w:eastAsia="Times New Roman"/>
          <w:vanish/>
        </w:rPr>
        <w:t>aluationTechniqueMembereqh:GuaranteedMinimumInsuranceBenefitsnoLapseGuaranteeMemberus-gaap:FairValueInputsLevel3Membereqh:MeasurementInputNonperformanceRiskMember2021-12-310001333986eqh:DiscountedCashFlowValuationTechniqueMembereqh:GuaranteedMinimumInsuran</w:t>
      </w:r>
      <w:r>
        <w:rPr>
          <w:rFonts w:eastAsia="Times New Roman"/>
          <w:vanish/>
        </w:rPr>
        <w:t>ceBenefitsnoLapseGuaranteeMemberus-gaap:MeasurementInputLapseRateMemberus-gaap:FairValueInputsLevel3Membersrt:MinimumMember2021-12-310001333986eqh:DiscountedCashFlowValuationTechniqueMembersrt:MaximumMembereqh:GuaranteedMinimumInsuranceBenefitsnoLapseGuara</w:t>
      </w:r>
      <w:r>
        <w:rPr>
          <w:rFonts w:eastAsia="Times New Roman"/>
          <w:vanish/>
        </w:rPr>
        <w:t>nteeMemberus-gaap:MeasurementInputLapseRateMemberus-gaap:FairValueInputsLevel3Member2021-12-310001333986eqh:DiscountedCashFlowValuationTechniqueMemberus-gaap:MeasurementInputWithdrawalRateMembereqh:GuaranteedMinimumInsuranceBenefitsnoLapseGuaranteeMemberus</w:t>
      </w:r>
      <w:r>
        <w:rPr>
          <w:rFonts w:eastAsia="Times New Roman"/>
          <w:vanish/>
        </w:rPr>
        <w:t>-gaap:FairValueInputsLevel3Membersrt:MinimumMember2021-12-310001333986eqh:DiscountedCashFlowValuationTechniqueMembersrt:MaximumMemberus-gaap:MeasurementInputWithdrawalRateMembereqh:GuaranteedMinimumInsuranceBenefitsnoLapseGuaranteeMemberus-gaap:FairValueIn</w:t>
      </w:r>
      <w:r>
        <w:rPr>
          <w:rFonts w:eastAsia="Times New Roman"/>
          <w:vanish/>
        </w:rPr>
        <w:t>putsLevel3Member2021-12-310001333986eqh:DiscountedCashFlowValuationTechniqueMembereqh:GuaranteedMinimumInsuranceBenefitsnoLapseGuaranteeMemberus-gaap:FairValueInputsLevel3Membereqh:MeasurementInputAnnuitizationRateMembersrt:MinimumMember2021-12-31000133398</w:t>
      </w:r>
      <w:r>
        <w:rPr>
          <w:rFonts w:eastAsia="Times New Roman"/>
          <w:vanish/>
        </w:rPr>
        <w:t>6eqh:DiscountedCashFlowValuationTechniqueMembersrt:MaximumMembereqh:GuaranteedMinimumInsuranceBenefitsnoLapseGuaranteeMemberus-gaap:FairValueInputsLevel3Membereqh:MeasurementInputAnnuitizationRateMember2021-12-310001333986eqh:DiscountedCashFlowValuationTec</w:t>
      </w:r>
      <w:r>
        <w:rPr>
          <w:rFonts w:eastAsia="Times New Roman"/>
          <w:vanish/>
        </w:rPr>
        <w:t>hniqueMemberus-gaap:MeasurementInputMortalityRateMembereqh:GuaranteedMinimumInsuranceBenefitsnoLapseGuaranteeMembereqh:RangeOneMemberus-gaap:FairValueInputsLevel3Membersrt:MinimumMember2021-12-310001333986eqh:DiscountedCashFlowValuationTechniqueMembersrt:M</w:t>
      </w:r>
      <w:r>
        <w:rPr>
          <w:rFonts w:eastAsia="Times New Roman"/>
          <w:vanish/>
        </w:rPr>
        <w:t>aximumMemberus-gaap:MeasurementInputMortalityRateMembereqh:GuaranteedMinimumInsuranceBenefitsnoLapseGuaranteeMembereqh:RangeOneMemberus-gaap:FairValueInputsLevel3Member2021-12-310001333986eqh:DiscountedCashFlowValuationTechniqueMemberus-gaap:MeasurementInp</w:t>
      </w:r>
      <w:r>
        <w:rPr>
          <w:rFonts w:eastAsia="Times New Roman"/>
          <w:vanish/>
        </w:rPr>
        <w:t>utMortalityRateMembereqh:GuaranteedMinimumInsuranceBenefitsnoLapseGuaranteeMembereqh:RangeTwoMemberus-gaap:FairValueInputsLevel3Membersrt:MinimumMember2021-12-310001333986eqh:DiscountedCashFlowValuationTechniqueMembersrt:MaximumMemberus-gaap:MeasurementInp</w:t>
      </w:r>
      <w:r>
        <w:rPr>
          <w:rFonts w:eastAsia="Times New Roman"/>
          <w:vanish/>
        </w:rPr>
        <w:t>utMortalityRateMembereqh:GuaranteedMinimumInsuranceBenefitsnoLapseGuaranteeMembereqh:RangeTwoMemberus-gaap:FairValueInputsLevel3Member2021-12-310001333986eqh:DiscountedCashFlowValuationTechniqueMemberus-gaap:MeasurementInputMortalityRateMembereqh:Guarantee</w:t>
      </w:r>
      <w:r>
        <w:rPr>
          <w:rFonts w:eastAsia="Times New Roman"/>
          <w:vanish/>
        </w:rPr>
        <w:t>dMinimumInsuranceBenefitsnoLapseGuaranteeMembereqh:RangeThreeMemberus-gaap:FairValueInputsLevel3Membersrt:MinimumMember2021-12-310001333986eqh:DiscountedCashFlowValuationTechniqueMembersrt:MaximumMemberus-gaap:MeasurementInputMortalityRateMembereqh:Guarant</w:t>
      </w:r>
      <w:r>
        <w:rPr>
          <w:rFonts w:eastAsia="Times New Roman"/>
          <w:vanish/>
        </w:rPr>
        <w:t>eedMinimumInsuranceBenefitsnoLapseGuaranteeMembereqh:RangeThreeMemberus-gaap:FairValueInputsLevel3Member2021-12-310001333986eqh:DiscountedCashFlowValuationTechniqueMembersrt:WeightedAverageMembereqh:GuaranteedMinimumInsuranceBenefitsnoLapseGuaranteeMemberu</w:t>
      </w:r>
      <w:r>
        <w:rPr>
          <w:rFonts w:eastAsia="Times New Roman"/>
          <w:vanish/>
        </w:rPr>
        <w:t>s-gaap:FairValueInputsLevel3Membereqh:MeasurementInputNonperformanceRiskMember2021-12-310001333986eqh:DiscountedCashFlowValuationTechniqueMembersrt:WeightedAverageMembereqh:GuaranteedMinimumInsuranceBenefitsnoLapseGuaranteeMemberus-gaap:MeasurementInputLap</w:t>
      </w:r>
      <w:r>
        <w:rPr>
          <w:rFonts w:eastAsia="Times New Roman"/>
          <w:vanish/>
        </w:rPr>
        <w:t>seRateMemberus-gaap:FairValueInputsLevel3Member2021-12-310001333986eqh:DiscountedCashFlowValuationTechniqueMembersrt:WeightedAverageMemberus-gaap:MeasurementInputWithdrawalRateMembereqh:GuaranteedMinimumInsuranceBenefitsnoLapseGuaranteeMemberus-gaap:FairVa</w:t>
      </w:r>
      <w:r>
        <w:rPr>
          <w:rFonts w:eastAsia="Times New Roman"/>
          <w:vanish/>
        </w:rPr>
        <w:t>lueInputsLevel3Member2021-12-310001333986eqh:DiscountedCashFlowValuationTechniqueMembersrt:WeightedAverageMembereqh:GuaranteedMinimumInsuranceBenefitsnoLapseGuaranteeMemberus-gaap:FairValueInputsLevel3Membereqh:MeasurementInputAnnuitizationRateMember2021-1</w:t>
      </w:r>
      <w:r>
        <w:rPr>
          <w:rFonts w:eastAsia="Times New Roman"/>
          <w:vanish/>
        </w:rPr>
        <w:t>2-310001333986eqh:DiscountedCashFlowValuationTechniqueMembersrt:WeightedAverageMemberus-gaap:MeasurementInputMortalityRateMembereqh:GuaranteedMinimumInsuranceBenefitsnoLapseGuaranteeMembereqh:RangeOneMemberus-gaap:FairValueInputsLevel3Member2021-12-3100013</w:t>
      </w:r>
      <w:r>
        <w:rPr>
          <w:rFonts w:eastAsia="Times New Roman"/>
          <w:vanish/>
        </w:rPr>
        <w:t>33986eqh:DiscountedCashFlowValuationTechniqueMembersrt:WeightedAverageMemberus-gaap:MeasurementInputMortalityRateMembereqh:GuaranteedMinimumInsuranceBenefitsnoLapseGuaranteeMembereqh:RangeThreeMemberus-gaap:FairValueInputsLevel3Member2021-12-310001333986eq</w:t>
      </w:r>
      <w:r>
        <w:rPr>
          <w:rFonts w:eastAsia="Times New Roman"/>
          <w:vanish/>
        </w:rPr>
        <w:t>h:DiscountedCashFlowValuationTechniqueMembersrt:WeightedAverageMemberus-gaap:MeasurementInputMortalityRateMembereqh:GuaranteedMinimumInsuranceBenefitsnoLapseGuaranteeMembereqh:RangeTwoMemberus-gaap:FairValueInputsLevel3Member2021-12-310001333986eqh:Discoun</w:t>
      </w:r>
      <w:r>
        <w:rPr>
          <w:rFonts w:eastAsia="Times New Roman"/>
          <w:vanish/>
        </w:rPr>
        <w:t>tedCashFlowValuationTechniqueMembereqh:GmwbGwblMemberus-gaap:FairValueInputsLevel3Member2021-12-310001333986eqh:DiscountedCashFlowValuationTechniqueMembereqh:GmwbGwblMemberus-gaap:MeasurementInputLapseRateMemberus-gaap:FairValueInputsLevel3Membersrt:Minimu</w:t>
      </w:r>
      <w:r>
        <w:rPr>
          <w:rFonts w:eastAsia="Times New Roman"/>
          <w:vanish/>
        </w:rPr>
        <w:t>mMember2021-12-310001333986eqh:DiscountedCashFlowValuationTechniqueMembersrt:MaximumMembereqh:GmwbGwblMemberus-gaap:MeasurementInputLapseRateMemberus-gaap:FairValueInputsLevel3Member2021-12-310001333986eqh:DiscountedCashFlowValuationTechniqueMemberus-gaap:</w:t>
      </w:r>
      <w:r>
        <w:rPr>
          <w:rFonts w:eastAsia="Times New Roman"/>
          <w:vanish/>
        </w:rPr>
        <w:t>MeasurementInputWithdrawalRateMembereqh:GmwbGwblMemberus-gaap:FairValueInputsLevel3Membersrt:MinimumMember2021-12-310001333986eqh:DiscountedCashFlowValuationTechniqueMembersrt:MaximumMemberus-gaap:MeasurementInputWithdrawalRateMembereqh:GmwbGwblMemberus-ga</w:t>
      </w:r>
      <w:r>
        <w:rPr>
          <w:rFonts w:eastAsia="Times New Roman"/>
          <w:vanish/>
        </w:rPr>
        <w:t>ap:FairValueInputsLevel3Member2021-12-310001333986eqh:DiscountedCashFlowValuationTechniqueMembereqh:GmwbGwblMemberus-gaap:MeasurementInputUtilizationRateMemberus-gaap:FairValueInputsLevel3Member2021-12-310001333986eqh:DiscountedCashFlowValuationTechniqueMe</w:t>
      </w:r>
      <w:r>
        <w:rPr>
          <w:rFonts w:eastAsia="Times New Roman"/>
          <w:vanish/>
        </w:rPr>
        <w:t>mbereqh:GmwbGwblMembereqh:MeasurementInputEquityVolatilityMemberus-gaap:FairValueInputsLevel3Membersrt:MinimumMember2021-12-310001333986eqh:DiscountedCashFlowValuationTechniqueMembersrt:MaximumMembereqh:GmwbGwblMembereqh:MeasurementInputEquityVolatilityMem</w:t>
      </w:r>
      <w:r>
        <w:rPr>
          <w:rFonts w:eastAsia="Times New Roman"/>
          <w:vanish/>
        </w:rPr>
        <w:t>berus-gaap:FairValueInputsLevel3Member2021-12-310001333986eqh:DiscountedCashFlowValuationTechniqueMembereqh:GmwbGwblMemberus-gaap:FairValueInputsLevel3Membereqh:MeasurementInputNonperformanceRiskMembersrt:MinimumMember2021-12-310001333986eqh:DiscountedCash</w:t>
      </w:r>
      <w:r>
        <w:rPr>
          <w:rFonts w:eastAsia="Times New Roman"/>
          <w:vanish/>
        </w:rPr>
        <w:t>FlowValuationTechniqueMembersrt:WeightedAverageMembereqh:GmwbGwblMemberus-gaap:MeasurementInputLapseRateMemberus-gaap:FairValueInputsLevel3Member2021-12-310001333986eqh:DiscountedCashFlowValuationTechniqueMembersrt:WeightedAverageMemberus-gaap:MeasurementI</w:t>
      </w:r>
      <w:r>
        <w:rPr>
          <w:rFonts w:eastAsia="Times New Roman"/>
          <w:vanish/>
        </w:rPr>
        <w:t>nputWithdrawalRateMembereqh:GmwbGwblMemberus-gaap:FairValueInputsLevel3Member2021-12-310001333986eqh:DiscountedCashFlowValuationTechniqueMembersrt:WeightedAverageMembereqh:GmwbGwblMembereqh:MeasurementInputEquityVolatilityMemberus-gaap:FairValueInputsLevel</w:t>
      </w:r>
      <w:r>
        <w:rPr>
          <w:rFonts w:eastAsia="Times New Roman"/>
          <w:vanish/>
        </w:rPr>
        <w:t>3Member2021-12-310001333986eqh:DiscountedCashFlowValuationTechniqueMembereqh:GuaranteedInsuranceBenefitsMemberus-gaap:FairValueInputsLevel3Member2021-12-310001333986eqh:DiscountedCashFlowValuationTechniqueMembereqh:GuaranteedInsuranceBenefitsMemberus-gaap:</w:t>
      </w:r>
      <w:r>
        <w:rPr>
          <w:rFonts w:eastAsia="Times New Roman"/>
          <w:vanish/>
        </w:rPr>
        <w:t>MeasurementInputLapseRateMemberus-gaap:FairValueInputsLevel3Membersrt:MinimumMember2021-12-310001333986eqh:DiscountedCashFlowValuationTechniqueMembersrt:MaximumMembereqh:GuaranteedInsuranceBenefitsMemberus-gaap:MeasurementInputLapseRateMemberus-gaap:FairVa</w:t>
      </w:r>
      <w:r>
        <w:rPr>
          <w:rFonts w:eastAsia="Times New Roman"/>
          <w:vanish/>
        </w:rPr>
        <w:t>lueInputsLevel3Member2021-12-310001333986eqh:DiscountedCashFlowValuationTechniqueMemberus-gaap:MeasurementInputWithdrawalRateMembereqh:GuaranteedInsuranceBenefitsMemberus-gaap:FairValueInputsLevel3Membersrt:MinimumMember2021-12-310001333986eqh:DiscountedCa</w:t>
      </w:r>
      <w:r>
        <w:rPr>
          <w:rFonts w:eastAsia="Times New Roman"/>
          <w:vanish/>
        </w:rPr>
        <w:t>shFlowValuationTechniqueMembersrt:MaximumMemberus-gaap:MeasurementInputWithdrawalRateMembereqh:GuaranteedInsuranceBenefitsMemberus-gaap:FairValueInputsLevel3Member2021-12-310001333986eqh:DiscountedCashFlowValuationTechniqueMembereqh:GuaranteedInsuranceBene</w:t>
      </w:r>
      <w:r>
        <w:rPr>
          <w:rFonts w:eastAsia="Times New Roman"/>
          <w:vanish/>
        </w:rPr>
        <w:t>fitsMemberus-gaap:MeasurementInputUtilizationRateMemberus-gaap:FairValueInputsLevel3Membersrt:MinimumMember2021-12-310001333986eqh:DiscountedCashFlowValuationTechniqueMembersrt:MaximumMembereqh:GuaranteedInsuranceBenefitsMemberus-gaap:MeasurementInputUtili</w:t>
      </w:r>
      <w:r>
        <w:rPr>
          <w:rFonts w:eastAsia="Times New Roman"/>
          <w:vanish/>
        </w:rPr>
        <w:t>zationRateMemberus-gaap:FairValueInputsLevel3Member2021-12-310001333986eqh:DiscountedCashFlowValuationTechniqueMembereqh:GuaranteedInsuranceBenefitsMembereqh:MeasurementInputEquityVolatilityMemberus-gaap:FairValueInputsLevel3Membersrt:MinimumMember2021-12-</w:t>
      </w:r>
      <w:r>
        <w:rPr>
          <w:rFonts w:eastAsia="Times New Roman"/>
          <w:vanish/>
        </w:rPr>
        <w:t>310001333986eqh:DiscountedCashFlowValuationTechniqueMembersrt:MaximumMembereqh:GuaranteedInsuranceBenefitsMembereqh:MeasurementInputEquityVolatilityMemberus-gaap:FairValueInputsLevel3Member2021-12-310001333986eqh:DiscountedCashFlowValuationTechniqueMembere</w:t>
      </w:r>
      <w:r>
        <w:rPr>
          <w:rFonts w:eastAsia="Times New Roman"/>
          <w:vanish/>
        </w:rPr>
        <w:t>qh:GuaranteedInsuranceBenefitsMemberus-gaap:FairValueInputsLevel3Membereqh:MeasurementInputNonperformanceRiskMember2021-12-310001333986eqh:DiscountedCashFlowValuationTechniqueMembersrt:WeightedAverageMembereqh:GuaranteedInsuranceBenefitsMemberus-gaap:Measu</w:t>
      </w:r>
      <w:r>
        <w:rPr>
          <w:rFonts w:eastAsia="Times New Roman"/>
          <w:vanish/>
        </w:rPr>
        <w:t>rementInputLapseRateMemberus-gaap:FairValueInputsLevel3Member2021-12-310001333986eqh:DiscountedCashFlowValuationTechniqueMembersrt:WeightedAverageMemberus-gaap:MeasurementInputWithdrawalRateMembereqh:GuaranteedInsuranceBenefitsMemberus-gaap:FairValueInputs</w:t>
      </w:r>
      <w:r>
        <w:rPr>
          <w:rFonts w:eastAsia="Times New Roman"/>
          <w:vanish/>
        </w:rPr>
        <w:t>Level3Member2021-12-310001333986eqh:DiscountedCashFlowValuationTechniqueMembersrt:WeightedAverageMembereqh:GuaranteedInsuranceBenefitsMemberus-gaap:MeasurementInputUtilizationRateMemberus-gaap:FairValueInputsLevel3Member2021-12-310001333986eqh:DiscountedCa</w:t>
      </w:r>
      <w:r>
        <w:rPr>
          <w:rFonts w:eastAsia="Times New Roman"/>
          <w:vanish/>
        </w:rPr>
        <w:t>shFlowValuationTechniqueMembersrt:WeightedAverageMembereqh:GuaranteedInsuranceBenefitsMembereqh:MeasurementInputEquityVolatilityMemberus-gaap:FairValueInputsLevel3Member2021-12-310001333986eqh:DiscountedCashFlowValuationTechniqueMembereqh:GuaranteedMinimum</w:t>
      </w:r>
      <w:r>
        <w:rPr>
          <w:rFonts w:eastAsia="Times New Roman"/>
          <w:vanish/>
        </w:rPr>
        <w:t>AnnuityBenefitsMemberus-gaap:FairValueInputsLevel3Member2021-12-310001333986eqh:DiscountedCashFlowValuationTechniqueMembereqh:GuaranteedMinimumAnnuityBenefitsMemberus-gaap:MeasurementInputLapseRateMemberus-gaap:FairValueInputsLevel3Membersrt:MinimumMember2</w:t>
      </w:r>
      <w:r>
        <w:rPr>
          <w:rFonts w:eastAsia="Times New Roman"/>
          <w:vanish/>
        </w:rPr>
        <w:t>021-12-310001333986eqh:DiscountedCashFlowValuationTechniqueMembersrt:MaximumMembereqh:GuaranteedMinimumAnnuityBenefitsMemberus-gaap:MeasurementInputLapseRateMemberus-gaap:FairValueInputsLevel3Member2021-12-310001333986eqh:DiscountedCashFlowValuationTechniq</w:t>
      </w:r>
      <w:r>
        <w:rPr>
          <w:rFonts w:eastAsia="Times New Roman"/>
          <w:vanish/>
        </w:rPr>
        <w:t>ueMembereqh:GuaranteedMinimumAnnuityBenefitsMembereqh:MeasurementInputEquityVolatilityMemberus-gaap:FairValueInputsLevel3Membersrt:MinimumMember2021-12-310001333986eqh:DiscountedCashFlowValuationTechniqueMembersrt:MaximumMembereqh:GuaranteedMinimumAnnuityB</w:t>
      </w:r>
      <w:r>
        <w:rPr>
          <w:rFonts w:eastAsia="Times New Roman"/>
          <w:vanish/>
        </w:rPr>
        <w:t>enefitsMembereqh:MeasurementInputEquityVolatilityMemberus-gaap:FairValueInputsLevel3Member2021-12-310001333986eqh:DiscountedCashFlowValuationTechniqueMembereqh:GuaranteedMinimumAnnuityBenefitsMemberus-gaap:FairValueInputsLevel3Membereqh:MeasurementInputNon</w:t>
      </w:r>
      <w:r>
        <w:rPr>
          <w:rFonts w:eastAsia="Times New Roman"/>
          <w:vanish/>
        </w:rPr>
        <w:t>performanceRiskMember2021-12-310001333986eqh:DiscountedCashFlowValuationTechniqueMembersrt:WeightedAverageMembereqh:GuaranteedMinimumAnnuityBenefitsMemberus-gaap:MeasurementInputLapseRateMemberus-gaap:FairValueInputsLevel3Member2021-12-310001333986eqh:Disc</w:t>
      </w:r>
      <w:r>
        <w:rPr>
          <w:rFonts w:eastAsia="Times New Roman"/>
          <w:vanish/>
        </w:rPr>
        <w:t>ountedCashFlowValuationTechniqueMembersrt:WeightedAverageMembereqh:GuaranteedMinimumAnnuityBenefitsMembereqh:MeasurementInputEquityVolatilityMemberus-gaap:FairValueInputsLevel3Member2021-12-310001333986eqh:MatrixPricingModelValuationTechniqueMemberus-gaap:</w:t>
      </w:r>
      <w:r>
        <w:rPr>
          <w:rFonts w:eastAsia="Times New Roman"/>
          <w:vanish/>
        </w:rPr>
        <w:t>CorporateDebtSecuritiesMemberus-gaap:FairValueInputsLevel3Member2020-12-310001333986eqh:MeasurementInputSpreadOverBenchmarkMembereqh:MatrixPricingModelValuationTechniqueMemberus-gaap:CorporateDebtSecuritiesMemberus-gaap:FairValueInputsLevel3Membersrt:Minim</w:t>
      </w:r>
      <w:r>
        <w:rPr>
          <w:rFonts w:eastAsia="Times New Roman"/>
          <w:vanish/>
        </w:rPr>
        <w:t>umMember2020-12-310001333986srt:MaximumMembereqh:MeasurementInputSpreadOverBenchmarkMembereqh:MatrixPricingModelValuationTechniqueMemberus-gaap:CorporateDebtSecuritiesMemberus-gaap:FairValueInputsLevel3Member2020-12-310001333986eqh:MeasurementInputSpreadOv</w:t>
      </w:r>
      <w:r>
        <w:rPr>
          <w:rFonts w:eastAsia="Times New Roman"/>
          <w:vanish/>
        </w:rPr>
        <w:t>erBenchmarkMembersrt:WeightedAverageMembereqh:MatrixPricingModelValuationTechniqueMemberus-gaap:CorporateDebtSecuritiesMemberus-gaap:FairValueInputsLevel3Member2020-12-310001333986eqh:MarketComparableCompaniesValuationTechniqueMemberus-gaap:CorporateDebtSe</w:t>
      </w:r>
      <w:r>
        <w:rPr>
          <w:rFonts w:eastAsia="Times New Roman"/>
          <w:vanish/>
        </w:rPr>
        <w:t>curitiesMemberus-gaap:FairValueInputsLevel3Member2020-12-310001333986eqh:MarketComparableCompaniesValuationTechniqueMemberus-gaap:CorporateDebtSecuritiesMemberus-gaap:MeasurementInputEbitdaMultipleMemberus-gaap:FairValueInputsLevel3Membersrt:MinimumMember2</w:t>
      </w:r>
      <w:r>
        <w:rPr>
          <w:rFonts w:eastAsia="Times New Roman"/>
          <w:vanish/>
        </w:rPr>
        <w:t>020-12-310001333986eqh:MarketComparableCompaniesValuationTechniqueMembersrt:MaximumMemberus-gaap:CorporateDebtSecuritiesMemberus-gaap:MeasurementInputEbitdaMultipleMemberus-gaap:FairValueInputsLevel3Member2020-12-310001333986eqh:MarketComparableCompaniesVa</w:t>
      </w:r>
      <w:r>
        <w:rPr>
          <w:rFonts w:eastAsia="Times New Roman"/>
          <w:vanish/>
        </w:rPr>
        <w:t>luationTechniqueMemberus-gaap:MeasurementInputDiscountRateMemberus-gaap:CorporateDebtSecuritiesMemberus-gaap:FairValueInputsLevel3Membersrt:MinimumMember2020-12-310001333986eqh:MarketComparableCompaniesValuationTechniqueMembersrt:MaximumMemberus-gaap:Measu</w:t>
      </w:r>
      <w:r>
        <w:rPr>
          <w:rFonts w:eastAsia="Times New Roman"/>
          <w:vanish/>
        </w:rPr>
        <w:t>rementInputDiscountRateMemberus-gaap:CorporateDebtSecuritiesMemberus-gaap:FairValueInputsLevel3Member2020-12-310001333986eqh:MarketComparableCompaniesValuationTechniqueMembereqh:MeasurementInputCashFlowMultiplesMemberus-gaap:CorporateDebtSecuritiesMemberus</w:t>
      </w:r>
      <w:r>
        <w:rPr>
          <w:rFonts w:eastAsia="Times New Roman"/>
          <w:vanish/>
        </w:rPr>
        <w:t>-gaap:FairValueInputsLevel3Membersrt:MinimumMember2020-12-310001333986eqh:MarketComparableCompaniesValuationTechniqueMembersrt:MaximumMembereqh:MeasurementInputCashFlowMultiplesMemberus-gaap:CorporateDebtSecuritiesMemberus-gaap:FairValueInputsLevel3Member2</w:t>
      </w:r>
      <w:r>
        <w:rPr>
          <w:rFonts w:eastAsia="Times New Roman"/>
          <w:vanish/>
        </w:rPr>
        <w:t>020-12-310001333986eqh:MarketComparableCompaniesValuationTechniqueMembersrt:WeightedAverageMemberus-gaap:CorporateDebtSecuritiesMemberus-gaap:MeasurementInputEbitdaMultipleMemberus-gaap:FairValueInputsLevel3Member2020-12-310001333986eqh:MarketComparableCom</w:t>
      </w:r>
      <w:r>
        <w:rPr>
          <w:rFonts w:eastAsia="Times New Roman"/>
          <w:vanish/>
        </w:rPr>
        <w:t>paniesValuationTechniqueMembersrt:WeightedAverageMemberus-gaap:MeasurementInputDiscountRateMemberus-gaap:CorporateDebtSecuritiesMemberus-gaap:FairValueInputsLevel3Member2020-12-310001333986eqh:MarketComparableCompaniesValuationTechniqueMembersrt:WeightedAv</w:t>
      </w:r>
      <w:r>
        <w:rPr>
          <w:rFonts w:eastAsia="Times New Roman"/>
          <w:vanish/>
        </w:rPr>
        <w:t>erageMembereqh:MeasurementInputCashFlowMultiplesMemberus-gaap:CorporateDebtSecuritiesMemberus-gaap:FairValueInputsLevel3Member2020-12-310001333986eqh:DiscountedCashFlowValuationTechniqueMemberus-gaap:FairValueInputsLevel3Membereqh:TradingSecuritiesMember20</w:t>
      </w:r>
      <w:r>
        <w:rPr>
          <w:rFonts w:eastAsia="Times New Roman"/>
          <w:vanish/>
        </w:rPr>
        <w:t>20-12-310001333986eqh:DiscountedCashFlowValuationTechniqueMemberus-gaap:MeasurementInputRevenueMultipleMemberus-gaap:FairValueInputsLevel3Membereqh:TradingSecuritiesMember2020-12-310001333986eqh:DiscountedCashFlowValuationTechniqueMembereqh:MeasurementInpu</w:t>
      </w:r>
      <w:r>
        <w:rPr>
          <w:rFonts w:eastAsia="Times New Roman"/>
          <w:vanish/>
        </w:rPr>
        <w:t>tsDiscountFactorMemberus-gaap:FairValueInputsLevel3Membereqh:TradingSecuritiesMember2020-12-310001333986eqh:DiscountedCashFlowValuationTechniqueMemberus-gaap:FairValueInputsLevel3Membereqh:TradingSecuritiesMember2021-01-012021-03-310001333986eqh:MarketComp</w:t>
      </w:r>
      <w:r>
        <w:rPr>
          <w:rFonts w:eastAsia="Times New Roman"/>
          <w:vanish/>
        </w:rPr>
        <w:t>arableCompaniesValuationTechniqueMemberus-gaap:EquityMethodInvestmentsMemberus-gaap:FairValueInputsLevel3Member2020-12-310001333986eqh:MarketComparableCompaniesValuationTechniqueMemberus-gaap:MeasurementInputRevenueMultipleMemberus-gaap:EquityMethodInvestm</w:t>
      </w:r>
      <w:r>
        <w:rPr>
          <w:rFonts w:eastAsia="Times New Roman"/>
          <w:vanish/>
        </w:rPr>
        <w:t>entsMemberus-gaap:FairValueInputsLevel3Membersrt:MinimumMember2020-12-310001333986eqh:MarketComparableCompaniesValuationTechniqueMembersrt:MaximumMemberus-gaap:MeasurementInputRevenueMultipleMemberus-gaap:EquityMethodInvestmentsMemberus-gaap:FairValueInput</w:t>
      </w:r>
      <w:r>
        <w:rPr>
          <w:rFonts w:eastAsia="Times New Roman"/>
          <w:vanish/>
        </w:rPr>
        <w:t>sLevel3Member2020-12-310001333986eqh:MarketComparableCompaniesValuationTechniqueMembersrt:WeightedAverageMemberus-gaap:MeasurementInputRevenueMultipleMemberus-gaap:EquityMethodInvestmentsMemberus-gaap:FairValueInputsLevel3Member2020-12-310001333986eqh:Disc</w:t>
      </w:r>
      <w:r>
        <w:rPr>
          <w:rFonts w:eastAsia="Times New Roman"/>
          <w:vanish/>
        </w:rPr>
        <w:t>ountedCashFlowValuationTechniqueMembereqh:EmbeddedDerivativeGMIBReinsuranceMemberus-gaap:FairValueInputsLevel3Member2020-12-310001333986eqh:DiscountedCashFlowValuationTechniqueMembereqh:EmbeddedDerivativeGMIBReinsuranceMemberus-gaap:FairValueInputsLevel3Me</w:t>
      </w:r>
      <w:r>
        <w:rPr>
          <w:rFonts w:eastAsia="Times New Roman"/>
          <w:vanish/>
        </w:rPr>
        <w:t>mbereqh:MeasurementInputNonperformanceRiskMembersrt:MinimumMember2020-12-310001333986eqh:DiscountedCashFlowValuationTechniqueMembersrt:MaximumMembereqh:EmbeddedDerivativeGMIBReinsuranceMemberus-gaap:FairValueInputsLevel3Membereqh:MeasurementInputNonperform</w:t>
      </w:r>
      <w:r>
        <w:rPr>
          <w:rFonts w:eastAsia="Times New Roman"/>
          <w:vanish/>
        </w:rPr>
        <w:t>anceRiskMember2020-12-310001333986eqh:DiscountedCashFlowValuationTechniqueMembereqh:EmbeddedDerivativeGMIBReinsuranceMemberus-gaap:MeasurementInputLapseRateMemberus-gaap:FairValueInputsLevel3Membersrt:MinimumMember2020-12-310001333986eqh:DiscountedCashFlow</w:t>
      </w:r>
      <w:r>
        <w:rPr>
          <w:rFonts w:eastAsia="Times New Roman"/>
          <w:vanish/>
        </w:rPr>
        <w:t>ValuationTechniqueMembersrt:MaximumMembereqh:EmbeddedDerivativeGMIBReinsuranceMemberus-gaap:MeasurementInputLapseRateMemberus-gaap:FairValueInputsLevel3Member2020-12-310001333986eqh:DiscountedCashFlowValuationTechniqueMemberus-gaap:MeasurementInputWithdraw</w:t>
      </w:r>
      <w:r>
        <w:rPr>
          <w:rFonts w:eastAsia="Times New Roman"/>
          <w:vanish/>
        </w:rPr>
        <w:t>alRateMembereqh:EmbeddedDerivativeGMIBReinsuranceMemberus-gaap:FairValueInputsLevel3Membersrt:MinimumMember2020-12-310001333986eqh:DiscountedCashFlowValuationTechniqueMembersrt:MaximumMemberus-gaap:MeasurementInputWithdrawalRateMembereqh:EmbeddedDerivative</w:t>
      </w:r>
      <w:r>
        <w:rPr>
          <w:rFonts w:eastAsia="Times New Roman"/>
          <w:vanish/>
        </w:rPr>
        <w:t>GMIBReinsuranceMemberus-gaap:FairValueInputsLevel3Member2020-12-310001333986eqh:DiscountedCashFlowValuationTechniqueMembereqh:EmbeddedDerivativeGMIBReinsuranceMemberus-gaap:MeasurementInputUtilizationRateMemberus-gaap:FairValueInputsLevel3Membersrt:Minimum</w:t>
      </w:r>
      <w:r>
        <w:rPr>
          <w:rFonts w:eastAsia="Times New Roman"/>
          <w:vanish/>
        </w:rPr>
        <w:t>Member2020-12-310001333986eqh:DiscountedCashFlowValuationTechniqueMembersrt:MaximumMembereqh:EmbeddedDerivativeGMIBReinsuranceMemberus-gaap:MeasurementInputUtilizationRateMemberus-gaap:FairValueInputsLevel3Member2020-12-310001333986eqh:DiscountedCashFlowVa</w:t>
      </w:r>
      <w:r>
        <w:rPr>
          <w:rFonts w:eastAsia="Times New Roman"/>
          <w:vanish/>
        </w:rPr>
        <w:t>luationTechniqueMembereqh:EmbeddedDerivativeGMIBReinsuranceMembereqh:MeasurementInputEquityVolatilityMemberus-gaap:FairValueInputsLevel3Membersrt:MinimumMember2020-12-310001333986eqh:DiscountedCashFlowValuationTechniqueMembersrt:MaximumMembereqh:EmbeddedDe</w:t>
      </w:r>
      <w:r>
        <w:rPr>
          <w:rFonts w:eastAsia="Times New Roman"/>
          <w:vanish/>
        </w:rPr>
        <w:t>rivativeGMIBReinsuranceMembereqh:MeasurementInputEquityVolatilityMemberus-gaap:FairValueInputsLevel3Member2020-12-310001333986eqh:DiscountedCashFlowValuationTechniqueMemberus-gaap:MeasurementInputMortalityRateMembereqh:EmbeddedDerivativeGMIBReinsuranceMemb</w:t>
      </w:r>
      <w:r>
        <w:rPr>
          <w:rFonts w:eastAsia="Times New Roman"/>
          <w:vanish/>
        </w:rPr>
        <w:t>ereqh:RangeOneMemberus-gaap:FairValueInputsLevel3Membersrt:MinimumMember2020-12-310001333986eqh:DiscountedCashFlowValuationTechniqueMembersrt:MaximumMemberus-gaap:MeasurementInputMortalityRateMembereqh:EmbeddedDerivativeGMIBReinsuranceMembereqh:RangeOneMem</w:t>
      </w:r>
      <w:r>
        <w:rPr>
          <w:rFonts w:eastAsia="Times New Roman"/>
          <w:vanish/>
        </w:rPr>
        <w:t>berus-gaap:FairValueInputsLevel3Member2020-12-310001333986eqh:DiscountedCashFlowValuationTechniqueMemberus-gaap:MeasurementInputMortalityRateMembereqh:EmbeddedDerivativeGMIBReinsuranceMembereqh:RangeTwoMemberus-gaap:FairValueInputsLevel3Membersrt:MinimumMe</w:t>
      </w:r>
      <w:r>
        <w:rPr>
          <w:rFonts w:eastAsia="Times New Roman"/>
          <w:vanish/>
        </w:rPr>
        <w:t>mber2020-12-310001333986eqh:DiscountedCashFlowValuationTechniqueMembersrt:MaximumMemberus-gaap:MeasurementInputMortalityRateMembereqh:EmbeddedDerivativeGMIBReinsuranceMembereqh:RangeTwoMemberus-gaap:FairValueInputsLevel3Member2020-12-310001333986eqh:Discou</w:t>
      </w:r>
      <w:r>
        <w:rPr>
          <w:rFonts w:eastAsia="Times New Roman"/>
          <w:vanish/>
        </w:rPr>
        <w:t>ntedCashFlowValuationTechniqueMemberus-gaap:MeasurementInputMortalityRateMembereqh:EmbeddedDerivativeGMIBReinsuranceMembereqh:RangeThreeMemberus-gaap:FairValueInputsLevel3Membersrt:MinimumMember2020-12-310001333986eqh:DiscountedCashFlowValuationTechniqueMe</w:t>
      </w:r>
      <w:r>
        <w:rPr>
          <w:rFonts w:eastAsia="Times New Roman"/>
          <w:vanish/>
        </w:rPr>
        <w:t>mbersrt:MaximumMemberus-gaap:MeasurementInputMortalityRateMembereqh:EmbeddedDerivativeGMIBReinsuranceMembereqh:RangeThreeMemberus-gaap:FairValueInputsLevel3Member2020-12-310001333986eqh:DiscountedCashFlowValuationTechniqueMembersrt:WeightedAverageMembereqh</w:t>
      </w:r>
      <w:r>
        <w:rPr>
          <w:rFonts w:eastAsia="Times New Roman"/>
          <w:vanish/>
        </w:rPr>
        <w:t>:EmbeddedDerivativeGMIBReinsuranceMemberus-gaap:FairValueInputsLevel3Membereqh:MeasurementInputNonperformanceRiskMember2020-12-310001333986eqh:DiscountedCashFlowValuationTechniqueMembersrt:WeightedAverageMembereqh:EmbeddedDerivativeGMIBReinsuranceMemberus-</w:t>
      </w:r>
      <w:r>
        <w:rPr>
          <w:rFonts w:eastAsia="Times New Roman"/>
          <w:vanish/>
        </w:rPr>
        <w:t>gaap:MeasurementInputLapseRateMemberus-gaap:FairValueInputsLevel3Member2020-12-310001333986eqh:DiscountedCashFlowValuationTechniqueMembersrt:WeightedAverageMemberus-gaap:MeasurementInputWithdrawalRateMembereqh:EmbeddedDerivativeGMIBReinsuranceMemberus-gaap</w:t>
      </w:r>
      <w:r>
        <w:rPr>
          <w:rFonts w:eastAsia="Times New Roman"/>
          <w:vanish/>
        </w:rPr>
        <w:t>:FairValueInputsLevel3Member2020-12-310001333986eqh:DiscountedCashFlowValuationTechniqueMembersrt:WeightedAverageMembereqh:EmbeddedDerivativeGMIBReinsuranceMemberus-gaap:MeasurementInputUtilizationRateMemberus-gaap:FairValueInputsLevel3Member2020-12-310001</w:t>
      </w:r>
      <w:r>
        <w:rPr>
          <w:rFonts w:eastAsia="Times New Roman"/>
          <w:vanish/>
        </w:rPr>
        <w:t>333986eqh:DiscountedCashFlowValuationTechniqueMembersrt:WeightedAverageMembereqh:EmbeddedDerivativeGMIBReinsuranceMembereqh:MeasurementInputEquityVolatilityMemberus-gaap:FairValueInputsLevel3Member2020-12-310001333986eqh:DiscountedCashFlowValuationTechniqu</w:t>
      </w:r>
      <w:r>
        <w:rPr>
          <w:rFonts w:eastAsia="Times New Roman"/>
          <w:vanish/>
        </w:rPr>
        <w:t>eMembersrt:WeightedAverageMemberus-gaap:MeasurementInputMortalityRateMembereqh:EmbeddedDerivativeGMIBReinsuranceMembereqh:RangeTwoMemberus-gaap:FairValueInputsLevel3Member2020-12-310001333986eqh:DiscountedCashFlowValuationTechniqueMembersrt:WeightedAverage</w:t>
      </w:r>
      <w:r>
        <w:rPr>
          <w:rFonts w:eastAsia="Times New Roman"/>
          <w:vanish/>
        </w:rPr>
        <w:t>Memberus-gaap:MeasurementInputMortalityRateMembereqh:EmbeddedDerivativeGMIBReinsuranceMembereqh:RangeThreeMemberus-gaap:FairValueInputsLevel3Member2020-12-310001333986eqh:DiscountedCashFlowValuationTechniqueMembersrt:WeightedAverageMemberus-gaap:Measuremen</w:t>
      </w:r>
      <w:r>
        <w:rPr>
          <w:rFonts w:eastAsia="Times New Roman"/>
          <w:vanish/>
        </w:rPr>
        <w:t>tInputMortalityRateMembereqh:EmbeddedDerivativeGMIBReinsuranceMembereqh:RangeOneMemberus-gaap:FairValueInputsLevel3Member2020-12-310001333986eqh:DiscountedCashFlowValuationTechniqueMembereqh:AllianceBernsteinMemberus-gaap:FairValueInputsLevel3Member2020-12</w:t>
      </w:r>
      <w:r>
        <w:rPr>
          <w:rFonts w:eastAsia="Times New Roman"/>
          <w:vanish/>
        </w:rPr>
        <w:t>-310001333986eqh:DiscountedCashFlowValuationTechniqueMemberus-gaap:MeasurementInputLongTermRevenueGrowthRateMembereqh:AllianceBernsteinMemberus-gaap:FairValueInputsLevel3Membersrt:MinimumMember2020-12-310001333986eqh:DiscountedCashFlowValuationTechniqueMem</w:t>
      </w:r>
      <w:r>
        <w:rPr>
          <w:rFonts w:eastAsia="Times New Roman"/>
          <w:vanish/>
        </w:rPr>
        <w:t>bersrt:MaximumMemberus-gaap:MeasurementInputLongTermRevenueGrowthRateMembereqh:AllianceBernsteinMemberus-gaap:FairValueInputsLevel3Member2020-12-310001333986eqh:DiscountedCashFlowValuationTechniqueMemberus-gaap:MeasurementInputDiscountRateMembereqh:Allianc</w:t>
      </w:r>
      <w:r>
        <w:rPr>
          <w:rFonts w:eastAsia="Times New Roman"/>
          <w:vanish/>
        </w:rPr>
        <w:t>eBernsteinMemberus-gaap:FairValueInputsLevel3Membersrt:MinimumMember2020-12-310001333986eqh:DiscountedCashFlowValuationTechniqueMembersrt:MaximumMemberus-gaap:MeasurementInputDiscountRateMembereqh:AllianceBernsteinMemberus-gaap:FairValueInputsLevel3Member2</w:t>
      </w:r>
      <w:r>
        <w:rPr>
          <w:rFonts w:eastAsia="Times New Roman"/>
          <w:vanish/>
        </w:rPr>
        <w:t>020-12-310001333986eqh:DiscountedCashFlowValuationTechniqueMembersrt:WeightedAverageMemberus-gaap:MeasurementInputLongTermRevenueGrowthRateMembereqh:AllianceBernsteinMemberus-gaap:FairValueInputsLevel3Member2020-12-310001333986eqh:DiscountedCashFlowValuati</w:t>
      </w:r>
      <w:r>
        <w:rPr>
          <w:rFonts w:eastAsia="Times New Roman"/>
          <w:vanish/>
        </w:rPr>
        <w:t>onTechniqueMembersrt:WeightedAverageMemberus-gaap:MeasurementInputDiscountRateMembereqh:AllianceBernsteinMemberus-gaap:FairValueInputsLevel3Member2020-12-310001333986eqh:DiscountedCashFlowValuationTechniqueMembereqh:GuaranteedMinimumInsuranceBenefitsnoLaps</w:t>
      </w:r>
      <w:r>
        <w:rPr>
          <w:rFonts w:eastAsia="Times New Roman"/>
          <w:vanish/>
        </w:rPr>
        <w:t>eGuaranteeMemberus-gaap:FairValueInputsLevel3Member2020-12-310001333986eqh:DiscountedCashFlowValuationTechniqueMembereqh:GuaranteedMinimumInsuranceBenefitsnoLapseGuaranteeMemberus-gaap:FairValueInputsLevel3Membereqh:MeasurementInputNonperformanceRiskMember</w:t>
      </w:r>
      <w:r>
        <w:rPr>
          <w:rFonts w:eastAsia="Times New Roman"/>
          <w:vanish/>
        </w:rPr>
        <w:t>2020-12-310001333986eqh:DiscountedCashFlowValuationTechniqueMembereqh:GuaranteedMinimumInsuranceBenefitsnoLapseGuaranteeMemberus-gaap:MeasurementInputLapseRateMemberus-gaap:FairValueInputsLevel3Membersrt:MinimumMember2020-12-310001333986eqh:DiscountedCashF</w:t>
      </w:r>
      <w:r>
        <w:rPr>
          <w:rFonts w:eastAsia="Times New Roman"/>
          <w:vanish/>
        </w:rPr>
        <w:t>lowValuationTechniqueMembersrt:MaximumMembereqh:GuaranteedMinimumInsuranceBenefitsnoLapseGuaranteeMemberus-gaap:MeasurementInputLapseRateMemberus-gaap:FairValueInputsLevel3Member2020-12-310001333986eqh:DiscountedCashFlowValuationTechniqueMemberus-gaap:Meas</w:t>
      </w:r>
      <w:r>
        <w:rPr>
          <w:rFonts w:eastAsia="Times New Roman"/>
          <w:vanish/>
        </w:rPr>
        <w:t>urementInputWithdrawalRateMembereqh:GuaranteedMinimumInsuranceBenefitsnoLapseGuaranteeMemberus-gaap:FairValueInputsLevel3Membersrt:MinimumMember2020-12-310001333986eqh:DiscountedCashFlowValuationTechniqueMembersrt:MaximumMemberus-gaap:MeasurementInputWithd</w:t>
      </w:r>
      <w:r>
        <w:rPr>
          <w:rFonts w:eastAsia="Times New Roman"/>
          <w:vanish/>
        </w:rPr>
        <w:t>rawalRateMembereqh:GuaranteedMinimumInsuranceBenefitsnoLapseGuaranteeMemberus-gaap:FairValueInputsLevel3Member2020-12-310001333986eqh:DiscountedCashFlowValuationTechniqueMembereqh:GuaranteedMinimumInsuranceBenefitsnoLapseGuaranteeMemberus-gaap:FairValueInp</w:t>
      </w:r>
      <w:r>
        <w:rPr>
          <w:rFonts w:eastAsia="Times New Roman"/>
          <w:vanish/>
        </w:rPr>
        <w:t>utsLevel3Membereqh:MeasurementInputAnnuitizationRateMembersrt:MinimumMember2020-12-310001333986eqh:DiscountedCashFlowValuationTechniqueMembersrt:MaximumMembereqh:GuaranteedMinimumInsuranceBenefitsnoLapseGuaranteeMemberus-gaap:FairValueInputsLevel3Membereqh</w:t>
      </w:r>
      <w:r>
        <w:rPr>
          <w:rFonts w:eastAsia="Times New Roman"/>
          <w:vanish/>
        </w:rPr>
        <w:t>:MeasurementInputAnnuitizationRateMember2020-12-310001333986eqh:DiscountedCashFlowValuationTechniqueMemberus-gaap:MeasurementInputMortalityRateMembereqh:GuaranteedMinimumInsuranceBenefitsnoLapseGuaranteeMembereqh:RangeOneMemberus-gaap:FairValueInputsLevel3</w:t>
      </w:r>
      <w:r>
        <w:rPr>
          <w:rFonts w:eastAsia="Times New Roman"/>
          <w:vanish/>
        </w:rPr>
        <w:t>Membersrt:MinimumMember2020-12-310001333986eqh:DiscountedCashFlowValuationTechniqueMembersrt:MaximumMemberus-gaap:MeasurementInputMortalityRateMembereqh:GuaranteedMinimumInsuranceBenefitsnoLapseGuaranteeMembereqh:RangeOneMemberus-gaap:FairValueInputsLevel3</w:t>
      </w:r>
      <w:r>
        <w:rPr>
          <w:rFonts w:eastAsia="Times New Roman"/>
          <w:vanish/>
        </w:rPr>
        <w:t>Member2020-12-310001333986eqh:DiscountedCashFlowValuationTechniqueMemberus-gaap:MeasurementInputMortalityRateMembereqh:GuaranteedMinimumInsuranceBenefitsnoLapseGuaranteeMembereqh:RangeTwoMemberus-gaap:FairValueInputsLevel3Membersrt:MinimumMember2020-12-310</w:t>
      </w:r>
      <w:r>
        <w:rPr>
          <w:rFonts w:eastAsia="Times New Roman"/>
          <w:vanish/>
        </w:rPr>
        <w:t>001333986eqh:DiscountedCashFlowValuationTechniqueMembersrt:MaximumMemberus-gaap:MeasurementInputMortalityRateMembereqh:GuaranteedMinimumInsuranceBenefitsnoLapseGuaranteeMembereqh:RangeTwoMemberus-gaap:FairValueInputsLevel3Member2020-12-310001333986eqh:Disc</w:t>
      </w:r>
      <w:r>
        <w:rPr>
          <w:rFonts w:eastAsia="Times New Roman"/>
          <w:vanish/>
        </w:rPr>
        <w:t>ountedCashFlowValuationTechniqueMemberus-gaap:MeasurementInputMortalityRateMembereqh:GuaranteedMinimumInsuranceBenefitsnoLapseGuaranteeMembereqh:RangeThreeMemberus-gaap:FairValueInputsLevel3Membersrt:MinimumMember2020-12-310001333986eqh:DiscountedCashFlowV</w:t>
      </w:r>
      <w:r>
        <w:rPr>
          <w:rFonts w:eastAsia="Times New Roman"/>
          <w:vanish/>
        </w:rPr>
        <w:t>aluationTechniqueMembersrt:MaximumMemberus-gaap:MeasurementInputMortalityRateMembereqh:GuaranteedMinimumInsuranceBenefitsnoLapseGuaranteeMembereqh:RangeThreeMemberus-gaap:FairValueInputsLevel3Member2020-12-310001333986eqh:DiscountedCashFlowValuationTechniq</w:t>
      </w:r>
      <w:r>
        <w:rPr>
          <w:rFonts w:eastAsia="Times New Roman"/>
          <w:vanish/>
        </w:rPr>
        <w:t>ueMembersrt:WeightedAverageMembereqh:GuaranteedMinimumInsuranceBenefitsnoLapseGuaranteeMemberus-gaap:MeasurementInputLapseRateMemberus-gaap:FairValueInputsLevel3Member2020-12-310001333986eqh:DiscountedCashFlowValuationTechniqueMembersrt:WeightedAverageMemb</w:t>
      </w:r>
      <w:r>
        <w:rPr>
          <w:rFonts w:eastAsia="Times New Roman"/>
          <w:vanish/>
        </w:rPr>
        <w:t>erus-gaap:MeasurementInputWithdrawalRateMembereqh:GuaranteedMinimumInsuranceBenefitsnoLapseGuaranteeMemberus-gaap:FairValueInputsLevel3Member2020-12-310001333986eqh:DiscountedCashFlowValuationTechniqueMembersrt:WeightedAverageMembereqh:GuaranteedMinimumIns</w:t>
      </w:r>
      <w:r>
        <w:rPr>
          <w:rFonts w:eastAsia="Times New Roman"/>
          <w:vanish/>
        </w:rPr>
        <w:t>uranceBenefitsnoLapseGuaranteeMemberus-gaap:FairValueInputsLevel3Membereqh:MeasurementInputAnnuitizationRateMember2020-12-310001333986eqh:DiscountedCashFlowValuationTechniqueMembersrt:WeightedAverageMemberus-gaap:MeasurementInputMortalityRateMembereqh:Guar</w:t>
      </w:r>
      <w:r>
        <w:rPr>
          <w:rFonts w:eastAsia="Times New Roman"/>
          <w:vanish/>
        </w:rPr>
        <w:t>anteedMinimumInsuranceBenefitsnoLapseGuaranteeMembereqh:RangeOneMemberus-gaap:FairValueInputsLevel3Member2020-12-310001333986eqh:DiscountedCashFlowValuationTechniqueMembersrt:WeightedAverageMemberus-gaap:MeasurementInputMortalityRateMembereqh:GuaranteedMin</w:t>
      </w:r>
      <w:r>
        <w:rPr>
          <w:rFonts w:eastAsia="Times New Roman"/>
          <w:vanish/>
        </w:rPr>
        <w:t>imumInsuranceBenefitsnoLapseGuaranteeMembereqh:RangeTwoMemberus-gaap:FairValueInputsLevel3Member2020-12-310001333986eqh:DiscountedCashFlowValuationTechniqueMembersrt:WeightedAverageMemberus-gaap:MeasurementInputMortalityRateMembereqh:GuaranteedMinimumInsur</w:t>
      </w:r>
      <w:r>
        <w:rPr>
          <w:rFonts w:eastAsia="Times New Roman"/>
          <w:vanish/>
        </w:rPr>
        <w:t>anceBenefitsnoLapseGuaranteeMembereqh:RangeThreeMemberus-gaap:FairValueInputsLevel3Member2020-12-310001333986eqh:DiscountedCashFlowValuationTechniqueMembereqh:AssumedGMIBReinsuranceContractsMemberus-gaap:FairValueInputsLevel3Member2020-12-310001333986eqh:D</w:t>
      </w:r>
      <w:r>
        <w:rPr>
          <w:rFonts w:eastAsia="Times New Roman"/>
          <w:vanish/>
        </w:rPr>
        <w:t>iscountedCashFlowValuationTechniqueMembereqh:AssumedGMIBReinsuranceContractsMemberus-gaap:FairValueInputsLevel3Membereqh:MeasurementInputNonperformanceRiskMembersrt:MinimumMember2020-12-310001333986eqh:DiscountedCashFlowValuationTechniqueMembersrt:MaximumM</w:t>
      </w:r>
      <w:r>
        <w:rPr>
          <w:rFonts w:eastAsia="Times New Roman"/>
          <w:vanish/>
        </w:rPr>
        <w:t>embereqh:AssumedGMIBReinsuranceContractsMemberus-gaap:FairValueInputsLevel3Membereqh:MeasurementInputNonperformanceRiskMember2020-12-310001333986eqh:DiscountedCashFlowValuationTechniqueMembereqh:AssumedGMIBReinsuranceContractsMemberus-gaap:MeasurementInput</w:t>
      </w:r>
      <w:r>
        <w:rPr>
          <w:rFonts w:eastAsia="Times New Roman"/>
          <w:vanish/>
        </w:rPr>
        <w:t>LapseRateMemberus-gaap:FairValueInputsLevel3Membersrt:MinimumMember2020-12-310001333986eqh:DiscountedCashFlowValuationTechniqueMembersrt:MaximumMembereqh:AssumedGMIBReinsuranceContractsMemberus-gaap:MeasurementInputLapseRateMemberus-gaap:FairValueInputsLev</w:t>
      </w:r>
      <w:r>
        <w:rPr>
          <w:rFonts w:eastAsia="Times New Roman"/>
          <w:vanish/>
        </w:rPr>
        <w:t>el3Member2020-12-310001333986eqh:DiscountedCashFlowValuationTechniqueMembereqh:AssumedGMIBReinsuranceContractsMemberus-gaap:MeasurementInputWithdrawalRateMemberus-gaap:FairValueInputsLevel3Membersrt:MinimumMember2020-12-310001333986eqh:DiscountedCashFlowVa</w:t>
      </w:r>
      <w:r>
        <w:rPr>
          <w:rFonts w:eastAsia="Times New Roman"/>
          <w:vanish/>
        </w:rPr>
        <w:t>luationTechniqueMembersrt:MaximumMembereqh:AssumedGMIBReinsuranceContractsMemberus-gaap:MeasurementInputWithdrawalRateMemberus-gaap:FairValueInputsLevel3Member2020-12-310001333986eqh:DiscountedCashFlowValuationTechniqueMembereqh:AssumedGMIBReinsuranceContr</w:t>
      </w:r>
      <w:r>
        <w:rPr>
          <w:rFonts w:eastAsia="Times New Roman"/>
          <w:vanish/>
        </w:rPr>
        <w:t>actsMembereqh:MeasurementInputWithdrawalRateTwoMemberus-gaap:FairValueInputsLevel3Membersrt:MinimumMember2020-12-310001333986eqh:DiscountedCashFlowValuationTechniqueMembersrt:MaximumMembereqh:AssumedGMIBReinsuranceContractsMembereqh:MeasurementInputWithdra</w:t>
      </w:r>
      <w:r>
        <w:rPr>
          <w:rFonts w:eastAsia="Times New Roman"/>
          <w:vanish/>
        </w:rPr>
        <w:t>walRateTwoMemberus-gaap:FairValueInputsLevel3Member2020-12-310001333986eqh:DiscountedCashFlowValuationTechniqueMembereqh:AssumedGMIBReinsuranceContractsMemberus-gaap:MeasurementInputUtilizationRateMemberus-gaap:FairValueInputsLevel3Membersrt:MinimumMember2</w:t>
      </w:r>
      <w:r>
        <w:rPr>
          <w:rFonts w:eastAsia="Times New Roman"/>
          <w:vanish/>
        </w:rPr>
        <w:t>020-12-310001333986eqh:DiscountedCashFlowValuationTechniqueMembersrt:MaximumMembereqh:AssumedGMIBReinsuranceContractsMemberus-gaap:MeasurementInputUtilizationRateMemberus-gaap:FairValueInputsLevel3Member2020-12-310001333986eqh:DiscountedCashFlowValuationTe</w:t>
      </w:r>
      <w:r>
        <w:rPr>
          <w:rFonts w:eastAsia="Times New Roman"/>
          <w:vanish/>
        </w:rPr>
        <w:t>chniqueMembereqh:AssumedGMIBReinsuranceContractsMembereqh:MeasurementInputEquityVolatilityMemberus-gaap:FairValueInputsLevel3Membersrt:MinimumMember2020-12-310001333986eqh:DiscountedCashFlowValuationTechniqueMembersrt:MaximumMembereqh:AssumedGMIBReinsuranc</w:t>
      </w:r>
      <w:r>
        <w:rPr>
          <w:rFonts w:eastAsia="Times New Roman"/>
          <w:vanish/>
        </w:rPr>
        <w:t>eContractsMembereqh:MeasurementInputEquityVolatilityMemberus-gaap:FairValueInputsLevel3Member2020-12-310001333986eqh:DiscountedCashFlowValuationTechniqueMembersrt:WeightedAverageMembereqh:AssumedGMIBReinsuranceContractsMemberus-gaap:FairValueInputsLevel3Me</w:t>
      </w:r>
      <w:r>
        <w:rPr>
          <w:rFonts w:eastAsia="Times New Roman"/>
          <w:vanish/>
        </w:rPr>
        <w:t>mbereqh:MeasurementInputNonperformanceRiskMember2020-12-310001333986eqh:DiscountedCashFlowValuationTechniqueMembersrt:WeightedAverageMembereqh:AssumedGMIBReinsuranceContractsMemberus-gaap:MeasurementInputLapseRateMemberus-gaap:FairValueInputsLevel3Member20</w:t>
      </w:r>
      <w:r>
        <w:rPr>
          <w:rFonts w:eastAsia="Times New Roman"/>
          <w:vanish/>
        </w:rPr>
        <w:t>20-12-310001333986eqh:DiscountedCashFlowValuationTechniqueMembersrt:WeightedAverageMembereqh:AssumedGMIBReinsuranceContractsMemberus-gaap:MeasurementInputWithdrawalRateMemberus-gaap:FairValueInputsLevel3Member2020-12-310001333986eqh:DiscountedCashFlowValua</w:t>
      </w:r>
      <w:r>
        <w:rPr>
          <w:rFonts w:eastAsia="Times New Roman"/>
          <w:vanish/>
        </w:rPr>
        <w:t>tionTechniqueMembersrt:WeightedAverageMembereqh:AssumedGMIBReinsuranceContractsMembereqh:MeasurementInputWithdrawalRateTwoMemberus-gaap:FairValueInputsLevel3Member2020-12-310001333986eqh:DiscountedCashFlowValuationTechniqueMembersrt:WeightedAverageMembereq</w:t>
      </w:r>
      <w:r>
        <w:rPr>
          <w:rFonts w:eastAsia="Times New Roman"/>
          <w:vanish/>
        </w:rPr>
        <w:t>h:AssumedGMIBReinsuranceContractsMemberus-gaap:MeasurementInputUtilizationRateMemberus-gaap:FairValueInputsLevel3Member2020-12-310001333986eqh:DiscountedCashFlowValuationTechniqueMembersrt:WeightedAverageMembereqh:AssumedGMIBReinsuranceContractsMembereqh:M</w:t>
      </w:r>
      <w:r>
        <w:rPr>
          <w:rFonts w:eastAsia="Times New Roman"/>
          <w:vanish/>
        </w:rPr>
        <w:t>easurementInputEquityVolatilityMemberus-gaap:FairValueInputsLevel3Member2020-12-310001333986eqh:DiscountedCashFlowValuationTechniqueMembereqh:GmwbGwblMemberus-gaap:FairValueInputsLevel3Member2020-12-310001333986eqh:DiscountedCashFlowValuationTechniqueMembe</w:t>
      </w:r>
      <w:r>
        <w:rPr>
          <w:rFonts w:eastAsia="Times New Roman"/>
          <w:vanish/>
        </w:rPr>
        <w:t>reqh:GmwbGwblMemberus-gaap:FairValueInputsLevel3Membereqh:MeasurementInputNonperformanceRiskMember2020-12-310001333986eqh:DiscountedCashFlowValuationTechniqueMembereqh:GmwbGwblMemberus-gaap:MeasurementInputLapseRateMemberus-gaap:FairValueInputsLevel3Member</w:t>
      </w:r>
      <w:r>
        <w:rPr>
          <w:rFonts w:eastAsia="Times New Roman"/>
          <w:vanish/>
        </w:rPr>
        <w:t>srt:MinimumMember2020-12-310001333986eqh:DiscountedCashFlowValuationTechniqueMembersrt:MaximumMembereqh:GmwbGwblMemberus-gaap:MeasurementInputLapseRateMemberus-gaap:FairValueInputsLevel3Member2020-12-310001333986eqh:DiscountedCashFlowValuationTechniqueMemb</w:t>
      </w:r>
      <w:r>
        <w:rPr>
          <w:rFonts w:eastAsia="Times New Roman"/>
          <w:vanish/>
        </w:rPr>
        <w:t>erus-gaap:MeasurementInputWithdrawalRateMembereqh:GmwbGwblMemberus-gaap:FairValueInputsLevel3Membersrt:MinimumMember2020-12-310001333986eqh:DiscountedCashFlowValuationTechniqueMembersrt:MaximumMemberus-gaap:MeasurementInputWithdrawalRateMembereqh:GmwbGwblM</w:t>
      </w:r>
      <w:r>
        <w:rPr>
          <w:rFonts w:eastAsia="Times New Roman"/>
          <w:vanish/>
        </w:rPr>
        <w:t>emberus-gaap:FairValueInputsLevel3Member2020-12-310001333986eqh:DiscountedCashFlowValuationTechniqueMembereqh:GmwbGwblMemberus-gaap:MeasurementInputUtilizationRateMemberus-gaap:FairValueInputsLevel3Member2020-12-310001333986eqh:DiscountedCashFlowValuationT</w:t>
      </w:r>
      <w:r>
        <w:rPr>
          <w:rFonts w:eastAsia="Times New Roman"/>
          <w:vanish/>
        </w:rPr>
        <w:t>echniqueMembereqh:GmwbGwblMembereqh:MeasurementInputEquityVolatilityMemberus-gaap:FairValueInputsLevel3Membersrt:MinimumMember2020-12-310001333986eqh:DiscountedCashFlowValuationTechniqueMembersrt:MaximumMembereqh:GmwbGwblMembereqh:MeasurementInputEquityVol</w:t>
      </w:r>
      <w:r>
        <w:rPr>
          <w:rFonts w:eastAsia="Times New Roman"/>
          <w:vanish/>
        </w:rPr>
        <w:t>atilityMemberus-gaap:FairValueInputsLevel3Member2020-12-310001333986eqh:DiscountedCashFlowValuationTechniqueMembersrt:WeightedAverageMembereqh:GmwbGwblMemberus-gaap:MeasurementInputLapseRateMemberus-gaap:FairValueInputsLevel3Member2020-12-310001333986eqh:D</w:t>
      </w:r>
      <w:r>
        <w:rPr>
          <w:rFonts w:eastAsia="Times New Roman"/>
          <w:vanish/>
        </w:rPr>
        <w:t>iscountedCashFlowValuationTechniqueMembersrt:WeightedAverageMemberus-gaap:MeasurementInputWithdrawalRateMembereqh:GmwbGwblMemberus-gaap:FairValueInputsLevel3Member2020-12-310001333986eqh:DiscountedCashFlowValuationTechniqueMembersrt:WeightedAverageMemberus</w:t>
      </w:r>
      <w:r>
        <w:rPr>
          <w:rFonts w:eastAsia="Times New Roman"/>
          <w:vanish/>
        </w:rPr>
        <w:t>-gaap:MeasurementInputUtilizationRateMembereqh:GmwbGwblMemberus-gaap:FairValueInputsLevel3Member2020-12-310001333986eqh:DiscountedCashFlowValuationTechniqueMembereqh:GuaranteedInsuranceBenefitsMemberus-gaap:FairValueInputsLevel3Member2020-12-310001333986eq</w:t>
      </w:r>
      <w:r>
        <w:rPr>
          <w:rFonts w:eastAsia="Times New Roman"/>
          <w:vanish/>
        </w:rPr>
        <w:t>h:DiscountedCashFlowValuationTechniqueMembereqh:GuaranteedInsuranceBenefitsMemberus-gaap:FairValueInputsLevel3Membereqh:MeasurementInputNonperformanceRiskMember2020-12-310001333986eqh:DiscountedCashFlowValuationTechniqueMembereqh:GuaranteedInsuranceBenefit</w:t>
      </w:r>
      <w:r>
        <w:rPr>
          <w:rFonts w:eastAsia="Times New Roman"/>
          <w:vanish/>
        </w:rPr>
        <w:t>sMemberus-gaap:MeasurementInputLapseRateMemberus-gaap:FairValueInputsLevel3Membersrt:MinimumMember2020-12-310001333986eqh:DiscountedCashFlowValuationTechniqueMembersrt:MaximumMembereqh:GuaranteedInsuranceBenefitsMemberus-gaap:MeasurementInputLapseRateMembe</w:t>
      </w:r>
      <w:r>
        <w:rPr>
          <w:rFonts w:eastAsia="Times New Roman"/>
          <w:vanish/>
        </w:rPr>
        <w:t>rus-gaap:FairValueInputsLevel3Member2020-12-310001333986eqh:DiscountedCashFlowValuationTechniqueMemberus-gaap:MeasurementInputWithdrawalRateMembereqh:GuaranteedInsuranceBenefitsMemberus-gaap:FairValueInputsLevel3Membersrt:MinimumMember2020-12-310001333986e</w:t>
      </w:r>
      <w:r>
        <w:rPr>
          <w:rFonts w:eastAsia="Times New Roman"/>
          <w:vanish/>
        </w:rPr>
        <w:t>qh:DiscountedCashFlowValuationTechniqueMembersrt:MaximumMemberus-gaap:MeasurementInputWithdrawalRateMembereqh:GuaranteedInsuranceBenefitsMemberus-gaap:FairValueInputsLevel3Member2020-12-310001333986eqh:DiscountedCashFlowValuationTechniqueMembereqh:Guarante</w:t>
      </w:r>
      <w:r>
        <w:rPr>
          <w:rFonts w:eastAsia="Times New Roman"/>
          <w:vanish/>
        </w:rPr>
        <w:t>edInsuranceBenefitsMemberus-gaap:MeasurementInputUtilizationRateMemberus-gaap:FairValueInputsLevel3Membersrt:MinimumMember2020-12-310001333986eqh:DiscountedCashFlowValuationTechniqueMembersrt:MaximumMembereqh:GuaranteedInsuranceBenefitsMemberus-gaap:Measur</w:t>
      </w:r>
      <w:r>
        <w:rPr>
          <w:rFonts w:eastAsia="Times New Roman"/>
          <w:vanish/>
        </w:rPr>
        <w:t>ementInputUtilizationRateMemberus-gaap:FairValueInputsLevel3Member2020-12-310001333986eqh:DiscountedCashFlowValuationTechniqueMembereqh:GuaranteedInsuranceBenefitsMembereqh:MeasurementInputEquityVolatilityMemberus-gaap:FairValueInputsLevel3Membersrt:Minimu</w:t>
      </w:r>
      <w:r>
        <w:rPr>
          <w:rFonts w:eastAsia="Times New Roman"/>
          <w:vanish/>
        </w:rPr>
        <w:t>mMember2020-12-310001333986eqh:DiscountedCashFlowValuationTechniqueMembersrt:MaximumMembereqh:GuaranteedInsuranceBenefitsMembereqh:MeasurementInputEquityVolatilityMemberus-gaap:FairValueInputsLevel3Member2020-12-310001333986eqh:DiscountedCashFlowValuationT</w:t>
      </w:r>
      <w:r>
        <w:rPr>
          <w:rFonts w:eastAsia="Times New Roman"/>
          <w:vanish/>
        </w:rPr>
        <w:t>echniqueMembersrt:WeightedAverageMembereqh:GuaranteedInsuranceBenefitsMemberus-gaap:MeasurementInputLapseRateMemberus-gaap:FairValueInputsLevel3Member2020-12-310001333986eqh:DiscountedCashFlowValuationTechniqueMembersrt:WeightedAverageMemberus-gaap:Measure</w:t>
      </w:r>
      <w:r>
        <w:rPr>
          <w:rFonts w:eastAsia="Times New Roman"/>
          <w:vanish/>
        </w:rPr>
        <w:t>mentInputWithdrawalRateMembereqh:GuaranteedInsuranceBenefitsMemberus-gaap:FairValueInputsLevel3Member2020-12-310001333986eqh:DiscountedCashFlowValuationTechniqueMembersrt:WeightedAverageMembereqh:GuaranteedInsuranceBenefitsMemberus-gaap:MeasurementInputUti</w:t>
      </w:r>
      <w:r>
        <w:rPr>
          <w:rFonts w:eastAsia="Times New Roman"/>
          <w:vanish/>
        </w:rPr>
        <w:t>lizationRateMemberus-gaap:FairValueInputsLevel3Member2020-12-310001333986eqh:DiscountedCashFlowValuationTechniqueMembersrt:WeightedAverageMembereqh:GuaranteedInsuranceBenefitsMembereqh:MeasurementInputEquityVolatilityMemberus-gaap:FairValueInputsLevel3Memb</w:t>
      </w:r>
      <w:r>
        <w:rPr>
          <w:rFonts w:eastAsia="Times New Roman"/>
          <w:vanish/>
        </w:rPr>
        <w:t>er2020-12-310001333986eqh:DiscountedCashFlowValuationTechniqueMembereqh:GuaranteedMinimumAnnuityBenefitsMemberus-gaap:FairValueInputsLevel3Member2020-12-310001333986eqh:DiscountedCashFlowValuationTechniqueMembereqh:GuaranteedMinimumAnnuityBenefitsMemberus-</w:t>
      </w:r>
      <w:r>
        <w:rPr>
          <w:rFonts w:eastAsia="Times New Roman"/>
          <w:vanish/>
        </w:rPr>
        <w:t>gaap:FairValueInputsLevel3Membereqh:MeasurementInputNonperformanceRiskMember2020-12-310001333986eqh:DiscountedCashFlowValuationTechniqueMembereqh:GuaranteedMinimumAnnuityBenefitsMemberus-gaap:MeasurementInputLapseRateMemberus-gaap:FairValueInputsLevel3Memb</w:t>
      </w:r>
      <w:r>
        <w:rPr>
          <w:rFonts w:eastAsia="Times New Roman"/>
          <w:vanish/>
        </w:rPr>
        <w:t>ersrt:MinimumMember2020-12-310001333986eqh:DiscountedCashFlowValuationTechniqueMembersrt:MaximumMembereqh:GuaranteedMinimumAnnuityBenefitsMemberus-gaap:MeasurementInputLapseRateMemberus-gaap:FairValueInputsLevel3Member2020-12-310001333986eqh:DiscountedCash</w:t>
      </w:r>
      <w:r>
        <w:rPr>
          <w:rFonts w:eastAsia="Times New Roman"/>
          <w:vanish/>
        </w:rPr>
        <w:t>FlowValuationTechniqueMembereqh:GuaranteedMinimumAnnuityBenefitsMembereqh:MeasurementInputEquityVolatilityMemberus-gaap:FairValueInputsLevel3Membersrt:MinimumMember2020-12-310001333986eqh:DiscountedCashFlowValuationTechniqueMembersrt:MaximumMembereqh:Guara</w:t>
      </w:r>
      <w:r>
        <w:rPr>
          <w:rFonts w:eastAsia="Times New Roman"/>
          <w:vanish/>
        </w:rPr>
        <w:t>nteedMinimumAnnuityBenefitsMembereqh:MeasurementInputEquityVolatilityMemberus-gaap:FairValueInputsLevel3Member2020-12-310001333986eqh:DiscountedCashFlowValuationTechniqueMembersrt:WeightedAverageMembereqh:GuaranteedMinimumAnnuityBenefitsMemberus-gaap:Measu</w:t>
      </w:r>
      <w:r>
        <w:rPr>
          <w:rFonts w:eastAsia="Times New Roman"/>
          <w:vanish/>
        </w:rPr>
        <w:t>rementInputLapseRateMemberus-gaap:FairValueInputsLevel3Member2020-12-310001333986eqh:DiscountedCashFlowValuationTechniqueMembersrt:WeightedAverageMembereqh:GuaranteedMinimumAnnuityBenefitsMembereqh:MeasurementInputEquityVolatilityMemberus-gaap:FairValueInp</w:t>
      </w:r>
      <w:r>
        <w:rPr>
          <w:rFonts w:eastAsia="Times New Roman"/>
          <w:vanish/>
        </w:rPr>
        <w:t>utsLevel3Member2020-12-310001333986us-gaap:FairValueMeasurementsNonrecurringMemberus-gaap:FairValueInputsLevel3Member2021-12-310001333986us-gaap:FairValueMeasurementsNonrecurringMemberus-gaap:FairValueInputsLevel3Member2020-12-310001333986us-gaap:CarryingR</w:t>
      </w:r>
      <w:r>
        <w:rPr>
          <w:rFonts w:eastAsia="Times New Roman"/>
          <w:vanish/>
        </w:rPr>
        <w:t>eportedAmountFairValueDisclosureMember2021-12-310001333986us-gaap:FairValueInputsLevel1Memberus-gaap:EstimateOfFairValueFairValueDisclosureMember2021-12-310001333986us-gaap:FairValueInputsLevel2Memberus-gaap:EstimateOfFairValueFairValueDisclosureMember2021</w:t>
      </w:r>
      <w:r>
        <w:rPr>
          <w:rFonts w:eastAsia="Times New Roman"/>
          <w:vanish/>
        </w:rPr>
        <w:t>-12-310001333986us-gaap:EstimateOfFairValueFairValueDisclosureMemberus-gaap:FairValueInputsLevel3Member2021-12-310001333986us-gaap:EstimateOfFairValueFairValueDisclosureMember2021-12-310001333986us-gaap:CarryingReportedAmountFairValueDisclosureMember2020-1</w:t>
      </w:r>
      <w:r>
        <w:rPr>
          <w:rFonts w:eastAsia="Times New Roman"/>
          <w:vanish/>
        </w:rPr>
        <w:t>2-310001333986us-gaap:FairValueInputsLevel1Memberus-gaap:EstimateOfFairValueFairValueDisclosureMember2020-12-310001333986us-gaap:FairValueInputsLevel2Memberus-gaap:EstimateOfFairValueFairValueDisclosureMember2020-12-310001333986us-gaap:EstimateOfFairValueF</w:t>
      </w:r>
      <w:r>
        <w:rPr>
          <w:rFonts w:eastAsia="Times New Roman"/>
          <w:vanish/>
        </w:rPr>
        <w:t>airValueDisclosureMemberus-gaap:FairValueInputsLevel3Member2020-12-310001333986us-gaap:EstimateOfFairValueFairValueDisclosureMember2020-12-310001333986eqh:GMDBDirectMember2018-12-310001333986eqh:GMDBAssumedMember2018-12-310001333986eqh:GMDBCededMember2018-</w:t>
      </w:r>
      <w:r>
        <w:rPr>
          <w:rFonts w:eastAsia="Times New Roman"/>
          <w:vanish/>
        </w:rPr>
        <w:t>12-310001333986eqh:GMIBDirectMember2018-12-310001333986eqh:GMIBAssumedMember2018-12-310001333986eqh:GMIBCededMember2018-12-310001333986eqh:GMDBDirectMember2019-01-012019-12-310001333986eqh:GMDBAssumedMember2019-01-012019-12-310001333986eqh:GMDBCededMember2</w:t>
      </w:r>
      <w:r>
        <w:rPr>
          <w:rFonts w:eastAsia="Times New Roman"/>
          <w:vanish/>
        </w:rPr>
        <w:t>019-01-012019-12-310001333986eqh:GMIBDirectMember2019-01-012019-12-310001333986eqh:GMIBAssumedMember2019-01-012019-12-310001333986eqh:GMIBCededMember2019-01-012019-12-310001333986eqh:GMDBDirectMember2019-12-310001333986eqh:GMDBAssumedMember2019-12-31000133</w:t>
      </w:r>
      <w:r>
        <w:rPr>
          <w:rFonts w:eastAsia="Times New Roman"/>
          <w:vanish/>
        </w:rPr>
        <w:t>3986eqh:GMDBCededMember2019-12-310001333986eqh:GMIBDirectMember2019-12-310001333986eqh:GMIBAssumedMember2019-12-310001333986eqh:GMIBCededMember2019-12-310001333986eqh:GMDBDirectMember2020-01-012020-12-310001333986eqh:GMDBAssumedMember2020-01-012020-12-3100</w:t>
      </w:r>
      <w:r>
        <w:rPr>
          <w:rFonts w:eastAsia="Times New Roman"/>
          <w:vanish/>
        </w:rPr>
        <w:t>01333986eqh:GMDBCededMember2020-01-012020-12-310001333986eqh:GMIBDirectMember2020-01-012020-12-310001333986eqh:GMIBAssumedMember2020-01-012020-12-310001333986eqh:GMIBCededMember2020-01-012020-12-310001333986eqh:GMDBDirectMember2020-12-310001333986eqh:GMDBA</w:t>
      </w:r>
      <w:r>
        <w:rPr>
          <w:rFonts w:eastAsia="Times New Roman"/>
          <w:vanish/>
        </w:rPr>
        <w:t>ssumedMember2020-12-310001333986eqh:GMDBCededMember2020-12-310001333986eqh:GMIBDirectMember2020-12-310001333986eqh:GMIBAssumedMember2020-12-310001333986eqh:GMIBCededMember2020-12-310001333986eqh:GMDBDirectMember2021-01-012021-12-310001333986eqh:GMDBAssumed</w:t>
      </w:r>
      <w:r>
        <w:rPr>
          <w:rFonts w:eastAsia="Times New Roman"/>
          <w:vanish/>
        </w:rPr>
        <w:t>Member2021-01-012021-12-310001333986eqh:GMDBCededMember2021-01-012021-12-310001333986eqh:GMIBDirectMember2021-01-012021-12-310001333986eqh:GMIBAssumedMember2021-01-012021-12-310001333986eqh:GMIBCededMember2021-01-012021-12-310001333986eqh:GMDBDirectMember2</w:t>
      </w:r>
      <w:r>
        <w:rPr>
          <w:rFonts w:eastAsia="Times New Roman"/>
          <w:vanish/>
        </w:rPr>
        <w:t>021-12-310001333986eqh:GMDBAssumedMember2021-12-310001333986eqh:GMDBCededMember2021-12-310001333986eqh:GMIBDirectMember2021-12-310001333986eqh:GMIBAssumedMember2021-12-310001333986eqh:GMIBCededMember2021-12-310001333986us-gaap:ImmediateVariableAnnuityMembe</w:t>
      </w:r>
      <w:r>
        <w:rPr>
          <w:rFonts w:eastAsia="Times New Roman"/>
          <w:vanish/>
        </w:rPr>
        <w:t>reqh:ReturnOfPremiumMemberus-gaap:GuaranteedMinimumDeathBenefitMember2021-12-310001333986us-gaap:ImmediateVariableAnnuityMembereqh:RatchetMemberus-gaap:GuaranteedMinimumDeathBenefitMember2021-12-310001333986eqh:RollUpMemberus-gaap:ImmediateVariableAnnuityM</w:t>
      </w:r>
      <w:r>
        <w:rPr>
          <w:rFonts w:eastAsia="Times New Roman"/>
          <w:vanish/>
        </w:rPr>
        <w:t>emberus-gaap:GuaranteedMinimumDeathBenefitMember2021-12-310001333986eqh:ComboMemberus-gaap:ImmediateVariableAnnuityMemberus-gaap:GuaranteedMinimumDeathBenefitMember2021-12-310001333986us-gaap:ImmediateVariableAnnuityMemberus-gaap:GuaranteedMinimumDeathBene</w:t>
      </w:r>
      <w:r>
        <w:rPr>
          <w:rFonts w:eastAsia="Times New Roman"/>
          <w:vanish/>
        </w:rPr>
        <w:t>fitMember2021-12-310001333986us-gaap:ImmediateVariableAnnuityMembereqh:ReturnOfPremiumMemberus-gaap:GuaranteedMinimumDeathBenefitMember2021-01-012021-12-310001333986us-gaap:ImmediateVariableAnnuityMembereqh:RatchetMemberus-gaap:GuaranteedMinimumDeathBenefi</w:t>
      </w:r>
      <w:r>
        <w:rPr>
          <w:rFonts w:eastAsia="Times New Roman"/>
          <w:vanish/>
        </w:rPr>
        <w:t>tMember2021-01-012021-12-310001333986eqh:RollUpMemberus-gaap:ImmediateVariableAnnuityMemberus-gaap:GuaranteedMinimumDeathBenefitMember2021-01-012021-12-310001333986eqh:ComboMemberus-gaap:ImmediateVariableAnnuityMemberus-gaap:GuaranteedMinimumDeathBenefitMe</w:t>
      </w:r>
      <w:r>
        <w:rPr>
          <w:rFonts w:eastAsia="Times New Roman"/>
          <w:vanish/>
        </w:rPr>
        <w:t>mber2021-01-012021-12-310001333986us-gaap:ImmediateVariableAnnuityMemberus-gaap:GuaranteedMinimumDeathBenefitMember2021-01-012021-12-310001333986us-gaap:ImmediateVariableAnnuityMemberus-gaap:GuaranteedMinimumIncomeBenefitMembereqh:ReturnOfPremiumMember2021</w:t>
      </w:r>
      <w:r>
        <w:rPr>
          <w:rFonts w:eastAsia="Times New Roman"/>
          <w:vanish/>
        </w:rPr>
        <w:t>-12-310001333986us-gaap:ImmediateVariableAnnuityMembereqh:RatchetMemberus-gaap:GuaranteedMinimumIncomeBenefitMember2021-12-310001333986eqh:RollUpMemberus-gaap:ImmediateVariableAnnuityMemberus-gaap:GuaranteedMinimumIncomeBenefitMember2021-12-310001333986eqh</w:t>
      </w:r>
      <w:r>
        <w:rPr>
          <w:rFonts w:eastAsia="Times New Roman"/>
          <w:vanish/>
        </w:rPr>
        <w:t>:ComboMemberus-gaap:ImmediateVariableAnnuityMemberus-gaap:GuaranteedMinimumIncomeBenefitMember2021-12-310001333986us-gaap:ImmediateVariableAnnuityMemberus-gaap:GuaranteedMinimumIncomeBenefitMember2021-12-310001333986us-gaap:CommonStockMemberus-gaap:Guarant</w:t>
      </w:r>
      <w:r>
        <w:rPr>
          <w:rFonts w:eastAsia="Times New Roman"/>
          <w:vanish/>
        </w:rPr>
        <w:t>eedMinimumDeathBenefitMember2021-12-310001333986us-gaap:CommonStockMemberus-gaap:GuaranteedMinimumIncomeBenefitMember2021-12-310001333986us-gaap:CommonStockMemberus-gaap:GuaranteedMinimumDeathBenefitMember2020-12-310001333986us-gaap:CommonStockMemberus-gaa</w:t>
      </w:r>
      <w:r>
        <w:rPr>
          <w:rFonts w:eastAsia="Times New Roman"/>
          <w:vanish/>
        </w:rPr>
        <w:t>p:GuaranteedMinimumIncomeBenefitMember2020-12-310001333986us-gaap:FixedIncomeInvestmentsMemberus-gaap:GuaranteedMinimumDeathBenefitMember2021-12-310001333986us-gaap:FixedIncomeInvestmentsMemberus-gaap:GuaranteedMinimumIncomeBenefitMember2021-12-31000133398</w:t>
      </w:r>
      <w:r>
        <w:rPr>
          <w:rFonts w:eastAsia="Times New Roman"/>
          <w:vanish/>
        </w:rPr>
        <w:t>6us-gaap:FixedIncomeInvestmentsMemberus-gaap:GuaranteedMinimumDeathBenefitMember2020-12-310001333986us-gaap:FixedIncomeInvestmentsMemberus-gaap:GuaranteedMinimumIncomeBenefitMember2020-12-310001333986us-gaap:BalancedFundsMemberus-gaap:GuaranteedMinimumDeat</w:t>
      </w:r>
      <w:r>
        <w:rPr>
          <w:rFonts w:eastAsia="Times New Roman"/>
          <w:vanish/>
        </w:rPr>
        <w:t>hBenefitMember2021-12-310001333986us-gaap:GuaranteedMinimumIncomeBenefitMemberus-gaap:BalancedFundsMember2021-12-310001333986us-gaap:BalancedFundsMemberus-gaap:GuaranteedMinimumDeathBenefitMember2020-12-310001333986us-gaap:GuaranteedMinimumIncomeBenefitMem</w:t>
      </w:r>
      <w:r>
        <w:rPr>
          <w:rFonts w:eastAsia="Times New Roman"/>
          <w:vanish/>
        </w:rPr>
        <w:t>berus-gaap:BalancedFundsMember2020-12-310001333986us-gaap:OtherInvestmentsMemberus-gaap:GuaranteedMinimumDeathBenefitMember2021-12-310001333986us-gaap:OtherInvestmentsMemberus-gaap:GuaranteedMinimumIncomeBenefitMember2021-12-310001333986us-gaap:OtherInvest</w:t>
      </w:r>
      <w:r>
        <w:rPr>
          <w:rFonts w:eastAsia="Times New Roman"/>
          <w:vanish/>
        </w:rPr>
        <w:t>mentsMemberus-gaap:GuaranteedMinimumDeathBenefitMember2020-12-310001333986us-gaap:OtherInvestmentsMemberus-gaap:GuaranteedMinimumIncomeBenefitMember2020-12-310001333986us-gaap:GuaranteedMinimumDeathBenefitMember2021-12-310001333986us-gaap:GuaranteedMinimum</w:t>
      </w:r>
      <w:r>
        <w:rPr>
          <w:rFonts w:eastAsia="Times New Roman"/>
          <w:vanish/>
        </w:rPr>
        <w:t>IncomeBenefitMember2021-12-310001333986us-gaap:GuaranteedMinimumDeathBenefitMember2020-12-310001333986us-gaap:GuaranteedMinimumIncomeBenefitMember2020-12-310001333986eqh:DirectLiabilitiesForGuaranteesMember2020-12-310001333986eqh:DirectLiabilitiesForGuaran</w:t>
      </w:r>
      <w:r>
        <w:rPr>
          <w:rFonts w:eastAsia="Times New Roman"/>
          <w:vanish/>
        </w:rPr>
        <w:t>teesMember2019-12-310001333986eqh:DirectLiabilitiesForGuaranteesMember2018-12-310001333986eqh:DirectLiabilitiesForGuaranteesMember2021-01-012021-12-310001333986eqh:DirectLiabilitiesForGuaranteesMember2020-01-012020-12-310001333986eqh:DirectLiabilitiesForGu</w:t>
      </w:r>
      <w:r>
        <w:rPr>
          <w:rFonts w:eastAsia="Times New Roman"/>
          <w:vanish/>
        </w:rPr>
        <w:t>aranteesMember2019-01-012019-12-310001333986eqh:DirectLiabilitiesForGuaranteesMember2021-12-310001333986eqh:RollUpMemberus-gaap:ImmediateVariableAnnuityMemberus-gaap:GuaranteedMinimumDeathBenefitMembersrt:MinimumMember2021-01-012021-12-310001333986eqh:Comb</w:t>
      </w:r>
      <w:r>
        <w:rPr>
          <w:rFonts w:eastAsia="Times New Roman"/>
          <w:vanish/>
        </w:rPr>
        <w:t>oMemberus-gaap:ImmediateVariableAnnuityMemberus-gaap:GuaranteedMinimumDeathBenefitMembersrt:MinimumMember2021-01-012021-12-310001333986us-gaap:ImmediateVariableAnnuityMemberus-gaap:GuaranteedMinimumDeathBenefitMembersrt:MinimumMember2021-01-012021-12-31000</w:t>
      </w:r>
      <w:r>
        <w:rPr>
          <w:rFonts w:eastAsia="Times New Roman"/>
          <w:vanish/>
        </w:rPr>
        <w:t>1333986srt:MaximumMembereqh:RollUpMemberus-gaap:ImmediateVariableAnnuityMemberus-gaap:GuaranteedMinimumDeathBenefitMember2021-01-012021-12-310001333986srt:MaximumMembereqh:ComboMemberus-gaap:ImmediateVariableAnnuityMemberus-gaap:GuaranteedMinimumDeathBenef</w:t>
      </w:r>
      <w:r>
        <w:rPr>
          <w:rFonts w:eastAsia="Times New Roman"/>
          <w:vanish/>
        </w:rPr>
        <w:t>itMember2021-01-012021-12-310001333986srt:MaximumMemberus-gaap:ImmediateVariableAnnuityMemberus-gaap:GuaranteedMinimumDeathBenefitMember2021-01-012021-12-310001333986eqh:RollUpMemberus-gaap:ImmediateVariableAnnuityMemberus-gaap:GuaranteedMinimumIncomeBenef</w:t>
      </w:r>
      <w:r>
        <w:rPr>
          <w:rFonts w:eastAsia="Times New Roman"/>
          <w:vanish/>
        </w:rPr>
        <w:t>itMember2021-01-012021-12-310001333986eqh:ComboMemberus-gaap:ImmediateVariableAnnuityMemberus-gaap:GuaranteedMinimumIncomeBenefitMember2021-01-012021-12-310001333986us-gaap:ImmediateVariableAnnuityMemberus-gaap:GuaranteedMinimumIncomeBenefitMember2021-01-0</w:t>
      </w:r>
      <w:r>
        <w:rPr>
          <w:rFonts w:eastAsia="Times New Roman"/>
          <w:vanish/>
        </w:rPr>
        <w:t>12021-12-310001333986eqh:RollUpMemberus-gaap:ImmediateVariableAnnuityMemberus-gaap:GuaranteedMinimumIncomeBenefitMembersrt:MinimumMember2021-01-012021-12-310001333986eqh:ComboMemberus-gaap:ImmediateVariableAnnuityMemberus-gaap:GuaranteedMinimumIncomeBenefi</w:t>
      </w:r>
      <w:r>
        <w:rPr>
          <w:rFonts w:eastAsia="Times New Roman"/>
          <w:vanish/>
        </w:rPr>
        <w:t>tMembersrt:MinimumMember2021-01-012021-12-310001333986us-gaap:ImmediateVariableAnnuityMemberus-gaap:GuaranteedMinimumIncomeBenefitMembersrt:MinimumMember2021-01-012021-12-310001333986srt:MaximumMembereqh:RollUpMemberus-gaap:ImmediateVariableAnnuityMemberus</w:t>
      </w:r>
      <w:r>
        <w:rPr>
          <w:rFonts w:eastAsia="Times New Roman"/>
          <w:vanish/>
        </w:rPr>
        <w:t>-gaap:GuaranteedMinimumIncomeBenefitMember2021-01-012021-12-310001333986srt:MaximumMembereqh:ComboMemberus-gaap:ImmediateVariableAnnuityMemberus-gaap:GuaranteedMinimumIncomeBenefitMember2021-01-012021-12-310001333986srt:MaximumMemberus-gaap:ImmediateVariab</w:t>
      </w:r>
      <w:r>
        <w:rPr>
          <w:rFonts w:eastAsia="Times New Roman"/>
          <w:vanish/>
        </w:rPr>
        <w:t>leAnnuityMemberus-gaap:GuaranteedMinimumIncomeBenefitMember2021-01-012021-12-310001333986srt:MinimumMember2021-12-310001333986srt:MaximumMember2021-12-310001333986eqh:AllianceBernsteinMembereqh:NewYorkCityNYMember2019-04-30utr:sqft0001333986eqh:AllianceBer</w:t>
      </w:r>
      <w:r>
        <w:rPr>
          <w:rFonts w:eastAsia="Times New Roman"/>
          <w:vanish/>
        </w:rPr>
        <w:t>nsteinMembereqh:NewYorkCityNYMember2020-12-310001333986eqh:NewYorkCityNYMember2020-12-310001333986eqh:NewYorkCityNYMember2021-01-012021-09-300001333986eqh:NewYorkCityNYMember2021-09-300001333986eqh:SyracuseNYMember2021-12-012021-12-310001333986eqh:Syracuse</w:t>
      </w:r>
      <w:r>
        <w:rPr>
          <w:rFonts w:eastAsia="Times New Roman"/>
          <w:vanish/>
        </w:rPr>
        <w:t>NYMember2021-12-310001333986eqh:NonAffiliatedEntityMemberus-gaap:GuaranteedMinimumDeathBenefitMember2021-12-310001333986eqh:NonAffiliatedEntityMemberus-gaap:GuaranteedMinimumDeathBenefitMember2020-12-310001333986us-gaap:GuaranteedMinimumIncomeBenefitMember</w:t>
      </w:r>
      <w:r>
        <w:rPr>
          <w:rFonts w:eastAsia="Times New Roman"/>
          <w:vanish/>
        </w:rPr>
        <w:t>eqh:NonAffiliatedEntityMember2021-12-310001333986us-gaap:GuaranteedMinimumIncomeBenefitMembereqh:NonAffiliatedEntityMember2020-12-310001333986eqh:KrollBondRatingAgencyARatingMembereqh:VenerableInsuranceAndAnnuityCompanyMember2021-12-310001333986eqh:ZurichL</w:t>
      </w:r>
      <w:r>
        <w:rPr>
          <w:rFonts w:eastAsia="Times New Roman"/>
          <w:vanish/>
        </w:rPr>
        <w:t>ifeInsuranceCompanyLtdMembersrt:StandardPoorsAAMinusRatingMember2021-12-310001333986eqh:ZurichLifeInsuranceCompanyLtdMembersrt:StandardPoorsAAMinusRatingMember2020-12-310001333986srt:StandardPoorsAAMinusRatingMembereqh:ProtectiveLifeInsuranceCompanyMember2</w:t>
      </w:r>
      <w:r>
        <w:rPr>
          <w:rFonts w:eastAsia="Times New Roman"/>
          <w:vanish/>
        </w:rPr>
        <w:t>021-12-310001333986srt:StandardPoorsAAMinusRatingMembereqh:ProtectiveLifeInsuranceCompanyMember2020-12-310001333986eqh:RGAReinsuranceCompanyMembersrt:StandardPoorsAAMinusRatingMember2021-12-310001333986eqh:RGAReinsuranceCompanyMembersrt:StandardPoorsAAMinu</w:t>
      </w:r>
      <w:r>
        <w:rPr>
          <w:rFonts w:eastAsia="Times New Roman"/>
          <w:vanish/>
        </w:rPr>
        <w:t>sRatingMember2020-12-310001333986eqh:GroupLifeAndHealthInsuranceMember2021-12-310001333986eqh:GroupLifeAndHealthInsuranceMember2020-12-310001333986eqh:RGAReinsuranceCompanyMember2021-12-310001333986eqh:RGAReinsuranceCompanyMember2020-12-310001333986eqh:Pro</w:t>
      </w:r>
      <w:r>
        <w:rPr>
          <w:rFonts w:eastAsia="Times New Roman"/>
          <w:vanish/>
        </w:rPr>
        <w:t>tectiveLifeInsuranceCompanyMember2021-12-310001333986eqh:ProtectiveLifeInsuranceCompanyMember2020-12-310001333986eqh:VenerableInsuranceAndAnnuityCompanyMember2021-12-310001333986eqh:GroupLifeAndHealthInsuranceMemberus-gaap:GuaranteedMinimumIncomeBenefitMem</w:t>
      </w:r>
      <w:r>
        <w:rPr>
          <w:rFonts w:eastAsia="Times New Roman"/>
          <w:vanish/>
        </w:rPr>
        <w:t>ber2021-12-310001333986eqh:GroupLifeAndHealthInsuranceMemberus-gaap:GuaranteedMinimumIncomeBenefitMember2020-12-310001333986us-gaap:CollateralizedLoanObligationsMember2021-12-310001333986us-gaap:CollateralizedLoanObligationsMember2020-12-310001333986eqh:Se</w:t>
      </w:r>
      <w:r>
        <w:rPr>
          <w:rFonts w:eastAsia="Times New Roman"/>
          <w:vanish/>
        </w:rPr>
        <w:t>niorNotesDue2048Memberus-gaap:SeniorNotesMember2021-12-310001333986eqh:SeniorNotesDue2048Memberus-gaap:SeniorNotesMember2020-12-310001333986us-gaap:SeniorNotesMembereqh:SeniorNotesDue2028Member2021-12-310001333986us-gaap:SeniorNotesMembereqh:SeniorNotesDue</w:t>
      </w:r>
      <w:r>
        <w:rPr>
          <w:rFonts w:eastAsia="Times New Roman"/>
          <w:vanish/>
        </w:rPr>
        <w:t>2028Member2020-12-310001333986us-gaap:SeniorNotesMembereqh:SeniorNotesDue2023Member2021-12-310001333986us-gaap:SeniorNotesMembereqh:SeniorNotesDue2023Member2020-12-310001333986us-gaap:UnsecuredDebtMember2021-12-310001333986us-gaap:UnsecuredDebtMember2020-1</w:t>
      </w:r>
      <w:r>
        <w:rPr>
          <w:rFonts w:eastAsia="Times New Roman"/>
          <w:vanish/>
        </w:rPr>
        <w:t>2-310001333986eqh:ABCommercialPaperMemberus-gaap:CommercialPaperMember2021-12-310001333986eqh:ABCommercialPaperMemberus-gaap:CommercialPaperMember2020-12-310001333986eqh:ABCommercialPaperMemberus-gaap:CommercialPaperMember2021-01-012021-12-310001333986eqh:</w:t>
      </w:r>
      <w:r>
        <w:rPr>
          <w:rFonts w:eastAsia="Times New Roman"/>
          <w:vanish/>
        </w:rPr>
        <w:t>ABCommercialPaperMemberus-gaap:CommercialPaperMember2020-01-012020-12-310001333986us-gaap:RevolvingCreditFacilityMembereqh:ABRevolvingCreditFacilityMemberus-gaap:LineOfCreditMember2021-12-310001333986us-gaap:RevolvingCreditFacilityMembereqh:ABRevolvingCred</w:t>
      </w:r>
      <w:r>
        <w:rPr>
          <w:rFonts w:eastAsia="Times New Roman"/>
          <w:vanish/>
        </w:rPr>
        <w:t>itFacilityMemberus-gaap:LineOfCreditMember2020-12-310001333986us-gaap:RevolvingCreditFacilityMembereqh:ABRevolvingCreditFacilityMemberus-gaap:LineOfCreditMember2021-01-012021-12-310001333986us-gaap:RevolvingCreditFacilityMembereqh:ABRevolvingCreditFacility</w:t>
      </w:r>
      <w:r>
        <w:rPr>
          <w:rFonts w:eastAsia="Times New Roman"/>
          <w:vanish/>
        </w:rPr>
        <w:t>Memberus-gaap:LineOfCreditMember2020-01-012020-12-310001333986us-gaap:SeniorNotesMembereqh:SeniorNotesDue2023Member2018-04-200001333986us-gaap:SeniorNotesMembereqh:SeniorNotesDue2028Member2018-04-200001333986eqh:SeniorNotesDue2048Memberus-gaap:SeniorNotesM</w:t>
      </w:r>
      <w:r>
        <w:rPr>
          <w:rFonts w:eastAsia="Times New Roman"/>
          <w:vanish/>
        </w:rPr>
        <w:t>ember2018-04-200001333986us-gaap:SeniorNotesMembereqh:SeniorNotesDue2023Member2021-01-012021-12-310001333986us-gaap:RevolvingCreditFacilityMembereqh:HoldingsRevolvingCreditFacilityMember2018-02-280001333986us-gaap:RevolvingCreditFacilityMembereqh:HoldingsR</w:t>
      </w:r>
      <w:r>
        <w:rPr>
          <w:rFonts w:eastAsia="Times New Roman"/>
          <w:vanish/>
        </w:rPr>
        <w:t>evolvingCreditFacilityMember2018-02-012018-02-280001333986us-gaap:RevolvingCreditFacilityMembereqh:HoldingsRevolvingCreditFacilityMember2021-06-300001333986us-gaap:LetterOfCreditMembereqh:HoldingsRevolvingCreditFacilityMember2018-02-280001333986us-gaap:Let</w:t>
      </w:r>
      <w:r>
        <w:rPr>
          <w:rFonts w:eastAsia="Times New Roman"/>
          <w:vanish/>
        </w:rPr>
        <w:t>terOfCreditMembereqh:HoldingsRevolvingCreditFacilityMember2021-12-310001333986us-gaap:LetterOfCreditMembereqh:BilateralLetterOfCreditFacilitiesMember2018-02-280001333986us-gaap:RevolvingCreditFacilityMembereqh:ABCommittedUnsecuredSeniorRevolvingCreditFacil</w:t>
      </w:r>
      <w:r>
        <w:rPr>
          <w:rFonts w:eastAsia="Times New Roman"/>
          <w:vanish/>
        </w:rPr>
        <w:t>ityMember2021-12-310001333986us-gaap:LineOfCreditMembereqh:ABUncommittedLineOfCreditMember2020-12-310001333986us-gaap:LineOfCreditMembereqh:ABUncommittedLineOfCreditMember2021-12-310001333986us-gaap:LineOfCreditMembereqh:ABUncommittedLineOfCreditMember2021</w:t>
      </w:r>
      <w:r>
        <w:rPr>
          <w:rFonts w:eastAsia="Times New Roman"/>
          <w:vanish/>
        </w:rPr>
        <w:t>-09-280001333986us-gaap:LineOfCreditMembereqh:ABUncommittedLineOfCreditMember2021-10-110001333986eqh:SCBLineofCreditMember2021-01-012021-12-31eqh:uncommittedLineOfCrediteqh:financialInstitution0001333986eqh:SCBLineofCreditMemberus-gaap:RevolvingCreditFacil</w:t>
      </w:r>
      <w:r>
        <w:rPr>
          <w:rFonts w:eastAsia="Times New Roman"/>
          <w:vanish/>
        </w:rPr>
        <w:t>ityMember2021-01-012021-12-310001333986eqh:SCBLineofCreditMemberus-gaap:RevolvingCreditFacilityMember2021-12-310001333986eqh:SCBLineofCreditMemberus-gaap:RevolvingCreditFacilityMember2020-12-310001333986eqh:SCBLineofCreditMemberus-gaap:RevolvingCreditFacil</w:t>
      </w:r>
      <w:r>
        <w:rPr>
          <w:rFonts w:eastAsia="Times New Roman"/>
          <w:vanish/>
        </w:rPr>
        <w:t>ityMember2020-01-012020-12-310001333986eqh:InvestmentManagementAndAdministrativeServicesProvidedToEQATEQPremierVIPTrust1290FundsAndOtherAXATrustsMembereqh:EquitableAffiliatesMember2021-01-012021-12-310001333986eqh:InvestmentManagementAndAdministrativeServi</w:t>
      </w:r>
      <w:r>
        <w:rPr>
          <w:rFonts w:eastAsia="Times New Roman"/>
          <w:vanish/>
        </w:rPr>
        <w:t>cesProvidedToEQATEQPremierVIPTrust1290FundsAndOtherAXATrustsMembereqh:EquitableAffiliatesMember2020-01-012020-12-310001333986eqh:InvestmentManagementAndAdministrativeServicesProvidedToEQATEQPremierVIPTrust1290FundsAndOtherAXATrustsMembereqh:EquitableAffili</w:t>
      </w:r>
      <w:r>
        <w:rPr>
          <w:rFonts w:eastAsia="Times New Roman"/>
          <w:vanish/>
        </w:rPr>
        <w:t>atesMember2019-01-012019-12-310001333986eqh:EquitableAffiliatesMember2021-01-012021-12-310001333986eqh:EquitableAffiliatesMember2020-01-012020-12-310001333986eqh:EquitableAffiliatesMember2019-01-012019-12-310001333986eqh:EquitableAffiliatesMembereqh:Amount</w:t>
      </w:r>
      <w:r>
        <w:rPr>
          <w:rFonts w:eastAsia="Times New Roman"/>
          <w:vanish/>
        </w:rPr>
        <w:t>sReceivedOrAccruedForInvestmentManagementServicesProvidedByAXAStrategicVenturesCorporationMember2021-01-012021-12-310001333986eqh:EquitableAffiliatesMembereqh:AmountsReceivedOrAccruedForInvestmentManagementServicesProvidedByAXAStrategicVenturesCorporationM</w:t>
      </w:r>
      <w:r>
        <w:rPr>
          <w:rFonts w:eastAsia="Times New Roman"/>
          <w:vanish/>
        </w:rPr>
        <w:t>ember2020-01-012020-12-310001333986eqh:EquitableAffiliatesMembereqh:AmountsReceivedOrAccruedForInvestmentManagementServicesProvidedByAXAStrategicVenturesCorporationMember2019-01-012019-12-310001333986eqh:AXAEquitable401kPlanMember2021-01-012021-12-31000133</w:t>
      </w:r>
      <w:r>
        <w:rPr>
          <w:rFonts w:eastAsia="Times New Roman"/>
          <w:vanish/>
        </w:rPr>
        <w:t>3986eqh:AXAEquitable401kPlanMember2020-01-012020-12-310001333986eqh:AXAEquitable401kPlanMember2019-01-012019-12-310001333986us-gaap:PensionPlansDefinedBenefitMember2021-01-012021-12-310001333986eqh:AllianceBernsteinMemberus-gaap:PensionPlansDefinedBenefitM</w:t>
      </w:r>
      <w:r>
        <w:rPr>
          <w:rFonts w:eastAsia="Times New Roman"/>
          <w:vanish/>
        </w:rPr>
        <w:t>ember2021-01-012021-12-310001333986us-gaap:PensionPlansDefinedBenefitMember2020-01-012020-12-310001333986us-gaap:PensionPlansDefinedBenefitMember2019-01-012019-12-310001333986us-gaap:QualifiedPlanMemberus-gaap:PensionPlansDefinedBenefitMember2020-12-310001</w:t>
      </w:r>
      <w:r>
        <w:rPr>
          <w:rFonts w:eastAsia="Times New Roman"/>
          <w:vanish/>
        </w:rPr>
        <w:t>333986us-gaap:QualifiedPlanMemberus-gaap:PensionPlansDefinedBenefitMember2019-12-310001333986us-gaap:QualifiedPlanMemberus-gaap:PensionPlansDefinedBenefitMember2021-01-012021-12-310001333986us-gaap:QualifiedPlanMemberus-gaap:PensionPlansDefinedBenefitMembe</w:t>
      </w:r>
      <w:r>
        <w:rPr>
          <w:rFonts w:eastAsia="Times New Roman"/>
          <w:vanish/>
        </w:rPr>
        <w:t>r2020-01-012020-12-310001333986us-gaap:QualifiedPlanMemberus-gaap:PensionPlansDefinedBenefitMember2021-12-310001333986us-gaap:PensionPlansDefinedBenefitMember2020-12-310001333986us-gaap:PensionPlansDefinedBenefitMember2019-12-310001333986us-gaap:PensionPla</w:t>
      </w:r>
      <w:r>
        <w:rPr>
          <w:rFonts w:eastAsia="Times New Roman"/>
          <w:vanish/>
        </w:rPr>
        <w:t>nsDefinedBenefitMember2021-12-310001333986us-gaap:UnfundedPlanMember2021-12-310001333986us-gaap:UnfundedPlanMember2020-12-310001333986us-gaap:PensionPlansDefinedBenefitMemberus-gaap:DebtSecuritiesMember2021-12-310001333986us-gaap:PensionPlansDefinedBenefit</w:t>
      </w:r>
      <w:r>
        <w:rPr>
          <w:rFonts w:eastAsia="Times New Roman"/>
          <w:vanish/>
        </w:rPr>
        <w:t>Memberus-gaap:DebtSecuritiesMember2020-12-310001333986us-gaap:EquitySecuritiesMemberus-gaap:PensionPlansDefinedBenefitMember2021-12-310001333986us-gaap:EquitySecuritiesMemberus-gaap:PensionPlansDefinedBenefitMember2020-12-310001333986us-gaap:RealEstateMemb</w:t>
      </w:r>
      <w:r>
        <w:rPr>
          <w:rFonts w:eastAsia="Times New Roman"/>
          <w:vanish/>
        </w:rPr>
        <w:t>erus-gaap:PensionPlansDefinedBenefitMember2021-12-310001333986us-gaap:RealEstateMemberus-gaap:PensionPlansDefinedBenefitMember2020-12-310001333986eqh:CashAndShortTermInvestmentsMemberus-gaap:PensionPlansDefinedBenefitMember2021-12-310001333986eqh:CashAndSh</w:t>
      </w:r>
      <w:r>
        <w:rPr>
          <w:rFonts w:eastAsia="Times New Roman"/>
          <w:vanish/>
        </w:rPr>
        <w:t>ortTermInvestmentsMemberus-gaap:PensionPlansDefinedBenefitMember2020-12-310001333986us-gaap:PensionPlansDefinedBenefitMemberus-gaap:OtherDebtSecuritiesMember2021-12-310001333986us-gaap:PensionPlansDefinedBenefitMemberus-gaap:OtherDebtSecuritiesMember2020-1</w:t>
      </w:r>
      <w:r>
        <w:rPr>
          <w:rFonts w:eastAsia="Times New Roman"/>
          <w:vanish/>
        </w:rPr>
        <w:t>2-310001333986us-gaap:CorporateDebtSecuritiesMemberus-gaap:FairValueInputsLevel1Memberus-gaap:QualifiedPlanMember2021-12-310001333986us-gaap:CorporateDebtSecuritiesMemberus-gaap:FairValueInputsLevel2Memberus-gaap:QualifiedPlanMember2021-12-310001333986us-g</w:t>
      </w:r>
      <w:r>
        <w:rPr>
          <w:rFonts w:eastAsia="Times New Roman"/>
          <w:vanish/>
        </w:rPr>
        <w:t>aap:CorporateDebtSecuritiesMemberus-gaap:QualifiedPlanMemberus-gaap:FairValueInputsLevel3Member2021-12-310001333986us-gaap:CorporateDebtSecuritiesMemberus-gaap:QualifiedPlanMember2021-12-310001333986us-gaap:USTreasuryAndGovernmentMemberus-gaap:FairValueInp</w:t>
      </w:r>
      <w:r>
        <w:rPr>
          <w:rFonts w:eastAsia="Times New Roman"/>
          <w:vanish/>
        </w:rPr>
        <w:t>utsLevel1Memberus-gaap:QualifiedPlanMember2021-12-310001333986us-gaap:USTreasuryAndGovernmentMemberus-gaap:FairValueInputsLevel2Memberus-gaap:QualifiedPlanMember2021-12-310001333986us-gaap:USTreasuryAndGovernmentMemberus-gaap:QualifiedPlanMemberus-gaap:Fai</w:t>
      </w:r>
      <w:r>
        <w:rPr>
          <w:rFonts w:eastAsia="Times New Roman"/>
          <w:vanish/>
        </w:rPr>
        <w:t>rValueInputsLevel3Member2021-12-310001333986us-gaap:USTreasuryAndGovernmentMemberus-gaap:QualifiedPlanMember2021-12-310001333986us-gaap:FairValueInputsLevel1Memberus-gaap:QualifiedPlanMemberus-gaap:USStatesAndPoliticalSubdivisionsMember2021-12-310001333986</w:t>
      </w:r>
      <w:r>
        <w:rPr>
          <w:rFonts w:eastAsia="Times New Roman"/>
          <w:vanish/>
        </w:rPr>
        <w:t>us-gaap:FairValueInputsLevel2Memberus-gaap:QualifiedPlanMemberus-gaap:USStatesAndPoliticalSubdivisionsMember2021-12-310001333986us-gaap:QualifiedPlanMemberus-gaap:FairValueInputsLevel3Memberus-gaap:USStatesAndPoliticalSubdivisionsMember2021-12-310001333986</w:t>
      </w:r>
      <w:r>
        <w:rPr>
          <w:rFonts w:eastAsia="Times New Roman"/>
          <w:vanish/>
        </w:rPr>
        <w:t>us-gaap:QualifiedPlanMemberus-gaap:USStatesAndPoliticalSubdivisionsMember2021-12-310001333986us-gaap:FairValueInputsLevel1Memberus-gaap:QualifiedPlanMemberus-gaap:ForeignGovernmentDebtSecuritiesMember2021-12-310001333986us-gaap:FairValueInputsLevel2Memberu</w:t>
      </w:r>
      <w:r>
        <w:rPr>
          <w:rFonts w:eastAsia="Times New Roman"/>
          <w:vanish/>
        </w:rPr>
        <w:t>s-gaap:QualifiedPlanMemberus-gaap:ForeignGovernmentDebtSecuritiesMember2021-12-310001333986us-gaap:QualifiedPlanMemberus-gaap:ForeignGovernmentDebtSecuritiesMemberus-gaap:FairValueInputsLevel3Member2021-12-310001333986us-gaap:QualifiedPlanMemberus-gaap:For</w:t>
      </w:r>
      <w:r>
        <w:rPr>
          <w:rFonts w:eastAsia="Times New Roman"/>
          <w:vanish/>
        </w:rPr>
        <w:t>eignGovernmentDebtSecuritiesMember2021-12-310001333986us-gaap:CommercialMortgageBackedSecuritiesMemberus-gaap:FairValueInputsLevel1Memberus-gaap:QualifiedPlanMember2021-12-310001333986us-gaap:CommercialMortgageBackedSecuritiesMemberus-gaap:FairValueInputsL</w:t>
      </w:r>
      <w:r>
        <w:rPr>
          <w:rFonts w:eastAsia="Times New Roman"/>
          <w:vanish/>
        </w:rPr>
        <w:t>evel2Memberus-gaap:QualifiedPlanMember2021-12-310001333986us-gaap:CommercialMortgageBackedSecuritiesMemberus-gaap:QualifiedPlanMemberus-gaap:FairValueInputsLevel3Member2021-12-310001333986us-gaap:CommercialMortgageBackedSecuritiesMemberus-gaap:QualifiedPla</w:t>
      </w:r>
      <w:r>
        <w:rPr>
          <w:rFonts w:eastAsia="Times New Roman"/>
          <w:vanish/>
        </w:rPr>
        <w:t>nMember2021-12-310001333986us-gaap:EquitySecuritiesMemberus-gaap:FairValueInputsLevel1Memberus-gaap:QualifiedPlanMemberus-gaap:PensionPlansDefinedBenefitMember2021-12-310001333986us-gaap:FairValueInputsLevel2Memberus-gaap:EquitySecuritiesMemberus-gaap:Qual</w:t>
      </w:r>
      <w:r>
        <w:rPr>
          <w:rFonts w:eastAsia="Times New Roman"/>
          <w:vanish/>
        </w:rPr>
        <w:t>ifiedPlanMemberus-gaap:PensionPlansDefinedBenefitMember2021-12-310001333986us-gaap:EquitySecuritiesMemberus-gaap:QualifiedPlanMemberus-gaap:PensionPlansDefinedBenefitMemberus-gaap:FairValueInputsLevel3Member2021-12-310001333986us-gaap:EquitySecuritiesMembe</w:t>
      </w:r>
      <w:r>
        <w:rPr>
          <w:rFonts w:eastAsia="Times New Roman"/>
          <w:vanish/>
        </w:rPr>
        <w:t>rus-gaap:QualifiedPlanMemberus-gaap:PensionPlansDefinedBenefitMember2021-12-310001333986us-gaap:EquityFundsMemberus-gaap:FairValueInputsLevel1Memberus-gaap:QualifiedPlanMemberus-gaap:PensionPlansDefinedBenefitMember2021-12-310001333986us-gaap:EquityFundsMe</w:t>
      </w:r>
      <w:r>
        <w:rPr>
          <w:rFonts w:eastAsia="Times New Roman"/>
          <w:vanish/>
        </w:rPr>
        <w:t>mberus-gaap:FairValueInputsLevel2Memberus-gaap:QualifiedPlanMemberus-gaap:PensionPlansDefinedBenefitMember2021-12-310001333986us-gaap:EquityFundsMemberus-gaap:QualifiedPlanMemberus-gaap:PensionPlansDefinedBenefitMemberus-gaap:FairValueInputsLevel3Member202</w:t>
      </w:r>
      <w:r>
        <w:rPr>
          <w:rFonts w:eastAsia="Times New Roman"/>
          <w:vanish/>
        </w:rPr>
        <w:t>1-12-310001333986us-gaap:EquityFundsMemberus-gaap:QualifiedPlanMemberus-gaap:PensionPlansDefinedBenefitMember2021-12-310001333986us-gaap:DefinedBenefitPlanCommonCollectiveTrustMemberus-gaap:FairValueInputsLevel1Memberus-gaap:QualifiedPlanMemberus-gaap:Pens</w:t>
      </w:r>
      <w:r>
        <w:rPr>
          <w:rFonts w:eastAsia="Times New Roman"/>
          <w:vanish/>
        </w:rPr>
        <w:t>ionPlansDefinedBenefitMember2021-12-310001333986us-gaap:DefinedBenefitPlanCommonCollectiveTrustMemberus-gaap:FairValueInputsLevel2Memberus-gaap:QualifiedPlanMemberus-gaap:PensionPlansDefinedBenefitMember2021-12-310001333986us-gaap:DefinedBenefitPlanCommonC</w:t>
      </w:r>
      <w:r>
        <w:rPr>
          <w:rFonts w:eastAsia="Times New Roman"/>
          <w:vanish/>
        </w:rPr>
        <w:t>ollectiveTrustMemberus-gaap:QualifiedPlanMemberus-gaap:PensionPlansDefinedBenefitMemberus-gaap:FairValueInputsLevel3Member2021-12-310001333986us-gaap:DefinedBenefitPlanCommonCollectiveTrustMemberus-gaap:QualifiedPlanMemberus-gaap:PensionPlansDefinedBenefit</w:t>
      </w:r>
      <w:r>
        <w:rPr>
          <w:rFonts w:eastAsia="Times New Roman"/>
          <w:vanish/>
        </w:rPr>
        <w:t>Member2021-12-310001333986us-gaap:FairValueInputsLevel1Memberus-gaap:QualifiedPlanMemberus-gaap:PensionPlansDefinedBenefitMemberus-gaap:DefinedBenefitPlanDerivativeMember2021-12-310001333986us-gaap:FairValueInputsLevel2Memberus-gaap:QualifiedPlanMemberus-g</w:t>
      </w:r>
      <w:r>
        <w:rPr>
          <w:rFonts w:eastAsia="Times New Roman"/>
          <w:vanish/>
        </w:rPr>
        <w:t>aap:PensionPlansDefinedBenefitMemberus-gaap:DefinedBenefitPlanDerivativeMember2021-12-310001333986us-gaap:QualifiedPlanMemberus-gaap:PensionPlansDefinedBenefitMemberus-gaap:FairValueInputsLevel3Memberus-gaap:DefinedBenefitPlanDerivativeMember2021-12-310001</w:t>
      </w:r>
      <w:r>
        <w:rPr>
          <w:rFonts w:eastAsia="Times New Roman"/>
          <w:vanish/>
        </w:rPr>
        <w:t>333986us-gaap:QualifiedPlanMemberus-gaap:PensionPlansDefinedBenefitMemberus-gaap:DefinedBenefitPlanDerivativeMember2021-12-310001333986us-gaap:FairValueInputsLevel1Memberus-gaap:QualifiedPlanMemberus-gaap:PensionPlansDefinedBenefitMemberus-gaap:CashAndCash</w:t>
      </w:r>
      <w:r>
        <w:rPr>
          <w:rFonts w:eastAsia="Times New Roman"/>
          <w:vanish/>
        </w:rPr>
        <w:t>EquivalentsMember2021-12-310001333986us-gaap:FairValueInputsLevel2Memberus-gaap:QualifiedPlanMemberus-gaap:PensionPlansDefinedBenefitMemberus-gaap:CashAndCashEquivalentsMember2021-12-310001333986us-gaap:QualifiedPlanMemberus-gaap:PensionPlansDefinedBenefit</w:t>
      </w:r>
      <w:r>
        <w:rPr>
          <w:rFonts w:eastAsia="Times New Roman"/>
          <w:vanish/>
        </w:rPr>
        <w:t>Memberus-gaap:FairValueInputsLevel3Memberus-gaap:CashAndCashEquivalentsMember2021-12-310001333986us-gaap:QualifiedPlanMemberus-gaap:PensionPlansDefinedBenefitMemberus-gaap:CashAndCashEquivalentsMember2021-12-310001333986us-gaap:ShortTermInvestmentsMemberus</w:t>
      </w:r>
      <w:r>
        <w:rPr>
          <w:rFonts w:eastAsia="Times New Roman"/>
          <w:vanish/>
        </w:rPr>
        <w:t>-gaap:FairValueInputsLevel1Memberus-gaap:QualifiedPlanMemberus-gaap:PensionPlansDefinedBenefitMember2021-12-310001333986us-gaap:FairValueInputsLevel2Memberus-gaap:ShortTermInvestmentsMemberus-gaap:QualifiedPlanMemberus-gaap:PensionPlansDefinedBenefitMember</w:t>
      </w:r>
      <w:r>
        <w:rPr>
          <w:rFonts w:eastAsia="Times New Roman"/>
          <w:vanish/>
        </w:rPr>
        <w:t>2021-12-310001333986us-gaap:ShortTermInvestmentsMemberus-gaap:QualifiedPlanMemberus-gaap:PensionPlansDefinedBenefitMemberus-gaap:FairValueInputsLevel3Member2021-12-310001333986us-gaap:ShortTermInvestmentsMemberus-gaap:QualifiedPlanMemberus-gaap:PensionPlan</w:t>
      </w:r>
      <w:r>
        <w:rPr>
          <w:rFonts w:eastAsia="Times New Roman"/>
          <w:vanish/>
        </w:rPr>
        <w:t>sDefinedBenefitMember2021-12-310001333986us-gaap:FairValueInputsLevel1Memberus-gaap:QualifiedPlanMemberus-gaap:PensionPlansDefinedBenefitMember2021-12-310001333986us-gaap:FairValueInputsLevel2Memberus-gaap:QualifiedPlanMemberus-gaap:PensionPlansDefinedBene</w:t>
      </w:r>
      <w:r>
        <w:rPr>
          <w:rFonts w:eastAsia="Times New Roman"/>
          <w:vanish/>
        </w:rPr>
        <w:t>fitMember2021-12-310001333986us-gaap:QualifiedPlanMemberus-gaap:PensionPlansDefinedBenefitMemberus-gaap:FairValueInputsLevel3Member2021-12-310001333986us-gaap:QualifiedPlanMemberus-gaap:PensionPlansDefinedBenefitMemberus-gaap:FairValueInputsLevel12And3Memb</w:t>
      </w:r>
      <w:r>
        <w:rPr>
          <w:rFonts w:eastAsia="Times New Roman"/>
          <w:vanish/>
        </w:rPr>
        <w:t>er2021-12-310001333986us-gaap:QualifiedPlanMemberus-gaap:FairValueMeasuredAtNetAssetValuePerShareMemberus-gaap:PensionPlansDefinedBenefitMember2021-12-310001333986us-gaap:CorporateDebtSecuritiesMemberus-gaap:FairValueInputsLevel1Memberus-gaap:QualifiedPlan</w:t>
      </w:r>
      <w:r>
        <w:rPr>
          <w:rFonts w:eastAsia="Times New Roman"/>
          <w:vanish/>
        </w:rPr>
        <w:t>Member2020-12-310001333986us-gaap:CorporateDebtSecuritiesMemberus-gaap:FairValueInputsLevel2Memberus-gaap:QualifiedPlanMember2020-12-310001333986us-gaap:CorporateDebtSecuritiesMemberus-gaap:QualifiedPlanMemberus-gaap:FairValueInputsLevel3Member2020-12-3100</w:t>
      </w:r>
      <w:r>
        <w:rPr>
          <w:rFonts w:eastAsia="Times New Roman"/>
          <w:vanish/>
        </w:rPr>
        <w:t>01333986us-gaap:CorporateDebtSecuritiesMemberus-gaap:QualifiedPlanMember2020-12-310001333986us-gaap:USTreasuryAndGovernmentMemberus-gaap:FairValueInputsLevel1Memberus-gaap:QualifiedPlanMember2020-12-310001333986us-gaap:USTreasuryAndGovernmentMemberus-gaap:</w:t>
      </w:r>
      <w:r>
        <w:rPr>
          <w:rFonts w:eastAsia="Times New Roman"/>
          <w:vanish/>
        </w:rPr>
        <w:t>FairValueInputsLevel2Memberus-gaap:QualifiedPlanMember2020-12-310001333986us-gaap:USTreasuryAndGovernmentMemberus-gaap:QualifiedPlanMemberus-gaap:FairValueInputsLevel3Member2020-12-310001333986us-gaap:USTreasuryAndGovernmentMemberus-gaap:QualifiedPlanMembe</w:t>
      </w:r>
      <w:r>
        <w:rPr>
          <w:rFonts w:eastAsia="Times New Roman"/>
          <w:vanish/>
        </w:rPr>
        <w:t>r2020-12-310001333986us-gaap:FairValueInputsLevel1Memberus-gaap:QualifiedPlanMemberus-gaap:USStatesAndPoliticalSubdivisionsMember2020-12-310001333986us-gaap:FairValueInputsLevel2Memberus-gaap:QualifiedPlanMemberus-gaap:USStatesAndPoliticalSubdivisionsMembe</w:t>
      </w:r>
      <w:r>
        <w:rPr>
          <w:rFonts w:eastAsia="Times New Roman"/>
          <w:vanish/>
        </w:rPr>
        <w:t>r2020-12-310001333986us-gaap:QualifiedPlanMemberus-gaap:FairValueInputsLevel3Memberus-gaap:USStatesAndPoliticalSubdivisionsMember2020-12-310001333986us-gaap:QualifiedPlanMemberus-gaap:USStatesAndPoliticalSubdivisionsMember2020-12-310001333986us-gaap:FairVa</w:t>
      </w:r>
      <w:r>
        <w:rPr>
          <w:rFonts w:eastAsia="Times New Roman"/>
          <w:vanish/>
        </w:rPr>
        <w:t>lueInputsLevel1Memberus-gaap:QualifiedPlanMemberus-gaap:ForeignGovernmentDebtSecuritiesMember2020-12-310001333986us-gaap:FairValueInputsLevel2Memberus-gaap:QualifiedPlanMemberus-gaap:ForeignGovernmentDebtSecuritiesMember2020-12-310001333986us-gaap:Qualifie</w:t>
      </w:r>
      <w:r>
        <w:rPr>
          <w:rFonts w:eastAsia="Times New Roman"/>
          <w:vanish/>
        </w:rPr>
        <w:t>dPlanMemberus-gaap:ForeignGovernmentDebtSecuritiesMemberus-gaap:FairValueInputsLevel3Member2020-12-310001333986us-gaap:QualifiedPlanMemberus-gaap:ForeignGovernmentDebtSecuritiesMember2020-12-310001333986us-gaap:CommercialMortgageBackedSecuritiesMemberus-ga</w:t>
      </w:r>
      <w:r>
        <w:rPr>
          <w:rFonts w:eastAsia="Times New Roman"/>
          <w:vanish/>
        </w:rPr>
        <w:t>ap:FairValueInputsLevel1Memberus-gaap:QualifiedPlanMember2020-12-310001333986us-gaap:CommercialMortgageBackedSecuritiesMemberus-gaap:FairValueInputsLevel2Memberus-gaap:QualifiedPlanMember2020-12-310001333986us-gaap:CommercialMortgageBackedSecuritiesMemberu</w:t>
      </w:r>
      <w:r>
        <w:rPr>
          <w:rFonts w:eastAsia="Times New Roman"/>
          <w:vanish/>
        </w:rPr>
        <w:t>s-gaap:QualifiedPlanMemberus-gaap:FairValueInputsLevel3Member2020-12-310001333986us-gaap:CommercialMortgageBackedSecuritiesMemberus-gaap:QualifiedPlanMember2020-12-310001333986us-gaap:EquitySecuritiesMemberus-gaap:FairValueInputsLevel1Memberus-gaap:Qualifi</w:t>
      </w:r>
      <w:r>
        <w:rPr>
          <w:rFonts w:eastAsia="Times New Roman"/>
          <w:vanish/>
        </w:rPr>
        <w:t>edPlanMemberus-gaap:PensionPlansDefinedBenefitMember2020-12-310001333986us-gaap:FairValueInputsLevel2Memberus-gaap:EquitySecuritiesMemberus-gaap:QualifiedPlanMemberus-gaap:PensionPlansDefinedBenefitMember2020-12-310001333986us-gaap:EquitySecuritiesMemberus</w:t>
      </w:r>
      <w:r>
        <w:rPr>
          <w:rFonts w:eastAsia="Times New Roman"/>
          <w:vanish/>
        </w:rPr>
        <w:t>-gaap:QualifiedPlanMemberus-gaap:PensionPlansDefinedBenefitMemberus-gaap:FairValueInputsLevel3Member2020-12-310001333986us-gaap:EquitySecuritiesMemberus-gaap:QualifiedPlanMemberus-gaap:PensionPlansDefinedBenefitMember2020-12-310001333986us-gaap:EquityFunds</w:t>
      </w:r>
      <w:r>
        <w:rPr>
          <w:rFonts w:eastAsia="Times New Roman"/>
          <w:vanish/>
        </w:rPr>
        <w:t>Memberus-gaap:FairValueInputsLevel1Memberus-gaap:QualifiedPlanMemberus-gaap:PensionPlansDefinedBenefitMember2020-12-310001333986us-gaap:EquityFundsMemberus-gaap:FairValueInputsLevel2Memberus-gaap:QualifiedPlanMemberus-gaap:PensionPlansDefinedBenefitMember2</w:t>
      </w:r>
      <w:r>
        <w:rPr>
          <w:rFonts w:eastAsia="Times New Roman"/>
          <w:vanish/>
        </w:rPr>
        <w:t>020-12-310001333986us-gaap:EquityFundsMemberus-gaap:QualifiedPlanMemberus-gaap:PensionPlansDefinedBenefitMemberus-gaap:FairValueInputsLevel3Member2020-12-310001333986us-gaap:EquityFundsMemberus-gaap:QualifiedPlanMemberus-gaap:PensionPlansDefinedBenefitMemb</w:t>
      </w:r>
      <w:r>
        <w:rPr>
          <w:rFonts w:eastAsia="Times New Roman"/>
          <w:vanish/>
        </w:rPr>
        <w:t>er2020-12-310001333986us-gaap:DefinedBenefitPlanCommonCollectiveTrustMemberus-gaap:FairValueInputsLevel1Memberus-gaap:QualifiedPlanMemberus-gaap:PensionPlansDefinedBenefitMember2020-12-310001333986us-gaap:DefinedBenefitPlanCommonCollectiveTrustMemberus-gaa</w:t>
      </w:r>
      <w:r>
        <w:rPr>
          <w:rFonts w:eastAsia="Times New Roman"/>
          <w:vanish/>
        </w:rPr>
        <w:t>p:FairValueInputsLevel2Memberus-gaap:QualifiedPlanMemberus-gaap:PensionPlansDefinedBenefitMember2020-12-310001333986us-gaap:DefinedBenefitPlanCommonCollectiveTrustMemberus-gaap:QualifiedPlanMemberus-gaap:PensionPlansDefinedBenefitMemberus-gaap:FairValueInp</w:t>
      </w:r>
      <w:r>
        <w:rPr>
          <w:rFonts w:eastAsia="Times New Roman"/>
          <w:vanish/>
        </w:rPr>
        <w:t>utsLevel3Member2020-12-310001333986us-gaap:DefinedBenefitPlanCommonCollectiveTrustMemberus-gaap:QualifiedPlanMemberus-gaap:PensionPlansDefinedBenefitMember2020-12-310001333986us-gaap:FairValueInputsLevel1Memberus-gaap:QualifiedPlanMemberus-gaap:PensionPlan</w:t>
      </w:r>
      <w:r>
        <w:rPr>
          <w:rFonts w:eastAsia="Times New Roman"/>
          <w:vanish/>
        </w:rPr>
        <w:t>sDefinedBenefitMemberus-gaap:CashAndCashEquivalentsMember2020-12-310001333986us-gaap:FairValueInputsLevel2Memberus-gaap:QualifiedPlanMemberus-gaap:PensionPlansDefinedBenefitMemberus-gaap:CashAndCashEquivalentsMember2020-12-310001333986us-gaap:QualifiedPlan</w:t>
      </w:r>
      <w:r>
        <w:rPr>
          <w:rFonts w:eastAsia="Times New Roman"/>
          <w:vanish/>
        </w:rPr>
        <w:t>Memberus-gaap:PensionPlansDefinedBenefitMemberus-gaap:FairValueInputsLevel3Memberus-gaap:CashAndCashEquivalentsMember2020-12-310001333986us-gaap:QualifiedPlanMemberus-gaap:PensionPlansDefinedBenefitMemberus-gaap:CashAndCashEquivalentsMember2020-12-31000133</w:t>
      </w:r>
      <w:r>
        <w:rPr>
          <w:rFonts w:eastAsia="Times New Roman"/>
          <w:vanish/>
        </w:rPr>
        <w:t>3986us-gaap:ShortTermInvestmentsMemberus-gaap:FairValueInputsLevel1Memberus-gaap:QualifiedPlanMemberus-gaap:PensionPlansDefinedBenefitMember2020-12-310001333986us-gaap:FairValueInputsLevel2Memberus-gaap:ShortTermInvestmentsMemberus-gaap:QualifiedPlanMember</w:t>
      </w:r>
      <w:r>
        <w:rPr>
          <w:rFonts w:eastAsia="Times New Roman"/>
          <w:vanish/>
        </w:rPr>
        <w:t>us-gaap:PensionPlansDefinedBenefitMember2020-12-310001333986us-gaap:ShortTermInvestmentsMemberus-gaap:QualifiedPlanMemberus-gaap:PensionPlansDefinedBenefitMemberus-gaap:FairValueInputsLevel3Member2020-12-310001333986us-gaap:ShortTermInvestmentsMemberus-gaa</w:t>
      </w:r>
      <w:r>
        <w:rPr>
          <w:rFonts w:eastAsia="Times New Roman"/>
          <w:vanish/>
        </w:rPr>
        <w:t>p:QualifiedPlanMemberus-gaap:PensionPlansDefinedBenefitMember2020-12-310001333986us-gaap:FairValueInputsLevel1Memberus-gaap:QualifiedPlanMemberus-gaap:PensionPlansDefinedBenefitMember2020-12-310001333986us-gaap:FairValueInputsLevel2Memberus-gaap:QualifiedP</w:t>
      </w:r>
      <w:r>
        <w:rPr>
          <w:rFonts w:eastAsia="Times New Roman"/>
          <w:vanish/>
        </w:rPr>
        <w:t>lanMemberus-gaap:PensionPlansDefinedBenefitMember2020-12-310001333986us-gaap:QualifiedPlanMemberus-gaap:PensionPlansDefinedBenefitMemberus-gaap:FairValueInputsLevel3Member2020-12-310001333986us-gaap:QualifiedPlanMemberus-gaap:PensionPlansDefinedBenefitMemb</w:t>
      </w:r>
      <w:r>
        <w:rPr>
          <w:rFonts w:eastAsia="Times New Roman"/>
          <w:vanish/>
        </w:rPr>
        <w:t>erus-gaap:FairValueInputsLevel12And3Member2020-12-310001333986us-gaap:QualifiedPlanMemberus-gaap:FairValueMeasuredAtNetAssetValuePerShareMemberus-gaap:PensionPlansDefinedBenefitMember2020-12-310001333986us-gaap:FairValueMeasuredAtNetAssetValuePerShareMembe</w:t>
      </w:r>
      <w:r>
        <w:rPr>
          <w:rFonts w:eastAsia="Times New Roman"/>
          <w:vanish/>
        </w:rPr>
        <w:t>rus-gaap:PrivateEquityFundsMember2021-12-310001333986us-gaap:FairValueMeasuredAtNetAssetValuePerShareMembereqh:PrivateRealEstateFundMember2021-12-310001333986us-gaap:HedgeFundsMemberus-gaap:FairValueMeasuredAtNetAssetValuePerShareMember2021-12-310001333986</w:t>
      </w:r>
      <w:r>
        <w:rPr>
          <w:rFonts w:eastAsia="Times New Roman"/>
          <w:vanish/>
        </w:rPr>
        <w:t>us-gaap:FairValueMeasuredAtNetAssetValuePerShareMember2021-12-310001333986us-gaap:FairValueMeasuredAtNetAssetValuePerShareMemberus-gaap:PrivateEquityFundsMember2020-12-310001333986us-gaap:FairValueMeasuredAtNetAssetValuePerShareMembereqh:PrivateRealEstateF</w:t>
      </w:r>
      <w:r>
        <w:rPr>
          <w:rFonts w:eastAsia="Times New Roman"/>
          <w:vanish/>
        </w:rPr>
        <w:t>undMember2020-12-310001333986us-gaap:HedgeFundsMemberus-gaap:FairValueMeasuredAtNetAssetValuePerShareMember2020-12-310001333986us-gaap:FairValueMeasuredAtNetAssetValuePerShareMember2020-12-310001333986eqh:PrivateEstateInvestmentTrustsMemberus-gaap:Qualifie</w:t>
      </w:r>
      <w:r>
        <w:rPr>
          <w:rFonts w:eastAsia="Times New Roman"/>
          <w:vanish/>
        </w:rPr>
        <w:t>dPlanMemberus-gaap:PensionPlansDefinedBenefitMemberus-gaap:FairValueInputsLevel3Member2020-12-310001333986eqh:OtherEquityInvestmentsMemberus-gaap:QualifiedPlanMemberus-gaap:PensionPlansDefinedBenefitMemberus-gaap:FairValueInputsLevel3Member2020-12-31000133</w:t>
      </w:r>
      <w:r>
        <w:rPr>
          <w:rFonts w:eastAsia="Times New Roman"/>
          <w:vanish/>
        </w:rPr>
        <w:t>3986us-gaap:FixedMaturitiesMemberus-gaap:QualifiedPlanMemberus-gaap:PensionPlansDefinedBenefitMemberus-gaap:FairValueInputsLevel3Member2020-12-310001333986eqh:PrivateEstateInvestmentTrustsMemberus-gaap:QualifiedPlanMemberus-gaap:PensionPlansDefinedBenefitM</w:t>
      </w:r>
      <w:r>
        <w:rPr>
          <w:rFonts w:eastAsia="Times New Roman"/>
          <w:vanish/>
        </w:rPr>
        <w:t>emberus-gaap:FairValueInputsLevel3Member2021-01-012021-12-310001333986eqh:OtherEquityInvestmentsMemberus-gaap:QualifiedPlanMemberus-gaap:PensionPlansDefinedBenefitMemberus-gaap:FairValueInputsLevel3Member2021-01-012021-12-310001333986us-gaap:FixedMaturitie</w:t>
      </w:r>
      <w:r>
        <w:rPr>
          <w:rFonts w:eastAsia="Times New Roman"/>
          <w:vanish/>
        </w:rPr>
        <w:t>sMemberus-gaap:QualifiedPlanMemberus-gaap:PensionPlansDefinedBenefitMemberus-gaap:FairValueInputsLevel3Member2021-01-012021-12-310001333986eqh:PrivateEstateInvestmentTrustsMemberus-gaap:QualifiedPlanMemberus-gaap:PensionPlansDefinedBenefitMemberus-gaap:Fai</w:t>
      </w:r>
      <w:r>
        <w:rPr>
          <w:rFonts w:eastAsia="Times New Roman"/>
          <w:vanish/>
        </w:rPr>
        <w:t>rValueInputsLevel3Member2021-12-310001333986eqh:OtherEquityInvestmentsMemberus-gaap:QualifiedPlanMemberus-gaap:PensionPlansDefinedBenefitMemberus-gaap:FairValueInputsLevel3Member2021-12-310001333986us-gaap:FixedMaturitiesMemberus-gaap:QualifiedPlanMemberus</w:t>
      </w:r>
      <w:r>
        <w:rPr>
          <w:rFonts w:eastAsia="Times New Roman"/>
          <w:vanish/>
        </w:rPr>
        <w:t>-gaap:PensionPlansDefinedBenefitMemberus-gaap:FairValueInputsLevel3Member2021-12-310001333986eqh:PrivateEstateInvestmentTrustsMemberus-gaap:QualifiedPlanMemberus-gaap:PensionPlansDefinedBenefitMemberus-gaap:FairValueInputsLevel3Member2019-12-310001333986eq</w:t>
      </w:r>
      <w:r>
        <w:rPr>
          <w:rFonts w:eastAsia="Times New Roman"/>
          <w:vanish/>
        </w:rPr>
        <w:t>h:OtherEquityInvestmentsMemberus-gaap:QualifiedPlanMemberus-gaap:PensionPlansDefinedBenefitMemberus-gaap:FairValueInputsLevel3Member2019-12-310001333986us-gaap:FixedMaturitiesMemberus-gaap:QualifiedPlanMemberus-gaap:PensionPlansDefinedBenefitMemberus-gaap:</w:t>
      </w:r>
      <w:r>
        <w:rPr>
          <w:rFonts w:eastAsia="Times New Roman"/>
          <w:vanish/>
        </w:rPr>
        <w:t>FairValueInputsLevel3Member2019-12-310001333986eqh:PrivateEstateInvestmentTrustsMemberus-gaap:QualifiedPlanMemberus-gaap:PensionPlansDefinedBenefitMemberus-gaap:FairValueInputsLevel3Member2020-01-012020-12-310001333986eqh:OtherEquityInvestmentsMemberus-gaa</w:t>
      </w:r>
      <w:r>
        <w:rPr>
          <w:rFonts w:eastAsia="Times New Roman"/>
          <w:vanish/>
        </w:rPr>
        <w:t>p:QualifiedPlanMemberus-gaap:PensionPlansDefinedBenefitMemberus-gaap:FairValueInputsLevel3Member2020-01-012020-12-310001333986us-gaap:FixedMaturitiesMemberus-gaap:QualifiedPlanMemberus-gaap:PensionPlansDefinedBenefitMemberus-gaap:FairValueInputsLevel3Membe</w:t>
      </w:r>
      <w:r>
        <w:rPr>
          <w:rFonts w:eastAsia="Times New Roman"/>
          <w:vanish/>
        </w:rPr>
        <w:t>r2020-01-012020-12-310001333986eqh:PrivateEstateInvestmentTrustsMemberus-gaap:QualifiedPlanMemberus-gaap:PensionPlansDefinedBenefitMemberus-gaap:FairValueInputsLevel3Member2018-12-310001333986eqh:OtherEquityInvestmentsMemberus-gaap:QualifiedPlanMemberus-ga</w:t>
      </w:r>
      <w:r>
        <w:rPr>
          <w:rFonts w:eastAsia="Times New Roman"/>
          <w:vanish/>
        </w:rPr>
        <w:t>ap:PensionPlansDefinedBenefitMemberus-gaap:FairValueInputsLevel3Member2018-12-310001333986us-gaap:FixedMaturitiesMemberus-gaap:QualifiedPlanMemberus-gaap:PensionPlansDefinedBenefitMemberus-gaap:FairValueInputsLevel3Member2018-12-310001333986eqh:PrivateEsta</w:t>
      </w:r>
      <w:r>
        <w:rPr>
          <w:rFonts w:eastAsia="Times New Roman"/>
          <w:vanish/>
        </w:rPr>
        <w:t>teInvestmentTrustsMemberus-gaap:QualifiedPlanMemberus-gaap:PensionPlansDefinedBenefitMemberus-gaap:FairValueInputsLevel3Member2019-01-012019-12-310001333986eqh:OtherEquityInvestmentsMemberus-gaap:QualifiedPlanMemberus-gaap:PensionPlansDefinedBenefitMemberu</w:t>
      </w:r>
      <w:r>
        <w:rPr>
          <w:rFonts w:eastAsia="Times New Roman"/>
          <w:vanish/>
        </w:rPr>
        <w:t>s-gaap:FairValueInputsLevel3Member2019-01-012019-12-310001333986us-gaap:FixedMaturitiesMemberus-gaap:QualifiedPlanMemberus-gaap:PensionPlansDefinedBenefitMemberus-gaap:FairValueInputsLevel3Member2019-01-012019-12-310001333986eqh:EquitableFinancialQPMember2</w:t>
      </w:r>
      <w:r>
        <w:rPr>
          <w:rFonts w:eastAsia="Times New Roman"/>
          <w:vanish/>
        </w:rPr>
        <w:t>021-12-310001333986eqh:EquitableFinancialQPMember2020-12-310001333986eqh:EquitableExcessRetirementPlanMember2021-12-310001333986eqh:EquitableExcessRetirementPlanMember2020-12-310001333986eqh:MONYLifeRetirementIncomeSecurityPlanForEmployeesMember2021-12-310</w:t>
      </w:r>
      <w:r>
        <w:rPr>
          <w:rFonts w:eastAsia="Times New Roman"/>
          <w:vanish/>
        </w:rPr>
        <w:t>001333986eqh:MONYLifeRetirementIncomeSecurityPlanForEmployeesMember2020-12-310001333986eqh:ABQualifiedRetirementPlansMember2021-01-012021-12-310001333986eqh:ABQualifiedRetirementPlansMember2020-01-012020-12-310001333986eqh:CashBalanceInterestCreditingRateF</w:t>
      </w:r>
      <w:r>
        <w:rPr>
          <w:rFonts w:eastAsia="Times New Roman"/>
          <w:vanish/>
        </w:rPr>
        <w:t>orPreApril12012AccrualsMember2021-01-012021-12-310001333986eqh:CashBalanceInterestCreditingRateForPreApril12012AccrualsMember2020-01-012020-12-310001333986eqh:CashBalanceInterestCreditingRateForPostApril12012AccrualsMember2021-01-012021-12-310001333986eqh:</w:t>
      </w:r>
      <w:r>
        <w:rPr>
          <w:rFonts w:eastAsia="Times New Roman"/>
          <w:vanish/>
        </w:rPr>
        <w:t>CashBalanceInterestCreditingRateForPostApril12012AccrualsMember2020-01-012020-12-310001333986eqh:EquitableFinancialQPPre1987Memberus-gaap:QualifiedPlanMember2021-01-012021-12-310001333986eqh:EquitableFinancialQPPre1987Memberus-gaap:QualifiedPlanMember2020-</w:t>
      </w:r>
      <w:r>
        <w:rPr>
          <w:rFonts w:eastAsia="Times New Roman"/>
          <w:vanish/>
        </w:rPr>
        <w:t>01-012020-12-310001333986eqh:ExecutiveSurvivorBenefitsPlanMemberus-gaap:OtherPostretirementBenefitPlansDefinedBenefitMember2021-12-310001333986us-gaap:OtherPostretirementBenefitPlansDefinedBenefitMember2021-01-012021-12-310001333986us-gaap:OtherPostretirem</w:t>
      </w:r>
      <w:r>
        <w:rPr>
          <w:rFonts w:eastAsia="Times New Roman"/>
          <w:vanish/>
        </w:rPr>
        <w:t>entBenefitPlansDefinedBenefitMember2020-01-012020-12-310001333986us-gaap:OtherPostretirementBenefitPlansDefinedBenefitMember2019-01-012019-12-310001333986us-gaap:OtherPostretirementBenefitPlansDefinedBenefitMember2020-12-310001333986us-gaap:OtherPostretire</w:t>
      </w:r>
      <w:r>
        <w:rPr>
          <w:rFonts w:eastAsia="Times New Roman"/>
          <w:vanish/>
        </w:rPr>
        <w:t>mentBenefitPlansDefinedBenefitMember2019-12-310001333986us-gaap:OtherPostretirementBenefitPlansDefinedBenefitMember2021-12-310001333986us-gaap:PostemploymentRetirementBenefitsMember2021-12-310001333986us-gaap:PostemploymentRetirementBenefitsMember2020-12-3</w:t>
      </w:r>
      <w:r>
        <w:rPr>
          <w:rFonts w:eastAsia="Times New Roman"/>
          <w:vanish/>
        </w:rPr>
        <w:t>10001333986us-gaap:PostemploymentRetirementBenefitsMember2021-01-012021-12-310001333986us-gaap:PostemploymentRetirementBenefitsMember2020-01-012020-12-310001333986us-gaap:PostemploymentRetirementBenefitsMember2019-01-012019-12-310001333986us-gaap:DefinedBe</w:t>
      </w:r>
      <w:r>
        <w:rPr>
          <w:rFonts w:eastAsia="Times New Roman"/>
          <w:vanish/>
        </w:rPr>
        <w:t>nefitPostretirementLifeInsuranceMember2021-12-310001333986us-gaap:DefinedBenefitPostretirementHealthCoverageMember2021-12-310001333986eqh:OtherDefinedBenefitPlansMembersrt:MinimumMember2021-01-012021-12-310001333986eqh:OtherDefinedBenefitPlansMembersrt:Min</w:t>
      </w:r>
      <w:r>
        <w:rPr>
          <w:rFonts w:eastAsia="Times New Roman"/>
          <w:vanish/>
        </w:rPr>
        <w:t>imumMember2020-01-012020-12-310001333986srt:MaximumMembereqh:OtherDefinedBenefitPlansMember2021-01-012021-12-310001333986srt:MaximumMembereqh:OtherDefinedBenefitPlansMember2020-01-012020-12-310001333986srt:MinimumMember2021-01-012021-12-310001333986srt:Min</w:t>
      </w:r>
      <w:r>
        <w:rPr>
          <w:rFonts w:eastAsia="Times New Roman"/>
          <w:vanish/>
        </w:rPr>
        <w:t>imumMember2020-01-012020-12-310001333986srt:MaximumMember2021-01-012021-12-310001333986srt:MaximumMember2020-01-012020-12-310001333986us-gaap:OtherPostretirementBenefitPlansDefinedBenefitMembersrt:MinimumMember2021-12-310001333986us-gaap:OtherPostretiremen</w:t>
      </w:r>
      <w:r>
        <w:rPr>
          <w:rFonts w:eastAsia="Times New Roman"/>
          <w:vanish/>
        </w:rPr>
        <w:t>tBenefitPlansDefinedBenefitMembersrt:MinimumMember2020-12-310001333986srt:MaximumMemberus-gaap:OtherPostretirementBenefitPlansDefinedBenefitMember2021-12-310001333986srt:MaximumMemberus-gaap:OtherPostretirementBenefitPlansDefinedBenefitMember2020-12-310001</w:t>
      </w:r>
      <w:r>
        <w:rPr>
          <w:rFonts w:eastAsia="Times New Roman"/>
          <w:vanish/>
        </w:rPr>
        <w:t>333986us-gaap:OtherPostretirementBenefitPlansDefinedBenefitMembersrt:MinimumMember2021-01-012021-12-310001333986us-gaap:OtherPostretirementBenefitPlansDefinedBenefitMembersrt:MinimumMember2020-01-012020-12-310001333986srt:MaximumMemberus-gaap:OtherPostreti</w:t>
      </w:r>
      <w:r>
        <w:rPr>
          <w:rFonts w:eastAsia="Times New Roman"/>
          <w:vanish/>
        </w:rPr>
        <w:t>rementBenefitPlansDefinedBenefitMember2021-01-012021-12-310001333986srt:MaximumMemberus-gaap:OtherPostretirementBenefitPlansDefinedBenefitMember2020-01-012020-12-310001333986eqh:PerformanceUnitPlansCombinedMember2021-01-012021-12-310001333986eqh:Performanc</w:t>
      </w:r>
      <w:r>
        <w:rPr>
          <w:rFonts w:eastAsia="Times New Roman"/>
          <w:vanish/>
        </w:rPr>
        <w:t>eUnitPlansCombinedMember2020-01-012020-12-310001333986eqh:PerformanceUnitPlansCombinedMember2019-01-012019-12-310001333986eqh:StockOptionPlanMember2021-01-012021-12-310001333986eqh:StockOptionPlanMember2020-01-012020-12-310001333986eqh:StockOptionPlanMembe</w:t>
      </w:r>
      <w:r>
        <w:rPr>
          <w:rFonts w:eastAsia="Times New Roman"/>
          <w:vanish/>
        </w:rPr>
        <w:t>r2019-01-012019-12-310001333986us-gaap:RestrictedStockUnitsRSUMember2021-01-012021-12-310001333986us-gaap:RestrictedStockUnitsRSUMember2020-01-012020-12-310001333986us-gaap:RestrictedStockUnitsRSUMember2019-01-012019-12-310001333986eqh:OmnibusPlansMember20</w:t>
      </w:r>
      <w:r>
        <w:rPr>
          <w:rFonts w:eastAsia="Times New Roman"/>
          <w:vanish/>
        </w:rPr>
        <w:t>21-12-310001333986eqh:AnnualAwardsMemberus-gaap:RestrictedStockUnitsRSUMember2021-01-012021-12-310001333986eqh:AnnualAwardsMemberus-gaap:EmployeeStockOptionMember2021-01-012021-12-310001333986eqh:AnnualAwardsMemberus-gaap:PerformanceSharesMembersrt:Minimum</w:t>
      </w:r>
      <w:r>
        <w:rPr>
          <w:rFonts w:eastAsia="Times New Roman"/>
          <w:vanish/>
        </w:rPr>
        <w:t>Member2021-01-012021-12-310001333986srt:MaximumMembereqh:AnnualAwardsMemberus-gaap:PerformanceSharesMember2021-01-012021-12-310001333986eqh:TransactionIncentiveGrantAwardsMemberus-gaap:RestrictedStockUnitsRSUMember2018-05-092018-05-090001333986eqh:RSUServi</w:t>
      </w:r>
      <w:r>
        <w:rPr>
          <w:rFonts w:eastAsia="Times New Roman"/>
          <w:vanish/>
        </w:rPr>
        <w:t>ceUnitsMembereqh:TransactionIncentiveGrantAwardsMember2018-05-092018-05-090001333986eqh:TransactionIncentiveGrantAwardsMembereqh:RSUPerformanceUnitsMember2018-05-092018-05-090001333986eqh:TransactionIncentiveGrantAwardsMemberus-gaap:RestrictedStockUnitsRSU</w:t>
      </w:r>
      <w:r>
        <w:rPr>
          <w:rFonts w:eastAsia="Times New Roman"/>
          <w:vanish/>
        </w:rPr>
        <w:t>Membersrt:MinimumMember2018-05-092018-05-090001333986srt:MaximumMembereqh:TransactionIncentiveGrantAwardsMemberus-gaap:RestrictedStockUnitsRSUMember2018-05-092018-05-090001333986eqh:TransactionIncentiveGrantAwardsMembereqh:RSUPerformanceUnitsMembersrt:Mini</w:t>
      </w:r>
      <w:r>
        <w:rPr>
          <w:rFonts w:eastAsia="Times New Roman"/>
          <w:vanish/>
        </w:rPr>
        <w:t>mumMember2018-05-092018-05-090001333986srt:MaximumMembereqh:TransactionIncentiveGrantAwardsMembereqh:RSUPerformanceUnitsMember2018-05-092018-05-090001333986eqh:Plan2017Member2021-12-310001333986eqh:NewlyIssuedABHoldingUnitsMembereqh:Plan2017Member2021-12-3</w:t>
      </w:r>
      <w:r>
        <w:rPr>
          <w:rFonts w:eastAsia="Times New Roman"/>
          <w:vanish/>
        </w:rPr>
        <w:t>10001333986eqh:EmployeesandDirectorsMembereqh:AllianceBernsteinMember2021-01-012021-12-310001333986eqh:EmployeesandDirectorsMembereqh:AllianceBernsteinMember2020-01-012020-12-310001333986eqh:EmployeesandDirectorsMembereqh:AllianceBernsteinMember2019-01-012</w:t>
      </w:r>
      <w:r>
        <w:rPr>
          <w:rFonts w:eastAsia="Times New Roman"/>
          <w:vanish/>
        </w:rPr>
        <w:t>019-12-310001333986eqh:NewlyIssuedABHoldingUnitsMembereqh:Plan2017SubjectToOtherHoldingUnitAwardsMember2021-12-310001333986us-gaap:EmployeeStockOptionMembersrt:ParentCompanyMember2020-12-310001333986eqh:AllianceBernsteinHoldingUnitsMembersrt:ParentCompanyM</w:t>
      </w:r>
      <w:r>
        <w:rPr>
          <w:rFonts w:eastAsia="Times New Roman"/>
          <w:vanish/>
        </w:rPr>
        <w:t>ember2020-12-310001333986eqh:AxaOrdinarySharesMembersrt:ParentCompanyMember2020-12-31iso4217:EURxbrli:shares0001333986us-gaap:EmployeeStockOptionMembersrt:ParentCompanyMember2021-01-012021-12-310001333986eqh:AllianceBernsteinHoldingUnitsMembersrt:ParentCom</w:t>
      </w:r>
      <w:r>
        <w:rPr>
          <w:rFonts w:eastAsia="Times New Roman"/>
          <w:vanish/>
        </w:rPr>
        <w:t>panyMember2021-01-012021-12-310001333986eqh:AxaOrdinarySharesMembersrt:ParentCompanyMember2021-01-012021-12-310001333986us-gaap:EmployeeStockOptionMembersrt:ParentCompanyMember2021-12-310001333986eqh:AllianceBernsteinHoldingUnitsMembersrt:ParentCompanyMemb</w:t>
      </w:r>
      <w:r>
        <w:rPr>
          <w:rFonts w:eastAsia="Times New Roman"/>
          <w:vanish/>
        </w:rPr>
        <w:t>er2021-12-310001333986eqh:AxaOrdinarySharesMembersrt:ParentCompanyMember2021-12-31iso4217:EUR0001333986us-gaap:EmployeeStockOptionMembersrt:ParentCompanyMember2020-01-012020-12-310001333986us-gaap:EmployeeStockOptionMembersrt:ParentCompanyMember2019-01-012</w:t>
      </w:r>
      <w:r>
        <w:rPr>
          <w:rFonts w:eastAsia="Times New Roman"/>
          <w:vanish/>
        </w:rPr>
        <w:t>019-12-310001333986eqh:StockOptionPlanMember2021-12-310001333986eqh:StockOptionPlanMembersrt:ParentCompanyMember2021-12-310001333986eqh:StockOptionPlanMembersrt:ParentCompanyMember2021-01-012021-12-310001333986us-gaap:RestrictedStockUnitsRSUMembersrt:Paren</w:t>
      </w:r>
      <w:r>
        <w:rPr>
          <w:rFonts w:eastAsia="Times New Roman"/>
          <w:vanish/>
        </w:rPr>
        <w:t>tCompanyMember2021-12-310001333986us-gaap:RestrictedStockUnitsRSUMembersrt:ParentCompanyMember2021-01-012021-12-310001333986eqh:ABHoldingMembersrt:ParentCompanyMember2021-12-310001333986eqh:ABHoldingMembersrt:ParentCompanyMember2021-01-012021-12-3100013339</w:t>
      </w:r>
      <w:r>
        <w:rPr>
          <w:rFonts w:eastAsia="Times New Roman"/>
          <w:vanish/>
        </w:rPr>
        <w:t>86us-gaap:RestrictedStockUnitsRSUMember2020-12-310001333986us-gaap:RestrictedStockUnitsRSUMember2021-12-310001333986us-gaap:PerformanceSharesMembersrt:ParentCompanyMember2021-12-310001333986us-gaap:PerformanceSharesMembersrt:ParentCompanyMember2021-01-0120</w:t>
      </w:r>
      <w:r>
        <w:rPr>
          <w:rFonts w:eastAsia="Times New Roman"/>
          <w:vanish/>
        </w:rPr>
        <w:t>21-12-310001333986us-gaap:PerformanceSharesMember2020-12-310001333986us-gaap:PerformanceSharesMembersrt:ParentCompanyMember2020-12-310001333986us-gaap:PerformanceSharesMember2021-01-012021-12-310001333986us-gaap:PerformanceSharesMember2021-12-310001333986u</w:t>
      </w:r>
      <w:r>
        <w:rPr>
          <w:rFonts w:eastAsia="Times New Roman"/>
          <w:vanish/>
        </w:rPr>
        <w:t>s-gaap:ShareBasedCompensationAwardTrancheOneMemberus-gaap:EmployeeStockOptionMember2021-01-012021-12-310001333986us-gaap:ShareBasedCompensationAwardTrancheTwoMemberus-gaap:EmployeeStockOptionMember2021-01-012021-12-310001333986us-gaap:ShareBasedCompensatio</w:t>
      </w:r>
      <w:r>
        <w:rPr>
          <w:rFonts w:eastAsia="Times New Roman"/>
          <w:vanish/>
        </w:rPr>
        <w:t>nAwardTrancheThreeMemberus-gaap:EmployeeStockOptionMember2021-01-012021-12-310001333986eqh:ROEPerformanceSharesMember2021-01-012021-12-310001333986eqh:TSRPerformanceSharePlanMember2021-01-012021-12-310001333986us-gaap:ForeignCountryMember2021-01-012021-12-</w:t>
      </w:r>
      <w:r>
        <w:rPr>
          <w:rFonts w:eastAsia="Times New Roman"/>
          <w:vanish/>
        </w:rPr>
        <w:t>310001333986us-gaap:ForeignCountryMember2020-01-012020-12-310001333986us-gaap:ForeignCountryMember2019-01-012019-12-3100013339862020-10-012020-12-3100013339862019-04-012019-06-300001333986eqh:BrachFamilyFoundationLitigationMember2016-02-290001333986eqh:Equ</w:t>
      </w:r>
      <w:r>
        <w:rPr>
          <w:rFonts w:eastAsia="Times New Roman"/>
          <w:vanish/>
        </w:rPr>
        <w:t>itableFinancialMember2016-02-29eqh:federalAction0001333986eqh:EquitableFinancialMemberstpr:NY2016-02-29eqh:legalActioneqh:saleAndDisclosurePractice0001333986eqh:SalesAndDisclosurePracticesMember2021-01-012021-12-310001333986eqh:PreCapitalizedTrustSecuritie</w:t>
      </w:r>
      <w:r>
        <w:rPr>
          <w:rFonts w:eastAsia="Times New Roman"/>
          <w:vanish/>
        </w:rPr>
        <w:t>sTrancheOneMember2019-04-012019-04-300001333986eqh:PreCapitalizedTrustSecuritiesTrancheTwoMember2019-04-012019-04-300001333986us-gaap:FederalHomeLoanBankCertificatesAndObligationsFHLBMembereqh:ShortTermFundingAgreementsMaturingInLessThanOneYearMember2020-1</w:t>
      </w:r>
      <w:r>
        <w:rPr>
          <w:rFonts w:eastAsia="Times New Roman"/>
          <w:vanish/>
        </w:rPr>
        <w:t>2-310001333986us-gaap:FederalHomeLoanBankCertificatesAndObligationsFHLBMembereqh:ShortTermFundingAgreementsMaturingInLessThanOneYearMember2021-01-012021-12-310001333986us-gaap:FederalHomeLoanBankCertificatesAndObligationsFHLBMembereqh:ShortTermFundingAgree</w:t>
      </w:r>
      <w:r>
        <w:rPr>
          <w:rFonts w:eastAsia="Times New Roman"/>
          <w:vanish/>
        </w:rPr>
        <w:t>mentsMaturingInLessThanOneYearMember2021-12-310001333986eqh:LongTermFundingAgreementsMaturingBetweenTwoAndFiveYearsMemberus-gaap:FederalHomeLoanBankCertificatesAndObligationsFHLBMember2020-12-310001333986eqh:LongTermFundingAgreementsMaturingBetweenTwoAndFi</w:t>
      </w:r>
      <w:r>
        <w:rPr>
          <w:rFonts w:eastAsia="Times New Roman"/>
          <w:vanish/>
        </w:rPr>
        <w:t>veYearsMemberus-gaap:FederalHomeLoanBankCertificatesAndObligationsFHLBMember2021-01-012021-12-310001333986eqh:LongTermFundingAgreementsMaturingBetweenTwoAndFiveYearsMemberus-gaap:FederalHomeLoanBankCertificatesAndObligationsFHLBMember2021-12-310001333986us</w:t>
      </w:r>
      <w:r>
        <w:rPr>
          <w:rFonts w:eastAsia="Times New Roman"/>
          <w:vanish/>
        </w:rPr>
        <w:t>-gaap:FederalHomeLoanBankCertificatesAndObligationsFHLBMembereqh:LongTermFundingAgreementsMaturingInGreaterThanFiveYearsMember2020-12-310001333986us-gaap:FederalHomeLoanBankCertificatesAndObligationsFHLBMembereqh:LongTermFundingAgreementsMaturingInGreaterT</w:t>
      </w:r>
      <w:r>
        <w:rPr>
          <w:rFonts w:eastAsia="Times New Roman"/>
          <w:vanish/>
        </w:rPr>
        <w:t>hanFiveYearsMember2021-01-012021-12-310001333986us-gaap:FederalHomeLoanBankCertificatesAndObligationsFHLBMembereqh:LongTermFundingAgreementsMaturingInGreaterThanFiveYearsMember2021-12-310001333986eqh:LongTermFundingAgreementsMemberus-gaap:FederalHomeLoanBa</w:t>
      </w:r>
      <w:r>
        <w:rPr>
          <w:rFonts w:eastAsia="Times New Roman"/>
          <w:vanish/>
        </w:rPr>
        <w:t>nkCertificatesAndObligationsFHLBMember2020-12-310001333986eqh:LongTermFundingAgreementsMemberus-gaap:FederalHomeLoanBankCertificatesAndObligationsFHLBMember2021-01-012021-12-310001333986eqh:LongTermFundingAgreementsMemberus-gaap:FederalHomeLoanBankCertific</w:t>
      </w:r>
      <w:r>
        <w:rPr>
          <w:rFonts w:eastAsia="Times New Roman"/>
          <w:vanish/>
        </w:rPr>
        <w:t>atesAndObligationsFHLBMember2021-12-310001333986us-gaap:FederalHomeLoanBankCertificatesAndObligationsFHLBMember2020-12-310001333986us-gaap:FederalHomeLoanBankCertificatesAndObligationsFHLBMember2021-01-012021-12-310001333986us-gaap:FederalHomeLoanBankCerti</w:t>
      </w:r>
      <w:r>
        <w:rPr>
          <w:rFonts w:eastAsia="Times New Roman"/>
          <w:vanish/>
        </w:rPr>
        <w:t>ficatesAndObligationsFHLBMember2021-12-310001333986eqh:TrustNotesMember2021-05-310001333986eqh:FundingAgreementBackedNotesProgramFABNMembereqh:ShortTermFundingAgreementsMaturingInLessThanOneYearMember2020-12-310001333986eqh:FundingAgreementBackedNotesProgr</w:t>
      </w:r>
      <w:r>
        <w:rPr>
          <w:rFonts w:eastAsia="Times New Roman"/>
          <w:vanish/>
        </w:rPr>
        <w:t>amFABNMembereqh:ShortTermFundingAgreementsMaturingInLessThanOneYearMember2021-01-012021-12-310001333986eqh:FundingAgreementBackedNotesProgramFABNMembereqh:ShortTermFundingAgreementsMaturingInLessThanOneYearMember2021-12-310001333986eqh:LongTermFundingAgree</w:t>
      </w:r>
      <w:r>
        <w:rPr>
          <w:rFonts w:eastAsia="Times New Roman"/>
          <w:vanish/>
        </w:rPr>
        <w:t>mentsMaturingBetweenTwoAndFiveYearsMembereqh:FundingAgreementBackedNotesProgramFABNMember2020-12-310001333986eqh:LongTermFundingAgreementsMaturingBetweenTwoAndFiveYearsMembereqh:FundingAgreementBackedNotesProgramFABNMember2021-01-012021-12-310001333986eqh:</w:t>
      </w:r>
      <w:r>
        <w:rPr>
          <w:rFonts w:eastAsia="Times New Roman"/>
          <w:vanish/>
        </w:rPr>
        <w:t>LongTermFundingAgreementsMaturingBetweenTwoAndFiveYearsMembereqh:FundingAgreementBackedNotesProgramFABNMember2021-12-310001333986eqh:FundingAgreementBackedNotesProgramFABNMembereqh:LongTermFundingAgreementsMaturingInGreaterThanFiveYearsMember2020-12-310001</w:t>
      </w:r>
      <w:r>
        <w:rPr>
          <w:rFonts w:eastAsia="Times New Roman"/>
          <w:vanish/>
        </w:rPr>
        <w:t>333986eqh:FundingAgreementBackedNotesProgramFABNMembereqh:LongTermFundingAgreementsMaturingInGreaterThanFiveYearsMember2021-01-012021-12-310001333986eqh:FundingAgreementBackedNotesProgramFABNMembereqh:LongTermFundingAgreementsMaturingInGreaterThanFiveYears</w:t>
      </w:r>
      <w:r>
        <w:rPr>
          <w:rFonts w:eastAsia="Times New Roman"/>
          <w:vanish/>
        </w:rPr>
        <w:t>Member2021-12-310001333986eqh:FundingAgreementBackedNotesProgramFABNMembereqh:LongTermFundingAgreementsMember2020-12-310001333986eqh:FundingAgreementBackedNotesProgramFABNMembereqh:LongTermFundingAgreementsMember2021-01-012021-12-310001333986eqh:FundingAgr</w:t>
      </w:r>
      <w:r>
        <w:rPr>
          <w:rFonts w:eastAsia="Times New Roman"/>
          <w:vanish/>
        </w:rPr>
        <w:t>eementBackedNotesProgramFABNMembereqh:LongTermFundingAgreementsMember2021-12-310001333986eqh:FundingAgreementBackedNotesProgramFABNMember2020-12-310001333986eqh:FundingAgreementBackedNotesProgramFABNMember2021-01-012021-12-310001333986eqh:FundingAgreementB</w:t>
      </w:r>
      <w:r>
        <w:rPr>
          <w:rFonts w:eastAsia="Times New Roman"/>
          <w:vanish/>
        </w:rPr>
        <w:t>ackedNotesProgramFABNMember2021-12-310001333986us-gaap:RevolvingCreditFacilityMember2021-12-310001333986srt:ScenarioForecastMember2022-01-012022-12-310001333986eqh:EQAZLifeReMember2021-12-310001333986us-gaap:RevolvingCreditFacilityMembereqh:EQAZLifeReMembe</w:t>
      </w:r>
      <w:r>
        <w:rPr>
          <w:rFonts w:eastAsia="Times New Roman"/>
          <w:vanish/>
        </w:rPr>
        <w:t>reqh:HoldingsRevolvingCreditFacilityMember2021-12-310001333986us-gaap:MaterialReconcilingItemsMember2021-01-012021-12-310001333986us-gaap:MaterialReconcilingItemsMember2020-01-012020-12-310001333986us-gaap:MaterialReconcilingItemsMember2019-01-012019-12-31</w:t>
      </w:r>
      <w:r>
        <w:rPr>
          <w:rFonts w:eastAsia="Times New Roman"/>
          <w:vanish/>
        </w:rPr>
        <w:t>0001333986us-gaap:OperatingSegmentsMembereqh:IndividualRetirementMember2021-01-012021-12-310001333986us-gaap:OperatingSegmentsMembereqh:IndividualRetirementMember2020-01-012020-12-310001333986us-gaap:OperatingSegmentsMembereqh:IndividualRetirementMember201</w:t>
      </w:r>
      <w:r>
        <w:rPr>
          <w:rFonts w:eastAsia="Times New Roman"/>
          <w:vanish/>
        </w:rPr>
        <w:t>9-01-012019-12-310001333986eqh:GroupRetirementMemberus-gaap:OperatingSegmentsMember2021-01-012021-12-310001333986eqh:GroupRetirementMemberus-gaap:OperatingSegmentsMember2020-01-012020-12-310001333986eqh:GroupRetirementMemberus-gaap:OperatingSegmentsMember2</w:t>
      </w:r>
      <w:r>
        <w:rPr>
          <w:rFonts w:eastAsia="Times New Roman"/>
          <w:vanish/>
        </w:rPr>
        <w:t>019-01-012019-12-310001333986eqh:InvestmentManagementAndResearchMemberus-gaap:OperatingSegmentsMember2021-01-012021-12-310001333986eqh:InvestmentManagementAndResearchMemberus-gaap:OperatingSegmentsMember2020-01-012020-12-310001333986eqh:InvestmentManagemen</w:t>
      </w:r>
      <w:r>
        <w:rPr>
          <w:rFonts w:eastAsia="Times New Roman"/>
          <w:vanish/>
        </w:rPr>
        <w:t>tAndResearchMemberus-gaap:OperatingSegmentsMember2019-01-012019-12-310001333986eqh:ProtectionSolutionsMemberus-gaap:OperatingSegmentsMember2021-01-012021-12-310001333986eqh:ProtectionSolutionsMemberus-gaap:OperatingSegmentsMember2020-01-012020-12-310001333</w:t>
      </w:r>
      <w:r>
        <w:rPr>
          <w:rFonts w:eastAsia="Times New Roman"/>
          <w:vanish/>
        </w:rPr>
        <w:t>986eqh:ProtectionSolutionsMemberus-gaap:OperatingSegmentsMember2019-01-012019-12-310001333986us-gaap:CorporateNonSegmentMember2021-01-012021-12-310001333986us-gaap:CorporateNonSegmentMember2020-01-012020-12-310001333986us-gaap:CorporateNonSegmentMember2019</w:t>
      </w:r>
      <w:r>
        <w:rPr>
          <w:rFonts w:eastAsia="Times New Roman"/>
          <w:vanish/>
        </w:rPr>
        <w:t>-01-012019-12-310001333986us-gaap:MaterialReconcilingItemsMember2020-01-012020-03-310001333986us-gaap:MaterialReconcilingItemsMembereqh:NonGuaranteedMinimumWithdrawalBenefitMember2021-01-012021-12-310001333986us-gaap:MaterialReconcilingItemsMembereqh:NonGu</w:t>
      </w:r>
      <w:r>
        <w:rPr>
          <w:rFonts w:eastAsia="Times New Roman"/>
          <w:vanish/>
        </w:rPr>
        <w:t>aranteedMinimumWithdrawalBenefitMember2020-01-012020-12-310001333986us-gaap:MaterialReconcilingItemsMembereqh:NonGuaranteedMinimumWithdrawalBenefitMember2019-01-012019-12-310001333986us-gaap:IntersegmentEliminationMember2021-01-012021-12-310001333986us-gaa</w:t>
      </w:r>
      <w:r>
        <w:rPr>
          <w:rFonts w:eastAsia="Times New Roman"/>
          <w:vanish/>
        </w:rPr>
        <w:t>p:IntersegmentEliminationMember2020-01-012020-12-310001333986us-gaap:IntersegmentEliminationMember2019-01-012019-12-310001333986us-gaap:InvestmentAdviceMemberus-gaap:IntersegmentEliminationMember2021-01-012021-12-310001333986us-gaap:InvestmentAdviceMemberu</w:t>
      </w:r>
      <w:r>
        <w:rPr>
          <w:rFonts w:eastAsia="Times New Roman"/>
          <w:vanish/>
        </w:rPr>
        <w:t>s-gaap:IntersegmentEliminationMember2020-01-012020-12-310001333986us-gaap:InvestmentAdviceMemberus-gaap:IntersegmentEliminationMember2019-01-012019-12-310001333986us-gaap:OperatingSegmentsMembereqh:IndividualRetirementMember2021-12-310001333986us-gaap:Oper</w:t>
      </w:r>
      <w:r>
        <w:rPr>
          <w:rFonts w:eastAsia="Times New Roman"/>
          <w:vanish/>
        </w:rPr>
        <w:t>atingSegmentsMembereqh:IndividualRetirementMember2020-12-310001333986eqh:GroupRetirementMemberus-gaap:OperatingSegmentsMember2021-12-310001333986eqh:GroupRetirementMemberus-gaap:OperatingSegmentsMember2020-12-310001333986eqh:InvestmentManagementAndResearch</w:t>
      </w:r>
      <w:r>
        <w:rPr>
          <w:rFonts w:eastAsia="Times New Roman"/>
          <w:vanish/>
        </w:rPr>
        <w:t>Memberus-gaap:OperatingSegmentsMember2021-12-310001333986eqh:InvestmentManagementAndResearchMemberus-gaap:OperatingSegmentsMember2020-12-310001333986eqh:ProtectionSolutionsMemberus-gaap:OperatingSegmentsMember2021-12-310001333986eqh:ProtectionSolutionsMemb</w:t>
      </w:r>
      <w:r>
        <w:rPr>
          <w:rFonts w:eastAsia="Times New Roman"/>
          <w:vanish/>
        </w:rPr>
        <w:t>erus-gaap:OperatingSegmentsMember2020-12-310001333986us-gaap:CorporateNonSegmentMember2021-12-310001333986us-gaap:CorporateNonSegmentMember2020-12-310001333986us-gaap:SeriesAPreferredStockMember2021-12-310001333986us-gaap:SeriesAPreferredStockMember2020-12</w:t>
      </w:r>
      <w:r>
        <w:rPr>
          <w:rFonts w:eastAsia="Times New Roman"/>
          <w:vanish/>
        </w:rPr>
        <w:t>-310001333986us-gaap:SeriesBPreferredStockMember2021-12-310001333986us-gaap:SeriesBPreferredStockMember2020-12-310001333986us-gaap:SeriesCPreferredStockMember2021-12-310001333986us-gaap:SeriesCPreferredStockMember2020-12-310001333986us-gaap:SeriesAPreferre</w:t>
      </w:r>
      <w:r>
        <w:rPr>
          <w:rFonts w:eastAsia="Times New Roman"/>
          <w:vanish/>
        </w:rPr>
        <w:t>dStockMember2019-11-012019-12-310001333986us-gaap:SeriesAPreferredStockMember2019-12-310001333986us-gaap:SeriesAPreferredStockMembersrt:ScenarioForecastMember2024-12-150001333986us-gaap:SeriesAPreferredStockMembersrt:ScenarioForecastMember2024-12-242024-12</w:t>
      </w:r>
      <w:r>
        <w:rPr>
          <w:rFonts w:eastAsia="Times New Roman"/>
          <w:vanish/>
        </w:rPr>
        <w:t>-240001333986us-gaap:SeriesAPreferredStockMembersrt:ScenarioForecastMember2024-12-240001333986us-gaap:SeriesBPreferredStockMember2020-08-112020-08-110001333986us-gaap:SeriesBPreferredStockMember2020-08-110001333986us-gaap:SeriesBPreferredStockMembersrt:Sce</w:t>
      </w:r>
      <w:r>
        <w:rPr>
          <w:rFonts w:eastAsia="Times New Roman"/>
          <w:vanish/>
        </w:rPr>
        <w:t>narioForecastMember2025-12-152025-12-150001333986us-gaap:SeriesCPreferredStockMember2021-01-082021-01-080001333986us-gaap:SeriesCPreferredStockMember2021-01-080001333986us-gaap:SeriesAPreferredStockMember2021-01-012021-12-310001333986us-gaap:SeriesAPreferr</w:t>
      </w:r>
      <w:r>
        <w:rPr>
          <w:rFonts w:eastAsia="Times New Roman"/>
          <w:vanish/>
        </w:rPr>
        <w:t>edStockMember2020-01-012020-12-310001333986us-gaap:SeriesAPreferredStockMember2019-01-012019-12-310001333986us-gaap:SeriesBPreferredStockMember2021-01-012021-12-310001333986us-gaap:SeriesBPreferredStockMember2020-01-012020-12-310001333986us-gaap:SeriesBPre</w:t>
      </w:r>
      <w:r>
        <w:rPr>
          <w:rFonts w:eastAsia="Times New Roman"/>
          <w:vanish/>
        </w:rPr>
        <w:t>ferredStockMember2019-01-012019-12-310001333986us-gaap:SeriesCPreferredStockMember2021-01-012021-12-310001333986us-gaap:SeriesCPreferredStockMember2020-01-012020-12-310001333986us-gaap:SeriesCPreferredStockMember2019-01-012019-12-310001333986eqh:Accelerate</w:t>
      </w:r>
      <w:r>
        <w:rPr>
          <w:rFonts w:eastAsia="Times New Roman"/>
          <w:vanish/>
        </w:rPr>
        <w:t>dShareRepurchaseAgreementJanuary2019Member2019-01-010001333986eqh:AcceleratedShareRepurchaseAgreementJanuary2019Member2019-01-012019-01-010001333986eqh:AcceleratedShareRepurchaseAgreementJanuary2019Member2019-01-012019-03-3100013339862019-11-06000133398620</w:t>
      </w:r>
      <w:r>
        <w:rPr>
          <w:rFonts w:eastAsia="Times New Roman"/>
          <w:vanish/>
        </w:rPr>
        <w:t>20-02-260001333986eqh:VenerableMember2020-10-2300013339862021-02-170001333986eqh:VenerableMember2021-12-310001333986eqh:AcceleratedShareRepurchaseAgreementMember2021-01-012021-12-310001333986eqh:AcceleratedShareRepurchaseAgreementMember2020-01-012020-12-31</w:t>
      </w:r>
      <w:r>
        <w:rPr>
          <w:rFonts w:eastAsia="Times New Roman"/>
          <w:vanish/>
        </w:rPr>
        <w:t>0001333986eqh:AcceleratedShareRepurchaseAgreementMember2019-01-012019-12-310001333986eqh:AcceleratedShareRepurchaseAgreementJanuary2021Member2021-01-310001333986eqh:AcceleratedShareRepurchaseAgreementJanuary2021Member2021-01-012021-03-310001333986eqh:Accel</w:t>
      </w:r>
      <w:r>
        <w:rPr>
          <w:rFonts w:eastAsia="Times New Roman"/>
          <w:vanish/>
        </w:rPr>
        <w:t>eratedShareRepurchaseAgreementMarch2021Member2021-03-310001333986eqh:AcceleratedShareRepurchaseAgreementMarch2021Member2021-03-012021-03-310001333986eqh:AcceleratedShareRepurchaseAgreementMarch2021Member2021-05-012021-05-310001333986eqh:AcceleratedShareRep</w:t>
      </w:r>
      <w:r>
        <w:rPr>
          <w:rFonts w:eastAsia="Times New Roman"/>
          <w:vanish/>
        </w:rPr>
        <w:t>urchaseAgreementJune2021Member2021-06-300001333986eqh:AcceleratedShareRepurchaseAgreementJune2021Member2021-07-020001333986eqh:AcceleratedShareRepurchaseAgreementJune2021Member2021-07-012021-09-300001333986eqh:AcceleratedShareRepurchaseAgreementSeptember20</w:t>
      </w:r>
      <w:r>
        <w:rPr>
          <w:rFonts w:eastAsia="Times New Roman"/>
          <w:vanish/>
        </w:rPr>
        <w:t>21Member2021-09-300001333986eqh:AcceleratedShareRepurchaseAgreementSeptember2021Member2021-09-012021-09-300001333986eqh:AcceleratedShareRepurchaseAgreementSeptember2021Member2021-11-012021-11-300001333986eqh:AcceleratedShareRepurchaseAgreementDecember22202</w:t>
      </w:r>
      <w:r>
        <w:rPr>
          <w:rFonts w:eastAsia="Times New Roman"/>
          <w:vanish/>
        </w:rPr>
        <w:t>1Member2021-12-220001333986eqh:AcceleratedShareRepurchaseAgreementDecember222021Member2021-12-222021-12-220001333986eqh:AcceleratedShareRepurchaseAgreementDecember222021Memberus-gaap:SubsequentEventMember2022-01-012022-01-310001333986eqh:CorporateSolutions</w:t>
      </w:r>
      <w:r>
        <w:rPr>
          <w:rFonts w:eastAsia="Times New Roman"/>
          <w:vanish/>
        </w:rPr>
        <w:t>LifeReinsuranceCompanyMemberus-gaap:DisposalGroupHeldForSaleOrDisposedOfBySaleNotDiscontinuedOperationsMember2020-01-012020-12-310001333986eqh:CorporateSolutionsLifeReinsuranceCompanyMemberus-gaap:DisposalGroupHeldForSaleOrDisposedOfBySaleNotDiscontinuedOp</w:t>
      </w:r>
      <w:r>
        <w:rPr>
          <w:rFonts w:eastAsia="Times New Roman"/>
          <w:vanish/>
        </w:rPr>
        <w:t>erationsMember2021-06-012021-06-010001333986eqh:CorporateSolutionsLifeReinsuranceCompanyMemberus-gaap:DisposalGroupHeldForSaleOrDisposedOfBySaleNotDiscontinuedOperationsMember2021-01-012021-12-310001333986eqh:CorporateSolutionsLifeReinsuranceCompanyMemberu</w:t>
      </w:r>
      <w:r>
        <w:rPr>
          <w:rFonts w:eastAsia="Times New Roman"/>
          <w:vanish/>
        </w:rPr>
        <w:t>s-gaap:DisposalGroupHeldForSaleOrDisposedOfBySaleNotDiscontinuedOperationsMember2020-12-310001333986us-gaap:SubsequentEventMember2022-02-090001333986us-gaap:USTreasuryAndGovernmentMember2021-12-310001333986us-gaap:USStatesAndPoliticalSubdivisionsMember2021</w:t>
      </w:r>
      <w:r>
        <w:rPr>
          <w:rFonts w:eastAsia="Times New Roman"/>
          <w:vanish/>
        </w:rPr>
        <w:t>-12-310001333986us-gaap:ForeignGovernmentDebtMember2021-12-310001333986us-gaap:PublicUtilityBondsMember2021-12-310001333986us-gaap:AllOtherCorporateBondsMember2021-12-310001333986us-gaap:ResidentialMortgageBackedSecuritiesMember2021-12-310001333986us-gaap:</w:t>
      </w:r>
      <w:r>
        <w:rPr>
          <w:rFonts w:eastAsia="Times New Roman"/>
          <w:vanish/>
        </w:rPr>
        <w:t>AssetBackedSecuritiesMember2021-12-310001333986us-gaap:CommercialMortgageBackedSecuritiesMember2021-12-310001333986us-gaap:RedeemablePreferredStockMember2021-12-310001333986us-gaap:FixedMaturitiesMember2021-12-310001333986eqh:FixedMaturitiesAtFairValueUsin</w:t>
      </w:r>
      <w:r>
        <w:rPr>
          <w:rFonts w:eastAsia="Times New Roman"/>
          <w:vanish/>
        </w:rPr>
        <w:t>gTheFairValueOptionMember2021-12-310001333986us-gaap:MortgagesMember2021-12-310001333986us-gaap:PolicyLoansMember2021-12-310001333986eqh:OtherLimitedPartnershipInterestsAndEquityInvestmentsMember2021-12-310001333986us-gaap:TradingAssetsExcludingDebtAndEqui</w:t>
      </w:r>
      <w:r>
        <w:rPr>
          <w:rFonts w:eastAsia="Times New Roman"/>
          <w:vanish/>
        </w:rPr>
        <w:t>tySecuritiesMember2021-12-310001333986eqh:OtherInvestedAssetsMember2021-12-310001333986srt:ParentCompanyMember2021-12-310001333986srt:ParentCompanyMember2020-12-310001333986srt:ParentCompanyMember2021-01-012021-12-310001333986srt:ParentCompanyMember2020-01</w:t>
      </w:r>
      <w:r>
        <w:rPr>
          <w:rFonts w:eastAsia="Times New Roman"/>
          <w:vanish/>
        </w:rPr>
        <w:t>-012020-12-310001333986srt:ParentCompanyMember2019-01-012019-12-310001333986srt:ParentCompanyMember2019-12-310001333986srt:ParentCompanyMember2018-12-310001333986eqh:EQHFacilityMembersrt:ParentCompanyMember2019-11-040001333986eqh:EQHFacilityMembersrt:Paren</w:t>
      </w:r>
      <w:r>
        <w:rPr>
          <w:rFonts w:eastAsia="Times New Roman"/>
          <w:vanish/>
        </w:rPr>
        <w:t>tCompanyMember2021-12-310001333986eqh:EQHFacilityMembersrt:ParentCompanyMember2020-12-310001333986eqh:EquitableFinancialMembersrt:ParentCompanyMember2018-12-310001333986eqh:EquitableFinancialMembersrt:ParentCompanyMember2018-01-012018-12-310001333986eqh:Te</w:t>
      </w:r>
      <w:r>
        <w:rPr>
          <w:rFonts w:eastAsia="Times New Roman"/>
          <w:vanish/>
        </w:rPr>
        <w:t>rmLoanTenYearsMembersrt:ParentCompanyMember2021-06-012021-06-300001333986eqh:TermLoanTenYearsMembersrt:ParentCompanyMember2021-06-300001333986eqh:LoanFromRelatedParty133Membersrt:ParentCompanyMember2019-11-012019-11-300001333986us-gaap:LondonInterbankOffer</w:t>
      </w:r>
      <w:r>
        <w:rPr>
          <w:rFonts w:eastAsia="Times New Roman"/>
          <w:vanish/>
        </w:rPr>
        <w:t>edRateLIBORMembersrt:ParentCompanyMembereqh:LoanFromRelatedParty133Member2019-11-012019-11-300001333986eqh:LoanFromRelatedParty133Membersrt:ParentCompanyMember2021-01-012021-12-310001333986eqh:EQHAELInternalDebt369Due2021Membersrt:ParentCompanyMember2018-0</w:t>
      </w:r>
      <w:r>
        <w:rPr>
          <w:rFonts w:eastAsia="Times New Roman"/>
          <w:vanish/>
        </w:rPr>
        <w:t>4-012018-04-300001333986eqh:EQHAELInternalDebt369Due2021Membersrt:ParentCompanyMember2018-12-012018-12-310001333986eqh:EQHAELInternalDebt369Due2021Membersrt:ParentCompanyMember2019-12-012019-12-310001333986eqh:InsuranceMemberus-gaap:OperatingSegmentsMember</w:t>
      </w:r>
      <w:r>
        <w:rPr>
          <w:rFonts w:eastAsia="Times New Roman"/>
          <w:vanish/>
        </w:rPr>
        <w:t>2021-12-310001333986eqh:InsuranceMemberus-gaap:OperatingSegmentsMember2021-01-012021-12-310001333986eqh:InsuranceMemberus-gaap:OperatingSegmentsMember2020-12-310001333986eqh:InsuranceMemberus-gaap:OperatingSegmentsMember2020-01-012020-12-310001333986eqh:In</w:t>
      </w:r>
      <w:r>
        <w:rPr>
          <w:rFonts w:eastAsia="Times New Roman"/>
          <w:vanish/>
        </w:rPr>
        <w:t>suranceMemberus-gaap:OperatingSegmentsMember2019-12-310001333986eqh:GroupRetirementMemberus-gaap:OperatingSegmentsMember2019-12-310001333986eqh:InvestmentManagementAndResearchMemberus-gaap:OperatingSegmentsMember2019-12-310001333986eqh:ProtectionSolutionsM</w:t>
      </w:r>
      <w:r>
        <w:rPr>
          <w:rFonts w:eastAsia="Times New Roman"/>
          <w:vanish/>
        </w:rPr>
        <w:t>emberus-gaap:OperatingSegmentsMember2019-12-310001333986us-gaap:CorporateNonSegmentMember2019-12-310001333986eqh:InsuranceMemberus-gaap:OperatingSegmentsMember2019-01-012019-12-310001333986eqh:LifeInsuranceAndAnnuitiesSegmentMember2021-01-012021-12-3100013</w:t>
      </w:r>
      <w:r>
        <w:rPr>
          <w:rFonts w:eastAsia="Times New Roman"/>
          <w:vanish/>
        </w:rPr>
        <w:t>33986us-gaap:AccidentAndHealthInsuranceSegmentMember2021-01-012021-12-310001333986eqh:LifeInsuranceAndAnnuitiesSegmentMember2020-01-012020-12-310001333986us-gaap:AccidentAndHealthInsuranceSegmentMember2020-01-012020-12-310001333986eqh:LifeInsuranceAndAnnui</w:t>
      </w:r>
      <w:r>
        <w:rPr>
          <w:rFonts w:eastAsia="Times New Roman"/>
          <w:vanish/>
        </w:rPr>
        <w:t>tiesSegmentMember2019-01-012019-12-310001333986us-gaap:AccidentAndHealthInsuranceSegmentMember2019-01-012019-12-31</w:t>
      </w:r>
    </w:p>
    <w:p w:rsidR="00000000" w:rsidRDefault="005B0BC3">
      <w:pPr>
        <w:divId w:val="1119028980"/>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jc w:val="center"/>
        <w:rPr>
          <w:rFonts w:eastAsia="Times New Roman"/>
        </w:rPr>
      </w:pPr>
      <w:r>
        <w:rPr>
          <w:rFonts w:eastAsia="Times New Roman"/>
          <w:b/>
          <w:bCs/>
          <w:color w:val="000000"/>
        </w:rPr>
        <w:t>UNITED STATES</w:t>
      </w:r>
    </w:p>
    <w:p w:rsidR="00000000" w:rsidRDefault="005B0BC3">
      <w:pPr>
        <w:jc w:val="center"/>
        <w:rPr>
          <w:rFonts w:eastAsia="Times New Roman"/>
        </w:rPr>
      </w:pPr>
      <w:r>
        <w:rPr>
          <w:rFonts w:eastAsia="Times New Roman"/>
          <w:b/>
          <w:bCs/>
          <w:color w:val="000000"/>
        </w:rPr>
        <w:t>SECURITIES AND EXCHANGE COMMISSION</w:t>
      </w:r>
    </w:p>
    <w:p w:rsidR="00000000" w:rsidRDefault="005B0BC3">
      <w:pPr>
        <w:jc w:val="center"/>
        <w:rPr>
          <w:rFonts w:eastAsia="Times New Roman"/>
        </w:rPr>
      </w:pPr>
      <w:r>
        <w:rPr>
          <w:rFonts w:eastAsia="Times New Roman"/>
          <w:b/>
          <w:bCs/>
          <w:color w:val="000000"/>
        </w:rPr>
        <w:t>Washington, D.</w:t>
      </w:r>
      <w:r>
        <w:rPr>
          <w:rFonts w:eastAsia="Times New Roman"/>
          <w:b/>
          <w:bCs/>
          <w:color w:val="000000"/>
        </w:rPr>
        <w:t>C. 20549</w:t>
      </w:r>
    </w:p>
    <w:p w:rsidR="00000000" w:rsidRDefault="005B0BC3">
      <w:pPr>
        <w:jc w:val="center"/>
        <w:rPr>
          <w:rFonts w:eastAsia="Times New Roman"/>
        </w:rPr>
      </w:pPr>
      <w:r>
        <w:rPr>
          <w:rFonts w:eastAsia="Times New Roman"/>
          <w:b/>
          <w:bCs/>
          <w:color w:val="000000"/>
          <w:sz w:val="18"/>
          <w:szCs w:val="18"/>
        </w:rPr>
        <w:t>———————————————</w:t>
      </w:r>
    </w:p>
    <w:p w:rsidR="00000000" w:rsidRDefault="005B0BC3">
      <w:pPr>
        <w:jc w:val="center"/>
        <w:rPr>
          <w:rFonts w:eastAsia="Times New Roman"/>
        </w:rPr>
      </w:pPr>
      <w:r>
        <w:rPr>
          <w:rFonts w:eastAsia="Times New Roman"/>
          <w:b/>
          <w:bCs/>
          <w:color w:val="000000"/>
        </w:rPr>
        <w:t>FORM 10-K</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85"/>
        <w:gridCol w:w="36"/>
        <w:gridCol w:w="69"/>
        <w:gridCol w:w="7911"/>
        <w:gridCol w:w="36"/>
      </w:tblGrid>
      <w:tr w:rsidR="00000000">
        <w:trPr>
          <w:divId w:val="1793553220"/>
          <w:jc w:val="center"/>
        </w:trPr>
        <w:tc>
          <w:tcPr>
            <w:tcW w:w="50" w:type="pct"/>
            <w:vAlign w:val="center"/>
            <w:hideMark/>
          </w:tcPr>
          <w:p w:rsidR="00000000" w:rsidRDefault="005B0BC3">
            <w:pPr>
              <w:jc w:val="center"/>
              <w:rPr>
                <w:rFonts w:eastAsia="Times New Roman"/>
              </w:rPr>
            </w:pPr>
          </w:p>
        </w:tc>
        <w:tc>
          <w:tcPr>
            <w:tcW w:w="12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76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793553220"/>
          <w:jc w:val="center"/>
        </w:trPr>
        <w:tc>
          <w:tcPr>
            <w:tcW w:w="0" w:type="auto"/>
            <w:gridSpan w:val="3"/>
            <w:tcMar>
              <w:top w:w="30" w:type="dxa"/>
              <w:left w:w="20" w:type="dxa"/>
              <w:bottom w:w="30" w:type="dxa"/>
              <w:right w:w="20" w:type="dxa"/>
            </w:tcMar>
            <w:hideMark/>
          </w:tcPr>
          <w:p w:rsidR="00000000" w:rsidRDefault="005B0BC3">
            <w:pPr>
              <w:spacing w:after="100"/>
              <w:jc w:val="center"/>
              <w:divId w:val="1246064872"/>
              <w:rPr>
                <w:rFonts w:eastAsia="Times New Roman"/>
              </w:rPr>
            </w:pPr>
            <w:r>
              <w:rPr>
                <w:rFonts w:ascii="Wingdings" w:eastAsia="Times New Roman" w:hAnsi="Wingdings"/>
                <w:color w:val="000000"/>
                <w:sz w:val="20"/>
                <w:szCs w:val="20"/>
              </w:rPr>
              <w:t>☒</w:t>
            </w:r>
          </w:p>
        </w:tc>
        <w:tc>
          <w:tcPr>
            <w:tcW w:w="0" w:type="auto"/>
            <w:gridSpan w:val="3"/>
            <w:tcMar>
              <w:top w:w="30" w:type="dxa"/>
              <w:left w:w="20" w:type="dxa"/>
              <w:bottom w:w="30" w:type="dxa"/>
              <w:right w:w="20" w:type="dxa"/>
            </w:tcMar>
            <w:hideMark/>
          </w:tcPr>
          <w:p w:rsidR="00000000" w:rsidRDefault="005B0BC3">
            <w:pPr>
              <w:spacing w:after="100"/>
              <w:jc w:val="both"/>
              <w:rPr>
                <w:rFonts w:eastAsia="Times New Roman"/>
              </w:rPr>
            </w:pPr>
            <w:r>
              <w:rPr>
                <w:rFonts w:eastAsia="Times New Roman"/>
                <w:b/>
                <w:bCs/>
                <w:color w:val="000000"/>
                <w:sz w:val="18"/>
                <w:szCs w:val="18"/>
              </w:rPr>
              <w:t>ANNUAL REPORT PURSUANT TO SECTION 13 OR 15(d) OF THE SECURITIES EXCHANGE ACT OF 1934</w:t>
            </w:r>
          </w:p>
        </w:tc>
      </w:tr>
    </w:tbl>
    <w:p w:rsidR="00000000" w:rsidRDefault="005B0BC3">
      <w:pPr>
        <w:jc w:val="center"/>
        <w:divId w:val="361980613"/>
        <w:rPr>
          <w:rFonts w:eastAsia="Times New Roman"/>
        </w:rPr>
      </w:pPr>
      <w:r>
        <w:rPr>
          <w:rFonts w:eastAsia="Times New Roman"/>
          <w:b/>
          <w:bCs/>
          <w:color w:val="000000"/>
          <w:sz w:val="18"/>
          <w:szCs w:val="18"/>
        </w:rPr>
        <w:t>For the fiscal year ended December 31, 2021 </w:t>
      </w:r>
    </w:p>
    <w:p w:rsidR="00000000" w:rsidRDefault="005B0BC3">
      <w:pPr>
        <w:jc w:val="center"/>
        <w:rPr>
          <w:rFonts w:eastAsia="Times New Roman"/>
        </w:rPr>
      </w:pPr>
      <w:r>
        <w:rPr>
          <w:rFonts w:eastAsia="Times New Roman"/>
          <w:b/>
          <w:bCs/>
          <w:color w:val="000000"/>
          <w:sz w:val="18"/>
          <w:szCs w:val="18"/>
        </w:rPr>
        <w:t>or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185"/>
        <w:gridCol w:w="36"/>
        <w:gridCol w:w="69"/>
        <w:gridCol w:w="7911"/>
        <w:gridCol w:w="36"/>
      </w:tblGrid>
      <w:tr w:rsidR="00000000">
        <w:trPr>
          <w:divId w:val="2097969925"/>
          <w:jc w:val="center"/>
        </w:trPr>
        <w:tc>
          <w:tcPr>
            <w:tcW w:w="50" w:type="pct"/>
            <w:vAlign w:val="center"/>
            <w:hideMark/>
          </w:tcPr>
          <w:p w:rsidR="00000000" w:rsidRDefault="005B0BC3">
            <w:pPr>
              <w:jc w:val="center"/>
              <w:rPr>
                <w:rFonts w:eastAsia="Times New Roman"/>
              </w:rPr>
            </w:pPr>
          </w:p>
        </w:tc>
        <w:tc>
          <w:tcPr>
            <w:tcW w:w="12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76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2097969925"/>
          <w:jc w:val="center"/>
        </w:trPr>
        <w:tc>
          <w:tcPr>
            <w:tcW w:w="0" w:type="auto"/>
            <w:gridSpan w:val="3"/>
            <w:tcMar>
              <w:top w:w="30" w:type="dxa"/>
              <w:left w:w="20" w:type="dxa"/>
              <w:bottom w:w="30" w:type="dxa"/>
              <w:right w:w="20" w:type="dxa"/>
            </w:tcMar>
            <w:hideMark/>
          </w:tcPr>
          <w:p w:rsidR="00000000" w:rsidRDefault="005B0BC3">
            <w:pPr>
              <w:spacing w:after="100"/>
              <w:jc w:val="center"/>
              <w:divId w:val="1328021935"/>
              <w:rPr>
                <w:rFonts w:eastAsia="Times New Roman"/>
              </w:rPr>
            </w:pPr>
            <w:r>
              <w:rPr>
                <w:rFonts w:ascii="Wingdings" w:eastAsia="Times New Roman" w:hAnsi="Wingdings"/>
                <w:color w:val="000000"/>
                <w:sz w:val="18"/>
                <w:szCs w:val="18"/>
              </w:rPr>
              <w:t>☐</w:t>
            </w:r>
          </w:p>
        </w:tc>
        <w:tc>
          <w:tcPr>
            <w:tcW w:w="0" w:type="auto"/>
            <w:gridSpan w:val="3"/>
            <w:tcMar>
              <w:top w:w="30" w:type="dxa"/>
              <w:left w:w="20" w:type="dxa"/>
              <w:bottom w:w="30" w:type="dxa"/>
              <w:right w:w="20" w:type="dxa"/>
            </w:tcMar>
            <w:hideMark/>
          </w:tcPr>
          <w:p w:rsidR="00000000" w:rsidRDefault="005B0BC3">
            <w:pPr>
              <w:spacing w:after="100"/>
              <w:jc w:val="both"/>
              <w:rPr>
                <w:rFonts w:eastAsia="Times New Roman"/>
              </w:rPr>
            </w:pPr>
            <w:r>
              <w:rPr>
                <w:rFonts w:eastAsia="Times New Roman"/>
                <w:b/>
                <w:bCs/>
                <w:color w:val="000000"/>
                <w:sz w:val="18"/>
                <w:szCs w:val="18"/>
              </w:rPr>
              <w:t>TRANSITION REPORT PURSUANT TO SECTION 13 OR 15(d) OF THE SECURITIES EXCHANGE ACT OF 1934</w:t>
            </w:r>
          </w:p>
        </w:tc>
      </w:tr>
    </w:tbl>
    <w:p w:rsidR="00000000" w:rsidRDefault="005B0BC3">
      <w:pPr>
        <w:jc w:val="center"/>
        <w:divId w:val="230190321"/>
        <w:rPr>
          <w:rFonts w:eastAsia="Times New Roman"/>
        </w:rPr>
      </w:pPr>
      <w:r>
        <w:rPr>
          <w:rFonts w:eastAsia="Times New Roman"/>
          <w:b/>
          <w:bCs/>
          <w:color w:val="000000"/>
          <w:sz w:val="18"/>
          <w:szCs w:val="18"/>
        </w:rPr>
        <w:t>For the transition period from              to</w:t>
      </w:r>
    </w:p>
    <w:p w:rsidR="00000000" w:rsidRDefault="005B0BC3">
      <w:pPr>
        <w:jc w:val="center"/>
        <w:divId w:val="136800838"/>
        <w:rPr>
          <w:rFonts w:eastAsia="Times New Roman"/>
        </w:rPr>
      </w:pPr>
      <w:r>
        <w:rPr>
          <w:rFonts w:eastAsia="Times New Roman"/>
          <w:b/>
          <w:bCs/>
          <w:color w:val="000000"/>
          <w:sz w:val="20"/>
          <w:szCs w:val="20"/>
        </w:rPr>
        <w:t>Commission File No. 001-38469</w:t>
      </w:r>
    </w:p>
    <w:p w:rsidR="00000000" w:rsidRDefault="005B0BC3">
      <w:pPr>
        <w:jc w:val="center"/>
        <w:rPr>
          <w:rFonts w:eastAsia="Times New Roman"/>
        </w:rPr>
      </w:pPr>
      <w:r>
        <w:rPr>
          <w:rFonts w:eastAsia="Times New Roman"/>
          <w:b/>
          <w:bCs/>
          <w:color w:val="000000"/>
          <w:sz w:val="18"/>
          <w:szCs w:val="18"/>
        </w:rPr>
        <w:t>————————————————</w:t>
      </w:r>
    </w:p>
    <w:p w:rsidR="00000000" w:rsidRDefault="005B0BC3">
      <w:pPr>
        <w:jc w:val="center"/>
        <w:rPr>
          <w:rFonts w:eastAsia="Times New Roman"/>
        </w:rPr>
      </w:pPr>
      <w:r>
        <w:rPr>
          <w:rFonts w:eastAsia="Times New Roman"/>
          <w:noProof/>
        </w:rPr>
        <w:drawing>
          <wp:inline distT="0" distB="0" distL="0" distR="0">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5B0BC3">
      <w:pPr>
        <w:jc w:val="center"/>
        <w:rPr>
          <w:rFonts w:eastAsia="Times New Roman"/>
        </w:rPr>
      </w:pPr>
      <w:r>
        <w:rPr>
          <w:rFonts w:eastAsia="Times New Roman"/>
          <w:b/>
          <w:bCs/>
          <w:color w:val="000000"/>
          <w:sz w:val="36"/>
          <w:szCs w:val="36"/>
        </w:rPr>
        <w:t>Equitable Holdings, Inc.</w:t>
      </w:r>
      <w:r>
        <w:rPr>
          <w:rFonts w:eastAsia="Times New Roman"/>
          <w:b/>
          <w:bCs/>
          <w:color w:val="000000"/>
          <w:sz w:val="44"/>
          <w:szCs w:val="44"/>
        </w:rPr>
        <w:t xml:space="preserve"> </w:t>
      </w:r>
    </w:p>
    <w:p w:rsidR="00000000" w:rsidRDefault="005B0BC3">
      <w:pPr>
        <w:jc w:val="center"/>
        <w:divId w:val="736783200"/>
        <w:rPr>
          <w:rFonts w:eastAsia="Times New Roman"/>
        </w:rPr>
      </w:pPr>
      <w:r>
        <w:rPr>
          <w:rFonts w:eastAsia="Times New Roman"/>
          <w:color w:val="000000"/>
          <w:sz w:val="18"/>
          <w:szCs w:val="18"/>
        </w:rPr>
        <w:t>(Exact name of registrant as specified in its charter) </w:t>
      </w:r>
    </w:p>
    <w:tbl>
      <w:tblPr>
        <w:tblW w:w="4992" w:type="pct"/>
        <w:tblCellMar>
          <w:top w:w="15" w:type="dxa"/>
          <w:left w:w="15" w:type="dxa"/>
          <w:bottom w:w="15" w:type="dxa"/>
          <w:right w:w="15" w:type="dxa"/>
        </w:tblCellMar>
        <w:tblLook w:val="04A0" w:firstRow="1" w:lastRow="0" w:firstColumn="1" w:lastColumn="0" w:noHBand="0" w:noVBand="1"/>
      </w:tblPr>
      <w:tblGrid>
        <w:gridCol w:w="61"/>
        <w:gridCol w:w="4002"/>
        <w:gridCol w:w="36"/>
        <w:gridCol w:w="36"/>
        <w:gridCol w:w="192"/>
        <w:gridCol w:w="36"/>
        <w:gridCol w:w="61"/>
        <w:gridCol w:w="3833"/>
        <w:gridCol w:w="36"/>
      </w:tblGrid>
      <w:tr w:rsidR="00000000">
        <w:trPr>
          <w:divId w:val="2112504516"/>
        </w:trPr>
        <w:tc>
          <w:tcPr>
            <w:tcW w:w="50" w:type="pct"/>
            <w:vAlign w:val="center"/>
            <w:hideMark/>
          </w:tcPr>
          <w:p w:rsidR="00000000" w:rsidRDefault="005B0BC3">
            <w:pPr>
              <w:jc w:val="center"/>
              <w:rPr>
                <w:rFonts w:eastAsia="Times New Roman"/>
              </w:rPr>
            </w:pPr>
          </w:p>
        </w:tc>
        <w:tc>
          <w:tcPr>
            <w:tcW w:w="24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2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23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2112504516"/>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r>
              <w:rPr>
                <w:rFonts w:eastAsia="Times New Roman"/>
                <w:b/>
                <w:bCs/>
                <w:color w:val="000000"/>
                <w:sz w:val="18"/>
                <w:szCs w:val="18"/>
              </w:rPr>
              <w:t>Delaware</w:t>
            </w:r>
          </w:p>
        </w:tc>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18"/>
                <w:szCs w:val="18"/>
              </w:rPr>
              <w:t> </w:t>
            </w:r>
          </w:p>
        </w:tc>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r>
              <w:rPr>
                <w:rFonts w:eastAsia="Times New Roman"/>
                <w:b/>
                <w:bCs/>
                <w:color w:val="000000"/>
                <w:sz w:val="18"/>
                <w:szCs w:val="18"/>
              </w:rPr>
              <w:t>90-0226248</w:t>
            </w:r>
          </w:p>
        </w:tc>
      </w:tr>
      <w:tr w:rsidR="00000000">
        <w:trPr>
          <w:divId w:val="2112504516"/>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r>
              <w:rPr>
                <w:rFonts w:eastAsia="Times New Roman"/>
                <w:color w:val="000000"/>
                <w:sz w:val="18"/>
                <w:szCs w:val="18"/>
              </w:rPr>
              <w:t>(State or other jurisdiction of incorporation or organization)</w:t>
            </w:r>
          </w:p>
        </w:tc>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18"/>
                <w:szCs w:val="18"/>
              </w:rPr>
              <w:t> </w:t>
            </w:r>
          </w:p>
        </w:tc>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r>
              <w:rPr>
                <w:rFonts w:eastAsia="Times New Roman"/>
                <w:color w:val="000000"/>
                <w:sz w:val="18"/>
                <w:szCs w:val="18"/>
              </w:rPr>
              <w:t>(I.R.S. Employer Identification No.)</w:t>
            </w:r>
          </w:p>
        </w:tc>
      </w:tr>
    </w:tbl>
    <w:p w:rsidR="00000000" w:rsidRDefault="005B0BC3">
      <w:pPr>
        <w:divId w:val="1865941283"/>
        <w:rPr>
          <w:rFonts w:eastAsia="Times New Roman"/>
        </w:rPr>
      </w:pPr>
      <w:r>
        <w:rPr>
          <w:rFonts w:eastAsia="Times New Roman"/>
          <w:b/>
          <w:bCs/>
          <w:color w:val="000000"/>
          <w:sz w:val="20"/>
          <w:szCs w:val="20"/>
        </w:rPr>
        <w:t xml:space="preserve">1290 Avenue of the Americas, New York, New York                 10104 </w:t>
      </w:r>
    </w:p>
    <w:p w:rsidR="00000000" w:rsidRDefault="005B0BC3">
      <w:pPr>
        <w:divId w:val="318964237"/>
        <w:rPr>
          <w:rFonts w:eastAsia="Times New Roman"/>
        </w:rPr>
      </w:pPr>
      <w:r>
        <w:rPr>
          <w:rFonts w:eastAsia="Times New Roman"/>
          <w:color w:val="000000"/>
          <w:sz w:val="16"/>
          <w:szCs w:val="16"/>
        </w:rPr>
        <w:t>(Address of principal executive offices) (Zip Code)</w:t>
      </w:r>
    </w:p>
    <w:p w:rsidR="00000000" w:rsidRDefault="005B0BC3">
      <w:pPr>
        <w:divId w:val="925577845"/>
        <w:rPr>
          <w:rFonts w:eastAsia="Times New Roman"/>
        </w:rPr>
      </w:pPr>
    </w:p>
    <w:p w:rsidR="00000000" w:rsidRDefault="005B0BC3">
      <w:pPr>
        <w:jc w:val="center"/>
        <w:rPr>
          <w:rFonts w:eastAsia="Times New Roman"/>
        </w:rPr>
      </w:pPr>
      <w:r>
        <w:rPr>
          <w:rFonts w:eastAsia="Times New Roman"/>
          <w:b/>
          <w:bCs/>
          <w:color w:val="000000"/>
          <w:sz w:val="20"/>
          <w:szCs w:val="20"/>
        </w:rPr>
        <w:t>(212) 554-1234</w:t>
      </w:r>
    </w:p>
    <w:p w:rsidR="00000000" w:rsidRDefault="005B0BC3">
      <w:pPr>
        <w:jc w:val="center"/>
        <w:divId w:val="951398304"/>
        <w:rPr>
          <w:rFonts w:eastAsia="Times New Roman"/>
        </w:rPr>
      </w:pPr>
      <w:r>
        <w:rPr>
          <w:rFonts w:eastAsia="Times New Roman"/>
          <w:color w:val="000000"/>
          <w:sz w:val="16"/>
          <w:szCs w:val="16"/>
        </w:rPr>
        <w:t>(Registrant’s telephone number, including area code)</w:t>
      </w:r>
    </w:p>
    <w:p w:rsidR="00000000" w:rsidRDefault="005B0BC3">
      <w:pPr>
        <w:divId w:val="643896776"/>
        <w:rPr>
          <w:rFonts w:eastAsia="Times New Roman"/>
        </w:rPr>
      </w:pPr>
      <w:r>
        <w:rPr>
          <w:rFonts w:eastAsia="Times New Roman"/>
          <w:color w:val="000000"/>
          <w:sz w:val="16"/>
          <w:szCs w:val="16"/>
        </w:rPr>
        <w:t>Securities registered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58"/>
        <w:gridCol w:w="2932"/>
        <w:gridCol w:w="38"/>
        <w:gridCol w:w="36"/>
        <w:gridCol w:w="36"/>
        <w:gridCol w:w="36"/>
        <w:gridCol w:w="40"/>
        <w:gridCol w:w="2302"/>
        <w:gridCol w:w="36"/>
        <w:gridCol w:w="36"/>
        <w:gridCol w:w="36"/>
        <w:gridCol w:w="36"/>
        <w:gridCol w:w="42"/>
        <w:gridCol w:w="2606"/>
        <w:gridCol w:w="36"/>
      </w:tblGrid>
      <w:tr w:rsidR="00000000">
        <w:trPr>
          <w:divId w:val="496654601"/>
          <w:jc w:val="center"/>
        </w:trPr>
        <w:tc>
          <w:tcPr>
            <w:tcW w:w="50" w:type="pct"/>
            <w:vAlign w:val="center"/>
            <w:hideMark/>
          </w:tcPr>
          <w:p w:rsidR="00000000" w:rsidRDefault="005B0BC3">
            <w:pPr>
              <w:rPr>
                <w:rFonts w:eastAsia="Times New Roman"/>
              </w:rPr>
            </w:pPr>
          </w:p>
        </w:tc>
        <w:tc>
          <w:tcPr>
            <w:tcW w:w="177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139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158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496654601"/>
          <w:jc w:val="center"/>
        </w:trPr>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Title of each class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Trading symbol</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Name of each exchange on which registered</w:t>
            </w:r>
          </w:p>
        </w:tc>
      </w:tr>
      <w:tr w:rsidR="00000000">
        <w:trPr>
          <w:divId w:val="496654601"/>
          <w:jc w:val="center"/>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Common Stock</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EQH</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New York Stock Exchange</w:t>
            </w:r>
          </w:p>
        </w:tc>
      </w:tr>
      <w:tr w:rsidR="00000000">
        <w:trPr>
          <w:divId w:val="496654601"/>
          <w:jc w:val="center"/>
        </w:trPr>
        <w:tc>
          <w:tcPr>
            <w:tcW w:w="0" w:type="auto"/>
            <w:gridSpan w:val="3"/>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color w:val="000000"/>
                <w:sz w:val="16"/>
                <w:szCs w:val="16"/>
              </w:rPr>
              <w:t>Depositary Shares, each representing a 1/1,000th interest in a share of Fixed Rate Noncumulative Perpetual Preferred Stock, Series A</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color w:val="000000"/>
                <w:sz w:val="16"/>
                <w:szCs w:val="16"/>
              </w:rPr>
              <w:t>EQH PR A</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color w:val="000000"/>
                <w:sz w:val="16"/>
                <w:szCs w:val="16"/>
              </w:rPr>
              <w:t>New York Stock Exchange</w:t>
            </w:r>
          </w:p>
        </w:tc>
      </w:tr>
      <w:tr w:rsidR="00000000">
        <w:trPr>
          <w:divId w:val="496654601"/>
          <w:jc w:val="center"/>
        </w:trPr>
        <w:tc>
          <w:tcPr>
            <w:tcW w:w="0" w:type="auto"/>
            <w:gridSpan w:val="3"/>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color w:val="000000"/>
                <w:sz w:val="16"/>
                <w:szCs w:val="16"/>
              </w:rPr>
              <w:t>Depositary Shares, each representing a 1/1,000th interest in a share of Fixed Rate Noncumulative Perpetual Preferred Stock, Series C</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color w:val="000000"/>
                <w:sz w:val="16"/>
                <w:szCs w:val="16"/>
              </w:rPr>
              <w:t>EQH PR C</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color w:val="000000"/>
                <w:sz w:val="16"/>
                <w:szCs w:val="16"/>
              </w:rPr>
              <w:t>New York Stock Exchange</w:t>
            </w:r>
          </w:p>
        </w:tc>
      </w:tr>
    </w:tbl>
    <w:p w:rsidR="00000000" w:rsidRDefault="005B0BC3">
      <w:pPr>
        <w:divId w:val="1358121993"/>
        <w:rPr>
          <w:rFonts w:eastAsia="Times New Roman"/>
        </w:rPr>
      </w:pPr>
      <w:r>
        <w:rPr>
          <w:rFonts w:eastAsia="Times New Roman"/>
          <w:color w:val="000000"/>
          <w:sz w:val="16"/>
          <w:szCs w:val="16"/>
        </w:rPr>
        <w:t>Securities registered pursuant to Section 12(g) of the Act: None</w:t>
      </w:r>
    </w:p>
    <w:p w:rsidR="00000000" w:rsidRDefault="005B0BC3">
      <w:pPr>
        <w:divId w:val="294870408"/>
        <w:rPr>
          <w:rFonts w:eastAsia="Times New Roman"/>
        </w:rPr>
      </w:pPr>
      <w:r>
        <w:rPr>
          <w:rFonts w:eastAsia="Times New Roman"/>
          <w:color w:val="000000"/>
          <w:sz w:val="16"/>
          <w:szCs w:val="16"/>
        </w:rPr>
        <w:t>Indicate by check mark if the registrant is a well-known seasoned issuer, as defined in Rule 405 of the Securities Act.  Yes </w:t>
      </w:r>
      <w:r>
        <w:rPr>
          <w:rFonts w:ascii="Segoe UI Symbol" w:eastAsia="Times New Roman" w:hAnsi="Segoe UI Symbol" w:cs="Segoe UI Symbol"/>
          <w:color w:val="000000"/>
          <w:sz w:val="16"/>
          <w:szCs w:val="16"/>
        </w:rPr>
        <w:t>☒</w:t>
      </w:r>
      <w:r>
        <w:rPr>
          <w:rFonts w:ascii="Arial" w:eastAsia="Times New Roman" w:hAnsi="Arial" w:cs="Arial"/>
          <w:b/>
          <w:bCs/>
          <w:color w:val="000000"/>
          <w:sz w:val="16"/>
          <w:szCs w:val="16"/>
        </w:rPr>
        <w:t>    </w:t>
      </w:r>
      <w:r>
        <w:rPr>
          <w:rFonts w:eastAsia="Times New Roman"/>
          <w:color w:val="000000"/>
          <w:sz w:val="16"/>
          <w:szCs w:val="16"/>
        </w:rPr>
        <w:t>No </w:t>
      </w:r>
      <w:r>
        <w:rPr>
          <w:rFonts w:ascii="Segoe UI Symbol" w:eastAsia="Times New Roman" w:hAnsi="Segoe UI Symbol" w:cs="Segoe UI Symbol"/>
          <w:color w:val="000000"/>
          <w:sz w:val="16"/>
          <w:szCs w:val="16"/>
        </w:rPr>
        <w:t>☐</w:t>
      </w:r>
    </w:p>
    <w:p w:rsidR="00000000" w:rsidRDefault="005B0BC3">
      <w:pPr>
        <w:divId w:val="1445155152"/>
        <w:rPr>
          <w:rFonts w:eastAsia="Times New Roman"/>
        </w:rPr>
      </w:pPr>
      <w:r>
        <w:rPr>
          <w:rFonts w:eastAsia="Times New Roman"/>
          <w:color w:val="000000"/>
          <w:sz w:val="16"/>
          <w:szCs w:val="16"/>
        </w:rPr>
        <w:t>Indicate by check mark if the registrant is not required</w:t>
      </w:r>
      <w:r>
        <w:rPr>
          <w:rFonts w:eastAsia="Times New Roman"/>
          <w:color w:val="000000"/>
          <w:sz w:val="16"/>
          <w:szCs w:val="16"/>
        </w:rPr>
        <w:t xml:space="preserve"> to file reports pursuant to Section 13 or Section 15(d) of the Act. Yes </w:t>
      </w:r>
      <w:r>
        <w:rPr>
          <w:rFonts w:ascii="Segoe UI Symbol" w:eastAsia="Times New Roman" w:hAnsi="Segoe UI Symbol" w:cs="Segoe UI Symbol"/>
          <w:color w:val="000000"/>
          <w:sz w:val="16"/>
          <w:szCs w:val="16"/>
        </w:rPr>
        <w:t>☐</w:t>
      </w:r>
      <w:r>
        <w:rPr>
          <w:rFonts w:ascii="Arial" w:eastAsia="Times New Roman" w:hAnsi="Arial" w:cs="Arial"/>
          <w:b/>
          <w:bCs/>
          <w:color w:val="000000"/>
          <w:sz w:val="16"/>
          <w:szCs w:val="16"/>
        </w:rPr>
        <w:t>    </w:t>
      </w:r>
      <w:r>
        <w:rPr>
          <w:rFonts w:eastAsia="Times New Roman"/>
          <w:color w:val="000000"/>
          <w:sz w:val="16"/>
          <w:szCs w:val="16"/>
        </w:rPr>
        <w:t>No </w:t>
      </w:r>
      <w:r>
        <w:rPr>
          <w:rFonts w:ascii="Segoe UI Symbol" w:eastAsia="Times New Roman" w:hAnsi="Segoe UI Symbol" w:cs="Segoe UI Symbol"/>
          <w:color w:val="000000"/>
          <w:sz w:val="16"/>
          <w:szCs w:val="16"/>
        </w:rPr>
        <w:t>☒</w:t>
      </w:r>
    </w:p>
    <w:p w:rsidR="00000000" w:rsidRDefault="005B0BC3">
      <w:pPr>
        <w:divId w:val="261959197"/>
        <w:rPr>
          <w:rFonts w:eastAsia="Times New Roman"/>
        </w:rPr>
      </w:pPr>
      <w:r>
        <w:rPr>
          <w:rFonts w:eastAsia="Times New Roman"/>
          <w:color w:val="000000"/>
          <w:sz w:val="16"/>
          <w:szCs w:val="16"/>
        </w:rPr>
        <w:t>Indicate by check mark whether the registrant (1) has filed all reports required to be filed by Section 13 or 15(d) of the Securities Exchange Act of 1934 during the precedi</w:t>
      </w:r>
      <w:r>
        <w:rPr>
          <w:rFonts w:eastAsia="Times New Roman"/>
          <w:color w:val="000000"/>
          <w:sz w:val="16"/>
          <w:szCs w:val="16"/>
        </w:rPr>
        <w:t>ng 12 months (or for such shorter period that the registrant was required to file such reports), and (2) has been subject to such filing requirements for the past 90 days.    Yes </w:t>
      </w:r>
      <w:r>
        <w:rPr>
          <w:rFonts w:ascii="Segoe UI Symbol" w:eastAsia="Times New Roman" w:hAnsi="Segoe UI Symbol" w:cs="Segoe UI Symbol"/>
          <w:color w:val="000000"/>
          <w:sz w:val="16"/>
          <w:szCs w:val="16"/>
        </w:rPr>
        <w:t>☒</w:t>
      </w:r>
      <w:r>
        <w:rPr>
          <w:rFonts w:eastAsia="Times New Roman"/>
          <w:color w:val="000000"/>
          <w:sz w:val="16"/>
          <w:szCs w:val="16"/>
        </w:rPr>
        <w:t>    No </w:t>
      </w:r>
      <w:r>
        <w:rPr>
          <w:rFonts w:ascii="Segoe UI Symbol" w:eastAsia="Times New Roman" w:hAnsi="Segoe UI Symbol" w:cs="Segoe UI Symbol"/>
          <w:color w:val="000000"/>
          <w:sz w:val="16"/>
          <w:szCs w:val="16"/>
        </w:rPr>
        <w:t>☐</w:t>
      </w:r>
    </w:p>
    <w:p w:rsidR="00000000" w:rsidRDefault="005B0BC3">
      <w:pPr>
        <w:divId w:val="705061022"/>
        <w:rPr>
          <w:rFonts w:eastAsia="Times New Roman"/>
        </w:rPr>
      </w:pPr>
      <w:r>
        <w:rPr>
          <w:rFonts w:eastAsia="Times New Roman"/>
          <w:color w:val="000000"/>
          <w:sz w:val="16"/>
          <w:szCs w:val="16"/>
        </w:rPr>
        <w:t>Indicate by check mark whether the registrant has submitted electro</w:t>
      </w:r>
      <w:r>
        <w:rPr>
          <w:rFonts w:eastAsia="Times New Roman"/>
          <w:color w:val="000000"/>
          <w:sz w:val="16"/>
          <w:szCs w:val="16"/>
        </w:rPr>
        <w:t>nically every Interactive Data File required to be submitted pursuant to Rule 405 of Regulation S-T (§232.405 of this chapter) during the preceding 12 months (or for such shorter period that the registrant was required to submit such files).    Yes  </w:t>
      </w:r>
      <w:r>
        <w:rPr>
          <w:rFonts w:ascii="Segoe UI Symbol" w:eastAsia="Times New Roman" w:hAnsi="Segoe UI Symbol" w:cs="Segoe UI Symbol"/>
          <w:color w:val="000000"/>
          <w:sz w:val="16"/>
          <w:szCs w:val="16"/>
        </w:rPr>
        <w:t>☒</w:t>
      </w:r>
      <w:r>
        <w:rPr>
          <w:rFonts w:eastAsia="Times New Roman"/>
          <w:color w:val="000000"/>
          <w:sz w:val="16"/>
          <w:szCs w:val="16"/>
        </w:rPr>
        <w:t>    N</w:t>
      </w:r>
      <w:r>
        <w:rPr>
          <w:rFonts w:eastAsia="Times New Roman"/>
          <w:color w:val="000000"/>
          <w:sz w:val="16"/>
          <w:szCs w:val="16"/>
        </w:rPr>
        <w:t>o  </w:t>
      </w:r>
      <w:r>
        <w:rPr>
          <w:rFonts w:ascii="Segoe UI Symbol" w:eastAsia="Times New Roman" w:hAnsi="Segoe UI Symbol" w:cs="Segoe UI Symbol"/>
          <w:color w:val="000000"/>
          <w:sz w:val="16"/>
          <w:szCs w:val="16"/>
        </w:rPr>
        <w:t>☐</w:t>
      </w:r>
    </w:p>
    <w:p w:rsidR="00000000" w:rsidRDefault="005B0BC3">
      <w:pPr>
        <w:divId w:val="1147863256"/>
        <w:rPr>
          <w:rFonts w:eastAsia="Times New Roman"/>
        </w:rPr>
      </w:pPr>
      <w:r>
        <w:rPr>
          <w:rFonts w:eastAsia="Times New Roman"/>
          <w:color w:val="000000"/>
          <w:sz w:val="16"/>
          <w:szCs w:val="16"/>
        </w:rPr>
        <w:t>Indicate by check mark whether the registrant is a large accelerated filer, an accelerated filer, a non-accelerated filer, a smaller reporting company or an “emerging growth company”. See definition of “accelerated filer,” “large accelerated filer,” “</w:t>
      </w:r>
      <w:r>
        <w:rPr>
          <w:rFonts w:eastAsia="Times New Roman"/>
          <w:color w:val="000000"/>
          <w:sz w:val="16"/>
          <w:szCs w:val="16"/>
        </w:rPr>
        <w:t>smaller reporting company” and “emerging growth company” in Rule 12b-2 of the Exchange Act.</w:t>
      </w:r>
    </w:p>
    <w:tbl>
      <w:tblPr>
        <w:tblW w:w="4678" w:type="pct"/>
        <w:tblCellMar>
          <w:top w:w="15" w:type="dxa"/>
          <w:left w:w="15" w:type="dxa"/>
          <w:bottom w:w="15" w:type="dxa"/>
          <w:right w:w="15" w:type="dxa"/>
        </w:tblCellMar>
        <w:tblLook w:val="04A0" w:firstRow="1" w:lastRow="0" w:firstColumn="1" w:lastColumn="0" w:noHBand="0" w:noVBand="1"/>
      </w:tblPr>
      <w:tblGrid>
        <w:gridCol w:w="48"/>
        <w:gridCol w:w="1062"/>
        <w:gridCol w:w="36"/>
        <w:gridCol w:w="37"/>
        <w:gridCol w:w="113"/>
        <w:gridCol w:w="36"/>
        <w:gridCol w:w="82"/>
        <w:gridCol w:w="1021"/>
        <w:gridCol w:w="36"/>
        <w:gridCol w:w="37"/>
        <w:gridCol w:w="113"/>
        <w:gridCol w:w="36"/>
        <w:gridCol w:w="46"/>
        <w:gridCol w:w="1103"/>
        <w:gridCol w:w="36"/>
        <w:gridCol w:w="37"/>
        <w:gridCol w:w="114"/>
        <w:gridCol w:w="36"/>
        <w:gridCol w:w="90"/>
        <w:gridCol w:w="1693"/>
        <w:gridCol w:w="36"/>
        <w:gridCol w:w="37"/>
        <w:gridCol w:w="114"/>
        <w:gridCol w:w="36"/>
        <w:gridCol w:w="37"/>
        <w:gridCol w:w="1476"/>
        <w:gridCol w:w="36"/>
        <w:gridCol w:w="37"/>
        <w:gridCol w:w="114"/>
        <w:gridCol w:w="36"/>
      </w:tblGrid>
      <w:tr w:rsidR="00000000">
        <w:trPr>
          <w:divId w:val="965817718"/>
        </w:trPr>
        <w:tc>
          <w:tcPr>
            <w:tcW w:w="50" w:type="pct"/>
            <w:vAlign w:val="center"/>
            <w:hideMark/>
          </w:tcPr>
          <w:p w:rsidR="00000000" w:rsidRDefault="005B0BC3">
            <w:pPr>
              <w:rPr>
                <w:rFonts w:eastAsia="Times New Roman"/>
              </w:rPr>
            </w:pPr>
          </w:p>
        </w:tc>
        <w:tc>
          <w:tcPr>
            <w:tcW w:w="74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1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1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77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1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94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1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100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1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965817718"/>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16"/>
                <w:szCs w:val="16"/>
              </w:rPr>
              <w:lastRenderedPageBreak/>
              <w:t>Large accelerated filer</w:t>
            </w:r>
          </w:p>
        </w:tc>
        <w:tc>
          <w:tcPr>
            <w:tcW w:w="0" w:type="auto"/>
            <w:gridSpan w:val="3"/>
            <w:tcMar>
              <w:top w:w="30" w:type="dxa"/>
              <w:left w:w="20" w:type="dxa"/>
              <w:bottom w:w="30" w:type="dxa"/>
              <w:right w:w="20" w:type="dxa"/>
            </w:tcMar>
            <w:vAlign w:val="bottom"/>
            <w:hideMark/>
          </w:tcPr>
          <w:p w:rsidR="00000000" w:rsidRDefault="005B0BC3">
            <w:pPr>
              <w:spacing w:after="100"/>
              <w:divId w:val="1488673193"/>
              <w:rPr>
                <w:rFonts w:eastAsia="Times New Roman"/>
              </w:rPr>
            </w:pPr>
            <w:r>
              <w:rPr>
                <w:rFonts w:ascii="Wingdings" w:eastAsia="Times New Roman" w:hAnsi="Wingdings"/>
                <w:color w:val="000000"/>
                <w:sz w:val="16"/>
                <w:szCs w:val="16"/>
              </w:rPr>
              <w:t>☒</w:t>
            </w:r>
          </w:p>
        </w:tc>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16"/>
                <w:szCs w:val="16"/>
              </w:rPr>
              <w:t>Accelerated filer</w:t>
            </w:r>
          </w:p>
        </w:tc>
        <w:tc>
          <w:tcPr>
            <w:tcW w:w="0" w:type="auto"/>
            <w:gridSpan w:val="3"/>
            <w:tcMar>
              <w:top w:w="30" w:type="dxa"/>
              <w:left w:w="20" w:type="dxa"/>
              <w:bottom w:w="30" w:type="dxa"/>
              <w:right w:w="20" w:type="dxa"/>
            </w:tcMar>
            <w:vAlign w:val="bottom"/>
            <w:hideMark/>
          </w:tcPr>
          <w:p w:rsidR="00000000" w:rsidRDefault="005B0BC3">
            <w:pPr>
              <w:spacing w:after="100"/>
              <w:divId w:val="1104306753"/>
              <w:rPr>
                <w:rFonts w:eastAsia="Times New Roman"/>
              </w:rPr>
            </w:pPr>
            <w:r>
              <w:rPr>
                <w:rFonts w:ascii="Wingdings" w:eastAsia="Times New Roman" w:hAnsi="Wingdings"/>
                <w:color w:val="000000"/>
                <w:sz w:val="16"/>
                <w:szCs w:val="16"/>
              </w:rPr>
              <w:t>☐</w:t>
            </w:r>
          </w:p>
        </w:tc>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16"/>
                <w:szCs w:val="16"/>
              </w:rPr>
              <w:t>Non-accelerated filer</w:t>
            </w:r>
          </w:p>
        </w:tc>
        <w:tc>
          <w:tcPr>
            <w:tcW w:w="0" w:type="auto"/>
            <w:gridSpan w:val="3"/>
            <w:tcMar>
              <w:top w:w="30" w:type="dxa"/>
              <w:left w:w="20" w:type="dxa"/>
              <w:bottom w:w="30" w:type="dxa"/>
              <w:right w:w="20" w:type="dxa"/>
            </w:tcMar>
            <w:vAlign w:val="bottom"/>
            <w:hideMark/>
          </w:tcPr>
          <w:p w:rsidR="00000000" w:rsidRDefault="005B0BC3">
            <w:pPr>
              <w:spacing w:after="100"/>
              <w:divId w:val="2088572996"/>
              <w:rPr>
                <w:rFonts w:eastAsia="Times New Roman"/>
              </w:rPr>
            </w:pPr>
            <w:r>
              <w:rPr>
                <w:rFonts w:ascii="Wingdings" w:eastAsia="Times New Roman" w:hAnsi="Wingdings"/>
                <w:color w:val="000000"/>
                <w:sz w:val="16"/>
                <w:szCs w:val="16"/>
              </w:rPr>
              <w:t>☐</w:t>
            </w:r>
          </w:p>
        </w:tc>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16"/>
                <w:szCs w:val="16"/>
              </w:rPr>
              <w:t>Smaller reporting company</w:t>
            </w:r>
          </w:p>
        </w:tc>
        <w:tc>
          <w:tcPr>
            <w:tcW w:w="0" w:type="auto"/>
            <w:gridSpan w:val="3"/>
            <w:tcMar>
              <w:top w:w="30" w:type="dxa"/>
              <w:left w:w="20" w:type="dxa"/>
              <w:bottom w:w="30" w:type="dxa"/>
              <w:right w:w="20" w:type="dxa"/>
            </w:tcMar>
            <w:vAlign w:val="bottom"/>
            <w:hideMark/>
          </w:tcPr>
          <w:p w:rsidR="00000000" w:rsidRDefault="005B0BC3">
            <w:pPr>
              <w:spacing w:after="100"/>
              <w:divId w:val="23677839"/>
              <w:rPr>
                <w:rFonts w:eastAsia="Times New Roman"/>
              </w:rPr>
            </w:pPr>
            <w:r>
              <w:rPr>
                <w:rFonts w:ascii="Wingdings" w:eastAsia="Times New Roman" w:hAnsi="Wingdings"/>
                <w:color w:val="000000"/>
                <w:sz w:val="16"/>
                <w:szCs w:val="16"/>
              </w:rPr>
              <w:t>☐</w:t>
            </w:r>
          </w:p>
        </w:tc>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16"/>
                <w:szCs w:val="16"/>
              </w:rPr>
              <w:t>Emerging growth company</w:t>
            </w:r>
          </w:p>
        </w:tc>
        <w:tc>
          <w:tcPr>
            <w:tcW w:w="0" w:type="auto"/>
            <w:gridSpan w:val="3"/>
            <w:tcMar>
              <w:top w:w="30" w:type="dxa"/>
              <w:left w:w="20" w:type="dxa"/>
              <w:bottom w:w="30" w:type="dxa"/>
              <w:right w:w="20" w:type="dxa"/>
            </w:tcMar>
            <w:vAlign w:val="bottom"/>
            <w:hideMark/>
          </w:tcPr>
          <w:p w:rsidR="00000000" w:rsidRDefault="005B0BC3">
            <w:pPr>
              <w:spacing w:after="100"/>
              <w:divId w:val="1471022798"/>
              <w:rPr>
                <w:rFonts w:eastAsia="Times New Roman"/>
              </w:rPr>
            </w:pPr>
            <w:r>
              <w:rPr>
                <w:rFonts w:ascii="Wingdings" w:eastAsia="Times New Roman" w:hAnsi="Wingdings"/>
                <w:color w:val="000000"/>
                <w:sz w:val="16"/>
                <w:szCs w:val="16"/>
              </w:rPr>
              <w:t>☐</w:t>
            </w:r>
          </w:p>
        </w:tc>
      </w:tr>
      <w:tr w:rsidR="00000000">
        <w:trPr>
          <w:divId w:val="965817718"/>
        </w:trPr>
        <w:tc>
          <w:tcPr>
            <w:tcW w:w="0" w:type="auto"/>
            <w:gridSpan w:val="30"/>
            <w:tcMar>
              <w:top w:w="30" w:type="dxa"/>
              <w:left w:w="20" w:type="dxa"/>
              <w:bottom w:w="30" w:type="dxa"/>
              <w:right w:w="20" w:type="dxa"/>
            </w:tcMar>
            <w:vAlign w:val="center"/>
            <w:hideMark/>
          </w:tcPr>
          <w:p w:rsidR="00000000" w:rsidRDefault="005B0BC3">
            <w:pPr>
              <w:spacing w:after="100"/>
              <w:jc w:val="both"/>
              <w:rPr>
                <w:rFonts w:eastAsia="Times New Roman"/>
              </w:rPr>
            </w:pPr>
            <w:r>
              <w:rPr>
                <w:rFonts w:eastAsia="Times New Roman"/>
                <w:color w:val="000000"/>
                <w:sz w:val="16"/>
                <w:szCs w:val="16"/>
              </w:rPr>
              <w:t xml:space="preserve">If an emerging growth company, indicate by check mark if the registrant has elected not to use the extended transition period for complying with any new or revised financial accounting standards provided pursuant to Section 13 (a) of the Exchange Act. </w:t>
            </w:r>
            <w:r>
              <w:rPr>
                <w:rFonts w:ascii="Wingdings" w:eastAsia="Times New Roman" w:hAnsi="Wingdings"/>
                <w:color w:val="000000"/>
                <w:sz w:val="16"/>
                <w:szCs w:val="16"/>
              </w:rPr>
              <w:t>o</w:t>
            </w:r>
          </w:p>
        </w:tc>
      </w:tr>
    </w:tbl>
    <w:p w:rsidR="00000000" w:rsidRDefault="005B0BC3">
      <w:pPr>
        <w:divId w:val="168254801"/>
        <w:rPr>
          <w:rFonts w:eastAsia="Times New Roman"/>
        </w:rPr>
      </w:pPr>
      <w:r>
        <w:rPr>
          <w:rFonts w:eastAsia="Times New Roman"/>
          <w:color w:val="000000"/>
          <w:sz w:val="16"/>
          <w:szCs w:val="16"/>
        </w:rPr>
        <w:t xml:space="preserve">Indicate by check mark whether the registrant has </w:t>
      </w:r>
      <w:r>
        <w:rPr>
          <w:rFonts w:eastAsia="Times New Roman"/>
          <w:color w:val="000000"/>
          <w:sz w:val="16"/>
          <w:szCs w:val="16"/>
        </w:rPr>
        <w:t>ﬁ</w:t>
      </w:r>
      <w:r>
        <w:rPr>
          <w:rFonts w:eastAsia="Times New Roman"/>
          <w:color w:val="000000"/>
          <w:sz w:val="16"/>
          <w:szCs w:val="16"/>
        </w:rPr>
        <w:t>led a report on and attestation to its management’s assessment of the e</w:t>
      </w:r>
      <w:r>
        <w:rPr>
          <w:rFonts w:eastAsia="Times New Roman"/>
          <w:color w:val="000000"/>
          <w:sz w:val="16"/>
          <w:szCs w:val="16"/>
        </w:rPr>
        <w:t>ﬀ</w:t>
      </w:r>
      <w:r>
        <w:rPr>
          <w:rFonts w:eastAsia="Times New Roman"/>
          <w:color w:val="000000"/>
          <w:sz w:val="16"/>
          <w:szCs w:val="16"/>
        </w:rPr>
        <w:t xml:space="preserve">ectiveness of its internal control over </w:t>
      </w:r>
      <w:r>
        <w:rPr>
          <w:rFonts w:eastAsia="Times New Roman"/>
          <w:color w:val="000000"/>
          <w:sz w:val="16"/>
          <w:szCs w:val="16"/>
        </w:rPr>
        <w:t>ﬁ</w:t>
      </w:r>
      <w:r>
        <w:rPr>
          <w:rFonts w:eastAsia="Times New Roman"/>
          <w:color w:val="000000"/>
          <w:sz w:val="16"/>
          <w:szCs w:val="16"/>
        </w:rPr>
        <w:t xml:space="preserve">nancial reporting under Section 404(b) of the Sarbanes-Oxley Act (15 U.S.C. 7262(b)) by the registered public accounting </w:t>
      </w:r>
      <w:r>
        <w:rPr>
          <w:rFonts w:eastAsia="Times New Roman"/>
          <w:color w:val="000000"/>
          <w:sz w:val="16"/>
          <w:szCs w:val="16"/>
        </w:rPr>
        <w:t>ﬁ</w:t>
      </w:r>
      <w:r>
        <w:rPr>
          <w:rFonts w:eastAsia="Times New Roman"/>
          <w:color w:val="000000"/>
          <w:sz w:val="16"/>
          <w:szCs w:val="16"/>
        </w:rPr>
        <w:t>rm that prepared or issued its audit report.  </w:t>
      </w:r>
      <w:r>
        <w:rPr>
          <w:rFonts w:ascii="Segoe UI Symbol" w:eastAsia="Times New Roman" w:hAnsi="Segoe UI Symbol" w:cs="Segoe UI Symbol"/>
          <w:color w:val="000000"/>
          <w:sz w:val="16"/>
          <w:szCs w:val="16"/>
        </w:rPr>
        <w:t>☒</w:t>
      </w:r>
    </w:p>
    <w:p w:rsidR="00000000" w:rsidRDefault="005B0BC3">
      <w:pPr>
        <w:divId w:val="207423273"/>
        <w:rPr>
          <w:rFonts w:eastAsia="Times New Roman"/>
        </w:rPr>
      </w:pPr>
      <w:r>
        <w:rPr>
          <w:rFonts w:eastAsia="Times New Roman"/>
          <w:color w:val="000000"/>
          <w:sz w:val="16"/>
          <w:szCs w:val="16"/>
        </w:rPr>
        <w:t>Indicate by check mark whether the registrant is a shell company (as defined in Rule 12b-2 of the Exchange Act). Yes </w:t>
      </w:r>
      <w:r>
        <w:rPr>
          <w:rFonts w:ascii="Segoe UI Symbol" w:eastAsia="Times New Roman" w:hAnsi="Segoe UI Symbol" w:cs="Segoe UI Symbol"/>
          <w:color w:val="000000"/>
          <w:sz w:val="16"/>
          <w:szCs w:val="16"/>
        </w:rPr>
        <w:t>☐</w:t>
      </w:r>
      <w:r>
        <w:rPr>
          <w:rFonts w:ascii="Wingdings" w:eastAsia="Times New Roman" w:hAnsi="Wingdings"/>
          <w:b/>
          <w:bCs/>
          <w:color w:val="000000"/>
          <w:sz w:val="16"/>
          <w:szCs w:val="16"/>
        </w:rPr>
        <w:t xml:space="preserve"> </w:t>
      </w:r>
      <w:r>
        <w:rPr>
          <w:rFonts w:eastAsia="Times New Roman"/>
          <w:color w:val="000000"/>
          <w:sz w:val="16"/>
          <w:szCs w:val="16"/>
        </w:rPr>
        <w:t xml:space="preserve">No </w:t>
      </w:r>
      <w:r>
        <w:rPr>
          <w:rFonts w:ascii="Segoe UI Symbol" w:eastAsia="Times New Roman" w:hAnsi="Segoe UI Symbol" w:cs="Segoe UI Symbol"/>
          <w:color w:val="000000"/>
          <w:sz w:val="16"/>
          <w:szCs w:val="16"/>
        </w:rPr>
        <w:t>☒</w:t>
      </w:r>
    </w:p>
    <w:p w:rsidR="00000000" w:rsidRDefault="005B0BC3">
      <w:pPr>
        <w:jc w:val="both"/>
        <w:rPr>
          <w:rFonts w:eastAsia="Times New Roman"/>
        </w:rPr>
      </w:pPr>
      <w:r>
        <w:rPr>
          <w:rFonts w:eastAsia="Times New Roman"/>
          <w:color w:val="000000"/>
          <w:sz w:val="16"/>
          <w:szCs w:val="16"/>
        </w:rPr>
        <w:t xml:space="preserve">The aggregate market value of the voting and non-voting common equity held by non-affiliates of the registrant at June 30, 2021 was </w:t>
      </w:r>
      <w:r>
        <w:rPr>
          <w:rFonts w:eastAsia="Times New Roman"/>
          <w:color w:val="000000"/>
          <w:sz w:val="16"/>
          <w:szCs w:val="16"/>
        </w:rPr>
        <w:t>approximately $11.9 billion.</w:t>
      </w:r>
    </w:p>
    <w:p w:rsidR="00000000" w:rsidRDefault="005B0BC3">
      <w:pPr>
        <w:jc w:val="both"/>
        <w:divId w:val="976446707"/>
        <w:rPr>
          <w:rFonts w:eastAsia="Times New Roman"/>
        </w:rPr>
      </w:pPr>
      <w:r>
        <w:rPr>
          <w:rFonts w:eastAsia="Times New Roman"/>
          <w:color w:val="000000"/>
          <w:sz w:val="16"/>
          <w:szCs w:val="16"/>
        </w:rPr>
        <w:t>As of February 20, 2022, 389,557,860 shares of the registrant’s Common Stock, $0.01 par value, were outstanding.</w:t>
      </w:r>
    </w:p>
    <w:p w:rsidR="00000000" w:rsidRDefault="005B0BC3">
      <w:pPr>
        <w:jc w:val="center"/>
        <w:divId w:val="1793549721"/>
        <w:rPr>
          <w:rFonts w:eastAsia="Times New Roman"/>
        </w:rPr>
      </w:pPr>
      <w:r>
        <w:rPr>
          <w:rFonts w:eastAsia="Times New Roman"/>
          <w:b/>
          <w:bCs/>
          <w:color w:val="000000"/>
          <w:sz w:val="18"/>
          <w:szCs w:val="18"/>
        </w:rPr>
        <w:t>DOCUMENTS INCORPORATED BY REFERENCE</w:t>
      </w:r>
    </w:p>
    <w:p w:rsidR="00000000" w:rsidRDefault="005B0BC3">
      <w:pPr>
        <w:divId w:val="1331757415"/>
        <w:rPr>
          <w:rFonts w:eastAsia="Times New Roman"/>
        </w:rPr>
      </w:pPr>
      <w:r>
        <w:rPr>
          <w:rFonts w:eastAsia="Times New Roman"/>
          <w:color w:val="000000"/>
          <w:sz w:val="16"/>
          <w:szCs w:val="16"/>
        </w:rPr>
        <w:t>Portions of the registrant’s proxy statement relating to the 2022 Annual Meeti</w:t>
      </w:r>
      <w:r>
        <w:rPr>
          <w:rFonts w:eastAsia="Times New Roman"/>
          <w:color w:val="000000"/>
          <w:sz w:val="16"/>
          <w:szCs w:val="16"/>
        </w:rPr>
        <w:t>ng of Shareholders to be filed with the SEC within 120 days of the fiscal year ended December 31, 2021 (the “2022 Proxy Statement”) are incorporated by reference into Part III of this Annual Report on Form 10-K.</w:t>
      </w:r>
    </w:p>
    <w:p w:rsidR="00000000" w:rsidRDefault="005B0BC3">
      <w:pPr>
        <w:divId w:val="1640766348"/>
        <w:rPr>
          <w:rFonts w:eastAsia="Times New Roman"/>
        </w:rPr>
      </w:pPr>
    </w:p>
    <w:p w:rsidR="00000000" w:rsidRDefault="005B0BC3">
      <w:pPr>
        <w:rPr>
          <w:rFonts w:eastAsia="Times New Roman"/>
        </w:rPr>
      </w:pPr>
      <w:r>
        <w:rPr>
          <w:rFonts w:eastAsia="Times New Roman"/>
        </w:rPr>
        <w:pict>
          <v:rect id="_x0000_i1026" style="width:0;height:1.5pt" o:hralign="center" o:hrstd="t" o:hr="t" fillcolor="#a0a0a0" stroked="f"/>
        </w:pict>
      </w:r>
    </w:p>
    <w:p w:rsidR="00000000" w:rsidRDefault="005B0BC3">
      <w:pPr>
        <w:divId w:val="871764824"/>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jc w:val="center"/>
        <w:divId w:val="445471625"/>
        <w:rPr>
          <w:rFonts w:eastAsia="Times New Roman"/>
        </w:rPr>
      </w:pPr>
    </w:p>
    <w:p w:rsidR="00000000" w:rsidRDefault="005B0BC3">
      <w:pPr>
        <w:jc w:val="center"/>
        <w:divId w:val="716052877"/>
        <w:rPr>
          <w:rFonts w:eastAsia="Times New Roman"/>
        </w:rPr>
      </w:pPr>
      <w:r>
        <w:rPr>
          <w:rFonts w:eastAsia="Times New Roman"/>
          <w:b/>
          <w:bCs/>
          <w:color w:val="000000"/>
          <w:sz w:val="20"/>
          <w:szCs w:val="20"/>
        </w:rPr>
        <w:t>TABLE OF CONTENTS</w:t>
      </w:r>
    </w:p>
    <w:tbl>
      <w:tblPr>
        <w:tblW w:w="4992" w:type="pct"/>
        <w:jc w:val="center"/>
        <w:tblCellMar>
          <w:top w:w="15" w:type="dxa"/>
          <w:left w:w="15" w:type="dxa"/>
          <w:bottom w:w="15" w:type="dxa"/>
          <w:right w:w="15" w:type="dxa"/>
        </w:tblCellMar>
        <w:tblLook w:val="04A0" w:firstRow="1" w:lastRow="0" w:firstColumn="1" w:lastColumn="0" w:noHBand="0" w:noVBand="1"/>
      </w:tblPr>
      <w:tblGrid>
        <w:gridCol w:w="74"/>
        <w:gridCol w:w="870"/>
        <w:gridCol w:w="37"/>
        <w:gridCol w:w="68"/>
        <w:gridCol w:w="6612"/>
        <w:gridCol w:w="38"/>
        <w:gridCol w:w="69"/>
        <w:gridCol w:w="489"/>
        <w:gridCol w:w="36"/>
      </w:tblGrid>
      <w:tr w:rsidR="00000000">
        <w:trPr>
          <w:divId w:val="43140382"/>
          <w:jc w:val="center"/>
        </w:trPr>
        <w:tc>
          <w:tcPr>
            <w:tcW w:w="50" w:type="pct"/>
            <w:vAlign w:val="center"/>
            <w:hideMark/>
          </w:tcPr>
          <w:p w:rsidR="00000000" w:rsidRDefault="005B0BC3">
            <w:pPr>
              <w:jc w:val="center"/>
              <w:rPr>
                <w:rFonts w:eastAsia="Times New Roman"/>
              </w:rPr>
            </w:pPr>
          </w:p>
        </w:tc>
        <w:tc>
          <w:tcPr>
            <w:tcW w:w="53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99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0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43140382"/>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5B0BC3">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color w:val="000000"/>
                <w:sz w:val="20"/>
                <w:szCs w:val="20"/>
              </w:rPr>
              <w:t>Page</w:t>
            </w:r>
          </w:p>
        </w:tc>
      </w:tr>
      <w:tr w:rsidR="00000000">
        <w:trPr>
          <w:divId w:val="43140382"/>
          <w:jc w:val="center"/>
        </w:trPr>
        <w:tc>
          <w:tcPr>
            <w:tcW w:w="0" w:type="auto"/>
            <w:gridSpan w:val="3"/>
            <w:tcMar>
              <w:top w:w="30" w:type="dxa"/>
              <w:left w:w="20" w:type="dxa"/>
              <w:bottom w:w="30" w:type="dxa"/>
              <w:right w:w="20" w:type="dxa"/>
            </w:tcMar>
            <w:vAlign w:val="center"/>
            <w:hideMark/>
          </w:tcPr>
          <w:p w:rsidR="00000000" w:rsidRDefault="005B0BC3">
            <w:pPr>
              <w:spacing w:after="100"/>
              <w:divId w:val="1202403087"/>
              <w:rPr>
                <w:rFonts w:eastAsia="Times New Roman"/>
              </w:rPr>
            </w:pPr>
            <w:hyperlink w:anchor="i2ac35847634046b3a89f93d9b422e8f5_16" w:history="1">
              <w:r>
                <w:rPr>
                  <w:rStyle w:val="a3"/>
                  <w:rFonts w:eastAsia="Times New Roman"/>
                  <w:b/>
                  <w:bCs/>
                  <w:sz w:val="20"/>
                  <w:szCs w:val="20"/>
                </w:rPr>
                <w:t>Part I</w:t>
              </w:r>
            </w:hyperlink>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divId w:val="1602296933"/>
              <w:rPr>
                <w:rFonts w:eastAsia="Times New Roman"/>
              </w:rPr>
            </w:pPr>
          </w:p>
        </w:tc>
      </w:tr>
      <w:tr w:rsidR="00000000">
        <w:trPr>
          <w:divId w:val="43140382"/>
          <w:jc w:val="center"/>
        </w:trPr>
        <w:tc>
          <w:tcPr>
            <w:tcW w:w="0" w:type="auto"/>
            <w:gridSpan w:val="3"/>
            <w:tcMar>
              <w:top w:w="30" w:type="dxa"/>
              <w:left w:w="20" w:type="dxa"/>
              <w:bottom w:w="30" w:type="dxa"/>
              <w:right w:w="20" w:type="dxa"/>
            </w:tcMar>
            <w:vAlign w:val="center"/>
            <w:hideMark/>
          </w:tcPr>
          <w:p w:rsidR="00000000" w:rsidRDefault="005B0BC3">
            <w:pPr>
              <w:spacing w:after="100"/>
              <w:divId w:val="1675954897"/>
              <w:rPr>
                <w:rFonts w:eastAsia="Times New Roman"/>
              </w:rPr>
            </w:pPr>
            <w:hyperlink w:anchor="i2ac35847634046b3a89f93d9b422e8f5_430" w:history="1">
              <w:r>
                <w:rPr>
                  <w:rStyle w:val="a3"/>
                  <w:rFonts w:eastAsia="Times New Roman"/>
                  <w:sz w:val="20"/>
                  <w:szCs w:val="20"/>
                </w:rPr>
                <w:t>Item 1.</w:t>
              </w:r>
            </w:hyperlink>
          </w:p>
        </w:tc>
        <w:tc>
          <w:tcPr>
            <w:tcW w:w="0" w:type="auto"/>
            <w:gridSpan w:val="3"/>
            <w:tcMar>
              <w:top w:w="30" w:type="dxa"/>
              <w:left w:w="20" w:type="dxa"/>
              <w:bottom w:w="30" w:type="dxa"/>
              <w:right w:w="20" w:type="dxa"/>
            </w:tcMar>
            <w:vAlign w:val="center"/>
            <w:hideMark/>
          </w:tcPr>
          <w:p w:rsidR="00000000" w:rsidRDefault="005B0BC3">
            <w:pPr>
              <w:spacing w:after="100"/>
              <w:divId w:val="104808832"/>
              <w:rPr>
                <w:rFonts w:eastAsia="Times New Roman"/>
              </w:rPr>
            </w:pPr>
            <w:hyperlink w:anchor="i2ac35847634046b3a89f93d9b422e8f5_430" w:history="1">
              <w:r>
                <w:rPr>
                  <w:rStyle w:val="a3"/>
                  <w:rFonts w:eastAsia="Times New Roman"/>
                  <w:sz w:val="20"/>
                  <w:szCs w:val="20"/>
                </w:rPr>
                <w:t>Business</w:t>
              </w:r>
            </w:hyperlink>
          </w:p>
        </w:tc>
        <w:tc>
          <w:tcPr>
            <w:tcW w:w="0" w:type="auto"/>
            <w:gridSpan w:val="3"/>
            <w:tcMar>
              <w:top w:w="30" w:type="dxa"/>
              <w:left w:w="20" w:type="dxa"/>
              <w:bottom w:w="30" w:type="dxa"/>
              <w:right w:w="20" w:type="dxa"/>
            </w:tcMar>
            <w:vAlign w:val="center"/>
            <w:hideMark/>
          </w:tcPr>
          <w:p w:rsidR="00000000" w:rsidRDefault="005B0BC3">
            <w:pPr>
              <w:spacing w:after="100"/>
              <w:jc w:val="center"/>
              <w:rPr>
                <w:rFonts w:eastAsia="Times New Roman"/>
              </w:rPr>
            </w:pPr>
            <w:hyperlink w:anchor="i2ac35847634046b3a89f93d9b422e8f5_430" w:history="1">
              <w:r>
                <w:rPr>
                  <w:rStyle w:val="a3"/>
                  <w:rFonts w:eastAsia="Times New Roman"/>
                  <w:sz w:val="20"/>
                  <w:szCs w:val="20"/>
                </w:rPr>
                <w:t>4</w:t>
              </w:r>
            </w:hyperlink>
          </w:p>
        </w:tc>
      </w:tr>
      <w:tr w:rsidR="00000000">
        <w:trPr>
          <w:divId w:val="43140382"/>
          <w:jc w:val="center"/>
        </w:trPr>
        <w:tc>
          <w:tcPr>
            <w:tcW w:w="0" w:type="auto"/>
            <w:gridSpan w:val="3"/>
            <w:vAlign w:val="center"/>
            <w:hideMark/>
          </w:tcPr>
          <w:p w:rsidR="00000000" w:rsidRDefault="005B0BC3">
            <w:pPr>
              <w:spacing w:after="100"/>
              <w:jc w:val="center"/>
              <w:rPr>
                <w:rFonts w:eastAsia="Times New Roman"/>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43140382"/>
          <w:jc w:val="center"/>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43140382"/>
          <w:jc w:val="center"/>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43140382"/>
          <w:jc w:val="center"/>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43140382"/>
          <w:jc w:val="center"/>
        </w:trPr>
        <w:tc>
          <w:tcPr>
            <w:tcW w:w="0" w:type="auto"/>
            <w:gridSpan w:val="3"/>
            <w:tcMar>
              <w:top w:w="30" w:type="dxa"/>
              <w:left w:w="20" w:type="dxa"/>
              <w:bottom w:w="30" w:type="dxa"/>
              <w:right w:w="20" w:type="dxa"/>
            </w:tcMar>
            <w:vAlign w:val="center"/>
            <w:hideMark/>
          </w:tcPr>
          <w:p w:rsidR="00000000" w:rsidRDefault="005B0BC3">
            <w:pPr>
              <w:spacing w:after="100"/>
              <w:divId w:val="1557743176"/>
              <w:rPr>
                <w:rFonts w:eastAsia="Times New Roman"/>
              </w:rPr>
            </w:pPr>
            <w:hyperlink w:anchor="i2ac35847634046b3a89f93d9b422e8f5_475" w:history="1">
              <w:r>
                <w:rPr>
                  <w:rStyle w:val="a3"/>
                  <w:rFonts w:eastAsia="Times New Roman"/>
                  <w:sz w:val="20"/>
                  <w:szCs w:val="20"/>
                </w:rPr>
                <w:t>Item 1A.</w:t>
              </w:r>
            </w:hyperlink>
          </w:p>
        </w:tc>
        <w:tc>
          <w:tcPr>
            <w:tcW w:w="0" w:type="auto"/>
            <w:gridSpan w:val="3"/>
            <w:tcMar>
              <w:top w:w="30" w:type="dxa"/>
              <w:left w:w="20" w:type="dxa"/>
              <w:bottom w:w="30" w:type="dxa"/>
              <w:right w:w="20" w:type="dxa"/>
            </w:tcMar>
            <w:vAlign w:val="center"/>
            <w:hideMark/>
          </w:tcPr>
          <w:p w:rsidR="00000000" w:rsidRDefault="005B0BC3">
            <w:pPr>
              <w:spacing w:after="100"/>
              <w:divId w:val="1384938793"/>
              <w:rPr>
                <w:rFonts w:eastAsia="Times New Roman"/>
              </w:rPr>
            </w:pPr>
            <w:hyperlink w:anchor="i2ac35847634046b3a89f93d9b422e8f5_475" w:history="1">
              <w:r>
                <w:rPr>
                  <w:rStyle w:val="a3"/>
                  <w:rFonts w:eastAsia="Times New Roman"/>
                  <w:sz w:val="20"/>
                  <w:szCs w:val="20"/>
                </w:rPr>
                <w:t>Risk Factors</w:t>
              </w:r>
            </w:hyperlink>
          </w:p>
        </w:tc>
        <w:tc>
          <w:tcPr>
            <w:tcW w:w="0" w:type="auto"/>
            <w:gridSpan w:val="3"/>
            <w:tcMar>
              <w:top w:w="30" w:type="dxa"/>
              <w:left w:w="20" w:type="dxa"/>
              <w:bottom w:w="30" w:type="dxa"/>
              <w:right w:w="20" w:type="dxa"/>
            </w:tcMar>
            <w:vAlign w:val="center"/>
            <w:hideMark/>
          </w:tcPr>
          <w:p w:rsidR="00000000" w:rsidRDefault="005B0BC3">
            <w:pPr>
              <w:spacing w:after="100"/>
              <w:jc w:val="center"/>
              <w:rPr>
                <w:rFonts w:eastAsia="Times New Roman"/>
              </w:rPr>
            </w:pPr>
            <w:hyperlink w:anchor="i2ac35847634046b3a89f93d9b422e8f5_475" w:history="1">
              <w:r>
                <w:rPr>
                  <w:rStyle w:val="a3"/>
                  <w:rFonts w:eastAsia="Times New Roman"/>
                  <w:sz w:val="20"/>
                  <w:szCs w:val="20"/>
                </w:rPr>
                <w:t>54</w:t>
              </w:r>
            </w:hyperlink>
          </w:p>
        </w:tc>
      </w:tr>
      <w:tr w:rsidR="00000000">
        <w:trPr>
          <w:divId w:val="43140382"/>
          <w:jc w:val="center"/>
        </w:trPr>
        <w:tc>
          <w:tcPr>
            <w:tcW w:w="0" w:type="auto"/>
            <w:gridSpan w:val="3"/>
            <w:tcMar>
              <w:top w:w="30" w:type="dxa"/>
              <w:left w:w="20" w:type="dxa"/>
              <w:bottom w:w="30" w:type="dxa"/>
              <w:right w:w="20" w:type="dxa"/>
            </w:tcMar>
            <w:vAlign w:val="center"/>
            <w:hideMark/>
          </w:tcPr>
          <w:p w:rsidR="00000000" w:rsidRDefault="005B0BC3">
            <w:pPr>
              <w:spacing w:after="100"/>
              <w:divId w:val="921840678"/>
              <w:rPr>
                <w:rFonts w:eastAsia="Times New Roman"/>
              </w:rPr>
            </w:pPr>
            <w:hyperlink w:anchor="i2ac35847634046b3a89f93d9b422e8f5_481" w:history="1">
              <w:r>
                <w:rPr>
                  <w:rStyle w:val="a3"/>
                  <w:rFonts w:eastAsia="Times New Roman"/>
                  <w:sz w:val="20"/>
                  <w:szCs w:val="20"/>
                </w:rPr>
                <w:t>Item 1B.</w:t>
              </w:r>
            </w:hyperlink>
          </w:p>
        </w:tc>
        <w:tc>
          <w:tcPr>
            <w:tcW w:w="0" w:type="auto"/>
            <w:gridSpan w:val="3"/>
            <w:tcMar>
              <w:top w:w="30" w:type="dxa"/>
              <w:left w:w="20" w:type="dxa"/>
              <w:bottom w:w="30" w:type="dxa"/>
              <w:right w:w="20" w:type="dxa"/>
            </w:tcMar>
            <w:vAlign w:val="center"/>
            <w:hideMark/>
          </w:tcPr>
          <w:p w:rsidR="00000000" w:rsidRDefault="005B0BC3">
            <w:pPr>
              <w:spacing w:after="100"/>
              <w:divId w:val="996033427"/>
              <w:rPr>
                <w:rFonts w:eastAsia="Times New Roman"/>
              </w:rPr>
            </w:pPr>
            <w:hyperlink w:anchor="i2ac35847634046b3a89f93d9b422e8f5_481" w:history="1">
              <w:r>
                <w:rPr>
                  <w:rStyle w:val="a3"/>
                  <w:rFonts w:eastAsia="Times New Roman"/>
                  <w:sz w:val="20"/>
                  <w:szCs w:val="20"/>
                </w:rPr>
                <w:t>Unresolved Staff Comments</w:t>
              </w:r>
            </w:hyperlink>
          </w:p>
        </w:tc>
        <w:tc>
          <w:tcPr>
            <w:tcW w:w="0" w:type="auto"/>
            <w:gridSpan w:val="3"/>
            <w:tcMar>
              <w:top w:w="30" w:type="dxa"/>
              <w:left w:w="20" w:type="dxa"/>
              <w:bottom w:w="30" w:type="dxa"/>
              <w:right w:w="20" w:type="dxa"/>
            </w:tcMar>
            <w:vAlign w:val="center"/>
            <w:hideMark/>
          </w:tcPr>
          <w:p w:rsidR="00000000" w:rsidRDefault="005B0BC3">
            <w:pPr>
              <w:spacing w:after="100"/>
              <w:jc w:val="center"/>
              <w:rPr>
                <w:rFonts w:eastAsia="Times New Roman"/>
              </w:rPr>
            </w:pPr>
            <w:hyperlink w:anchor="i2ac35847634046b3a89f93d9b422e8f5_481" w:history="1">
              <w:r>
                <w:rPr>
                  <w:rStyle w:val="a3"/>
                  <w:rFonts w:eastAsia="Times New Roman"/>
                  <w:sz w:val="20"/>
                  <w:szCs w:val="20"/>
                </w:rPr>
                <w:t>69</w:t>
              </w:r>
            </w:hyperlink>
          </w:p>
        </w:tc>
      </w:tr>
      <w:tr w:rsidR="00000000">
        <w:trPr>
          <w:divId w:val="43140382"/>
          <w:jc w:val="center"/>
        </w:trPr>
        <w:tc>
          <w:tcPr>
            <w:tcW w:w="0" w:type="auto"/>
            <w:gridSpan w:val="3"/>
            <w:tcMar>
              <w:top w:w="30" w:type="dxa"/>
              <w:left w:w="20" w:type="dxa"/>
              <w:bottom w:w="30" w:type="dxa"/>
              <w:right w:w="20" w:type="dxa"/>
            </w:tcMar>
            <w:vAlign w:val="center"/>
            <w:hideMark/>
          </w:tcPr>
          <w:p w:rsidR="00000000" w:rsidRDefault="005B0BC3">
            <w:pPr>
              <w:spacing w:after="100"/>
              <w:divId w:val="217134610"/>
              <w:rPr>
                <w:rFonts w:eastAsia="Times New Roman"/>
              </w:rPr>
            </w:pPr>
            <w:hyperlink w:anchor="i2ac35847634046b3a89f93d9b422e8f5_484" w:history="1">
              <w:r>
                <w:rPr>
                  <w:rStyle w:val="a3"/>
                  <w:rFonts w:eastAsia="Times New Roman"/>
                  <w:sz w:val="20"/>
                  <w:szCs w:val="20"/>
                </w:rPr>
                <w:t>Item 2.</w:t>
              </w:r>
            </w:hyperlink>
          </w:p>
        </w:tc>
        <w:tc>
          <w:tcPr>
            <w:tcW w:w="0" w:type="auto"/>
            <w:gridSpan w:val="3"/>
            <w:tcMar>
              <w:top w:w="30" w:type="dxa"/>
              <w:left w:w="20" w:type="dxa"/>
              <w:bottom w:w="30" w:type="dxa"/>
              <w:right w:w="20" w:type="dxa"/>
            </w:tcMar>
            <w:vAlign w:val="center"/>
            <w:hideMark/>
          </w:tcPr>
          <w:p w:rsidR="00000000" w:rsidRDefault="005B0BC3">
            <w:pPr>
              <w:spacing w:after="100"/>
              <w:divId w:val="1477726745"/>
              <w:rPr>
                <w:rFonts w:eastAsia="Times New Roman"/>
              </w:rPr>
            </w:pPr>
            <w:hyperlink w:anchor="i2ac35847634046b3a89f93d9b422e8f5_484" w:history="1">
              <w:r>
                <w:rPr>
                  <w:rStyle w:val="a3"/>
                  <w:rFonts w:eastAsia="Times New Roman"/>
                  <w:sz w:val="20"/>
                  <w:szCs w:val="20"/>
                </w:rPr>
                <w:t>Properties</w:t>
              </w:r>
            </w:hyperlink>
          </w:p>
        </w:tc>
        <w:tc>
          <w:tcPr>
            <w:tcW w:w="0" w:type="auto"/>
            <w:gridSpan w:val="3"/>
            <w:tcMar>
              <w:top w:w="30" w:type="dxa"/>
              <w:left w:w="20" w:type="dxa"/>
              <w:bottom w:w="30" w:type="dxa"/>
              <w:right w:w="20" w:type="dxa"/>
            </w:tcMar>
            <w:vAlign w:val="center"/>
            <w:hideMark/>
          </w:tcPr>
          <w:p w:rsidR="00000000" w:rsidRDefault="005B0BC3">
            <w:pPr>
              <w:spacing w:after="100"/>
              <w:jc w:val="center"/>
              <w:rPr>
                <w:rFonts w:eastAsia="Times New Roman"/>
              </w:rPr>
            </w:pPr>
            <w:hyperlink w:anchor="i2ac35847634046b3a89f93d9b422e8f5_484" w:history="1">
              <w:r>
                <w:rPr>
                  <w:rStyle w:val="a3"/>
                  <w:rFonts w:eastAsia="Times New Roman"/>
                  <w:sz w:val="20"/>
                  <w:szCs w:val="20"/>
                </w:rPr>
                <w:t>69</w:t>
              </w:r>
            </w:hyperlink>
          </w:p>
        </w:tc>
      </w:tr>
      <w:tr w:rsidR="00000000">
        <w:trPr>
          <w:divId w:val="43140382"/>
          <w:jc w:val="center"/>
        </w:trPr>
        <w:tc>
          <w:tcPr>
            <w:tcW w:w="0" w:type="auto"/>
            <w:gridSpan w:val="3"/>
            <w:tcMar>
              <w:top w:w="30" w:type="dxa"/>
              <w:left w:w="20" w:type="dxa"/>
              <w:bottom w:w="30" w:type="dxa"/>
              <w:right w:w="20" w:type="dxa"/>
            </w:tcMar>
            <w:vAlign w:val="center"/>
            <w:hideMark/>
          </w:tcPr>
          <w:p w:rsidR="00000000" w:rsidRDefault="005B0BC3">
            <w:pPr>
              <w:spacing w:after="100"/>
              <w:divId w:val="744491731"/>
              <w:rPr>
                <w:rFonts w:eastAsia="Times New Roman"/>
              </w:rPr>
            </w:pPr>
            <w:hyperlink w:anchor="i2ac35847634046b3a89f93d9b422e8f5_382" w:history="1">
              <w:r>
                <w:rPr>
                  <w:rStyle w:val="a3"/>
                  <w:rFonts w:eastAsia="Times New Roman"/>
                  <w:sz w:val="20"/>
                  <w:szCs w:val="20"/>
                </w:rPr>
                <w:t>Item 3.</w:t>
              </w:r>
            </w:hyperlink>
          </w:p>
        </w:tc>
        <w:tc>
          <w:tcPr>
            <w:tcW w:w="0" w:type="auto"/>
            <w:gridSpan w:val="3"/>
            <w:tcMar>
              <w:top w:w="30" w:type="dxa"/>
              <w:left w:w="20" w:type="dxa"/>
              <w:bottom w:w="30" w:type="dxa"/>
              <w:right w:w="20" w:type="dxa"/>
            </w:tcMar>
            <w:vAlign w:val="center"/>
            <w:hideMark/>
          </w:tcPr>
          <w:p w:rsidR="00000000" w:rsidRDefault="005B0BC3">
            <w:pPr>
              <w:spacing w:after="100"/>
              <w:divId w:val="1459643105"/>
              <w:rPr>
                <w:rFonts w:eastAsia="Times New Roman"/>
              </w:rPr>
            </w:pPr>
            <w:hyperlink w:anchor="i2ac35847634046b3a89f93d9b422e8f5_487"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vAlign w:val="center"/>
            <w:hideMark/>
          </w:tcPr>
          <w:p w:rsidR="00000000" w:rsidRDefault="005B0BC3">
            <w:pPr>
              <w:spacing w:after="100"/>
              <w:jc w:val="center"/>
              <w:rPr>
                <w:rFonts w:eastAsia="Times New Roman"/>
              </w:rPr>
            </w:pPr>
            <w:hyperlink w:anchor="i2ac35847634046b3a89f93d9b422e8f5_487" w:history="1">
              <w:r>
                <w:rPr>
                  <w:rStyle w:val="a3"/>
                  <w:rFonts w:eastAsia="Times New Roman"/>
                  <w:sz w:val="20"/>
                  <w:szCs w:val="20"/>
                </w:rPr>
                <w:t>70</w:t>
              </w:r>
            </w:hyperlink>
          </w:p>
        </w:tc>
      </w:tr>
      <w:tr w:rsidR="00000000">
        <w:trPr>
          <w:divId w:val="43140382"/>
          <w:jc w:val="center"/>
        </w:trPr>
        <w:tc>
          <w:tcPr>
            <w:tcW w:w="0" w:type="auto"/>
            <w:gridSpan w:val="3"/>
            <w:tcMar>
              <w:top w:w="30" w:type="dxa"/>
              <w:left w:w="20" w:type="dxa"/>
              <w:bottom w:w="30" w:type="dxa"/>
              <w:right w:w="20" w:type="dxa"/>
            </w:tcMar>
            <w:vAlign w:val="center"/>
            <w:hideMark/>
          </w:tcPr>
          <w:p w:rsidR="00000000" w:rsidRDefault="005B0BC3">
            <w:pPr>
              <w:spacing w:after="100"/>
              <w:divId w:val="2030639818"/>
              <w:rPr>
                <w:rFonts w:eastAsia="Times New Roman"/>
              </w:rPr>
            </w:pPr>
            <w:hyperlink w:anchor="i2ac35847634046b3a89f93d9b422e8f5_394" w:history="1">
              <w:r>
                <w:rPr>
                  <w:rStyle w:val="a3"/>
                  <w:rFonts w:eastAsia="Times New Roman"/>
                  <w:sz w:val="20"/>
                  <w:szCs w:val="20"/>
                </w:rPr>
                <w:t>Item 4.</w:t>
              </w:r>
            </w:hyperlink>
          </w:p>
        </w:tc>
        <w:tc>
          <w:tcPr>
            <w:tcW w:w="0" w:type="auto"/>
            <w:gridSpan w:val="3"/>
            <w:tcMar>
              <w:top w:w="30" w:type="dxa"/>
              <w:left w:w="20" w:type="dxa"/>
              <w:bottom w:w="30" w:type="dxa"/>
              <w:right w:w="20" w:type="dxa"/>
            </w:tcMar>
            <w:vAlign w:val="center"/>
            <w:hideMark/>
          </w:tcPr>
          <w:p w:rsidR="00000000" w:rsidRDefault="005B0BC3">
            <w:pPr>
              <w:spacing w:after="100"/>
              <w:divId w:val="1232934251"/>
              <w:rPr>
                <w:rFonts w:eastAsia="Times New Roman"/>
              </w:rPr>
            </w:pPr>
            <w:hyperlink w:anchor="i2ac35847634046b3a89f93d9b422e8f5_394" w:history="1">
              <w:r>
                <w:rPr>
                  <w:rStyle w:val="a3"/>
                  <w:rFonts w:eastAsia="Times New Roman"/>
                  <w:sz w:val="20"/>
                  <w:szCs w:val="20"/>
                </w:rPr>
                <w:t>Mine Safety Disclosures</w:t>
              </w:r>
            </w:hyperlink>
          </w:p>
        </w:tc>
        <w:tc>
          <w:tcPr>
            <w:tcW w:w="0" w:type="auto"/>
            <w:gridSpan w:val="3"/>
            <w:tcMar>
              <w:top w:w="30" w:type="dxa"/>
              <w:left w:w="20" w:type="dxa"/>
              <w:bottom w:w="30" w:type="dxa"/>
              <w:right w:w="20" w:type="dxa"/>
            </w:tcMar>
            <w:vAlign w:val="center"/>
            <w:hideMark/>
          </w:tcPr>
          <w:p w:rsidR="00000000" w:rsidRDefault="005B0BC3">
            <w:pPr>
              <w:spacing w:after="100"/>
              <w:jc w:val="center"/>
              <w:rPr>
                <w:rFonts w:eastAsia="Times New Roman"/>
              </w:rPr>
            </w:pPr>
            <w:hyperlink w:anchor="i2ac35847634046b3a89f93d9b422e8f5_490" w:history="1">
              <w:r>
                <w:rPr>
                  <w:rStyle w:val="a3"/>
                  <w:rFonts w:eastAsia="Times New Roman"/>
                  <w:sz w:val="20"/>
                  <w:szCs w:val="20"/>
                </w:rPr>
                <w:t>70</w:t>
              </w:r>
            </w:hyperlink>
          </w:p>
        </w:tc>
      </w:tr>
      <w:tr w:rsidR="00000000">
        <w:trPr>
          <w:divId w:val="43140382"/>
          <w:trHeight w:val="280"/>
          <w:jc w:val="center"/>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43140382"/>
          <w:jc w:val="center"/>
        </w:trPr>
        <w:tc>
          <w:tcPr>
            <w:tcW w:w="0" w:type="auto"/>
            <w:gridSpan w:val="3"/>
            <w:tcMar>
              <w:top w:w="30" w:type="dxa"/>
              <w:left w:w="20" w:type="dxa"/>
              <w:bottom w:w="30" w:type="dxa"/>
              <w:right w:w="20" w:type="dxa"/>
            </w:tcMar>
            <w:vAlign w:val="center"/>
            <w:hideMark/>
          </w:tcPr>
          <w:p w:rsidR="00000000" w:rsidRDefault="005B0BC3">
            <w:pPr>
              <w:spacing w:after="100"/>
              <w:divId w:val="856843723"/>
              <w:rPr>
                <w:rFonts w:eastAsia="Times New Roman"/>
              </w:rPr>
            </w:pPr>
            <w:hyperlink w:anchor="i2ac35847634046b3a89f93d9b422e8f5_379" w:history="1">
              <w:r>
                <w:rPr>
                  <w:rStyle w:val="a3"/>
                  <w:rFonts w:eastAsia="Times New Roman"/>
                  <w:b/>
                  <w:bCs/>
                  <w:sz w:val="20"/>
                  <w:szCs w:val="20"/>
                </w:rPr>
                <w:t>Part II</w:t>
              </w:r>
            </w:hyperlink>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43140382"/>
          <w:jc w:val="center"/>
        </w:trPr>
        <w:tc>
          <w:tcPr>
            <w:tcW w:w="0" w:type="auto"/>
            <w:gridSpan w:val="3"/>
            <w:tcMar>
              <w:top w:w="30" w:type="dxa"/>
              <w:left w:w="20" w:type="dxa"/>
              <w:bottom w:w="30" w:type="dxa"/>
              <w:right w:w="20" w:type="dxa"/>
            </w:tcMar>
            <w:vAlign w:val="center"/>
            <w:hideMark/>
          </w:tcPr>
          <w:p w:rsidR="00000000" w:rsidRDefault="005B0BC3">
            <w:pPr>
              <w:spacing w:after="100"/>
              <w:divId w:val="1185439185"/>
              <w:rPr>
                <w:rFonts w:eastAsia="Times New Roman"/>
              </w:rPr>
            </w:pPr>
            <w:hyperlink w:anchor="i2ac35847634046b3a89f93d9b422e8f5_496" w:history="1">
              <w:r>
                <w:rPr>
                  <w:rStyle w:val="a3"/>
                  <w:rFonts w:eastAsia="Times New Roman"/>
                  <w:sz w:val="20"/>
                  <w:szCs w:val="20"/>
                </w:rPr>
                <w:t>Item 5.</w:t>
              </w:r>
            </w:hyperlink>
          </w:p>
        </w:tc>
        <w:tc>
          <w:tcPr>
            <w:tcW w:w="0" w:type="auto"/>
            <w:gridSpan w:val="3"/>
            <w:tcMar>
              <w:top w:w="30" w:type="dxa"/>
              <w:left w:w="20" w:type="dxa"/>
              <w:bottom w:w="30" w:type="dxa"/>
              <w:right w:w="20" w:type="dxa"/>
            </w:tcMar>
            <w:vAlign w:val="center"/>
            <w:hideMark/>
          </w:tcPr>
          <w:p w:rsidR="00000000" w:rsidRDefault="005B0BC3">
            <w:pPr>
              <w:spacing w:after="100"/>
              <w:divId w:val="1316758836"/>
              <w:rPr>
                <w:rFonts w:eastAsia="Times New Roman"/>
              </w:rPr>
            </w:pPr>
            <w:hyperlink w:anchor="i2ac35847634046b3a89f93d9b422e8f5_496" w:history="1">
              <w:r>
                <w:rPr>
                  <w:rStyle w:val="a3"/>
                  <w:rFonts w:eastAsia="Times New Roman"/>
                  <w:sz w:val="20"/>
                  <w:szCs w:val="20"/>
                </w:rPr>
                <w:t>Market for Registrant’s Common Equity, Related Stockholder Matters and Issuer Purchases of Equity Securities</w:t>
              </w:r>
            </w:hyperlink>
          </w:p>
        </w:tc>
        <w:tc>
          <w:tcPr>
            <w:tcW w:w="0" w:type="auto"/>
            <w:gridSpan w:val="3"/>
            <w:tcMar>
              <w:top w:w="30" w:type="dxa"/>
              <w:left w:w="20" w:type="dxa"/>
              <w:bottom w:w="30" w:type="dxa"/>
              <w:right w:w="20" w:type="dxa"/>
            </w:tcMar>
            <w:vAlign w:val="center"/>
            <w:hideMark/>
          </w:tcPr>
          <w:p w:rsidR="00000000" w:rsidRDefault="005B0BC3">
            <w:pPr>
              <w:spacing w:after="100"/>
              <w:jc w:val="center"/>
              <w:rPr>
                <w:rFonts w:eastAsia="Times New Roman"/>
              </w:rPr>
            </w:pPr>
            <w:hyperlink w:anchor="i2ac35847634046b3a89f93d9b422e8f5_496" w:history="1">
              <w:r>
                <w:rPr>
                  <w:rStyle w:val="a3"/>
                  <w:rFonts w:eastAsia="Times New Roman"/>
                  <w:sz w:val="20"/>
                  <w:szCs w:val="20"/>
                </w:rPr>
                <w:t>70</w:t>
              </w:r>
            </w:hyperlink>
          </w:p>
        </w:tc>
      </w:tr>
      <w:tr w:rsidR="00000000">
        <w:trPr>
          <w:divId w:val="43140382"/>
          <w:jc w:val="center"/>
        </w:trPr>
        <w:tc>
          <w:tcPr>
            <w:tcW w:w="0" w:type="auto"/>
            <w:gridSpan w:val="3"/>
            <w:tcMar>
              <w:top w:w="30" w:type="dxa"/>
              <w:left w:w="20" w:type="dxa"/>
              <w:bottom w:w="30" w:type="dxa"/>
              <w:right w:w="20" w:type="dxa"/>
            </w:tcMar>
            <w:vAlign w:val="center"/>
            <w:hideMark/>
          </w:tcPr>
          <w:p w:rsidR="00000000" w:rsidRDefault="005B0BC3">
            <w:pPr>
              <w:spacing w:after="100"/>
              <w:divId w:val="1181121921"/>
              <w:rPr>
                <w:rFonts w:eastAsia="Times New Roman"/>
              </w:rPr>
            </w:pPr>
            <w:hyperlink w:anchor="i2ac35847634046b3a89f93d9b422e8f5_502" w:history="1">
              <w:r>
                <w:rPr>
                  <w:rStyle w:val="a3"/>
                  <w:rFonts w:eastAsia="Times New Roman"/>
                  <w:sz w:val="20"/>
                  <w:szCs w:val="20"/>
                </w:rPr>
                <w:t>Item 6.</w:t>
              </w:r>
            </w:hyperlink>
          </w:p>
        </w:tc>
        <w:tc>
          <w:tcPr>
            <w:tcW w:w="0" w:type="auto"/>
            <w:gridSpan w:val="3"/>
            <w:tcMar>
              <w:top w:w="30" w:type="dxa"/>
              <w:left w:w="20" w:type="dxa"/>
              <w:bottom w:w="30" w:type="dxa"/>
              <w:right w:w="20" w:type="dxa"/>
            </w:tcMar>
            <w:vAlign w:val="center"/>
            <w:hideMark/>
          </w:tcPr>
          <w:p w:rsidR="00000000" w:rsidRDefault="005B0BC3">
            <w:pPr>
              <w:spacing w:after="100"/>
              <w:divId w:val="1652902307"/>
              <w:rPr>
                <w:rFonts w:eastAsia="Times New Roman"/>
              </w:rPr>
            </w:pPr>
            <w:hyperlink w:anchor="i2ac35847634046b3a89f93d9b422e8f5_499" w:history="1">
              <w:r>
                <w:rPr>
                  <w:rStyle w:val="a3"/>
                  <w:rFonts w:eastAsia="Times New Roman"/>
                  <w:sz w:val="20"/>
                  <w:szCs w:val="20"/>
                </w:rPr>
                <w:t>Reserved</w:t>
              </w:r>
            </w:hyperlink>
          </w:p>
        </w:tc>
        <w:tc>
          <w:tcPr>
            <w:tcW w:w="0" w:type="auto"/>
            <w:gridSpan w:val="3"/>
            <w:tcMar>
              <w:top w:w="30" w:type="dxa"/>
              <w:left w:w="20" w:type="dxa"/>
              <w:bottom w:w="30" w:type="dxa"/>
              <w:right w:w="20" w:type="dxa"/>
            </w:tcMar>
            <w:vAlign w:val="center"/>
            <w:hideMark/>
          </w:tcPr>
          <w:p w:rsidR="00000000" w:rsidRDefault="005B0BC3">
            <w:pPr>
              <w:spacing w:after="100"/>
              <w:jc w:val="center"/>
              <w:rPr>
                <w:rFonts w:eastAsia="Times New Roman"/>
              </w:rPr>
            </w:pPr>
            <w:hyperlink w:anchor="i2ac35847634046b3a89f93d9b422e8f5_499" w:history="1">
              <w:r>
                <w:rPr>
                  <w:rStyle w:val="a3"/>
                  <w:rFonts w:eastAsia="Times New Roman"/>
                  <w:sz w:val="20"/>
                  <w:szCs w:val="20"/>
                </w:rPr>
                <w:t>72</w:t>
              </w:r>
            </w:hyperlink>
          </w:p>
        </w:tc>
      </w:tr>
      <w:tr w:rsidR="00000000">
        <w:trPr>
          <w:divId w:val="43140382"/>
          <w:jc w:val="center"/>
        </w:trPr>
        <w:tc>
          <w:tcPr>
            <w:tcW w:w="0" w:type="auto"/>
            <w:gridSpan w:val="3"/>
            <w:tcMar>
              <w:top w:w="30" w:type="dxa"/>
              <w:left w:w="20" w:type="dxa"/>
              <w:bottom w:w="30" w:type="dxa"/>
              <w:right w:w="20" w:type="dxa"/>
            </w:tcMar>
            <w:vAlign w:val="center"/>
            <w:hideMark/>
          </w:tcPr>
          <w:p w:rsidR="00000000" w:rsidRDefault="005B0BC3">
            <w:pPr>
              <w:spacing w:after="100"/>
              <w:divId w:val="492140175"/>
              <w:rPr>
                <w:rFonts w:eastAsia="Times New Roman"/>
              </w:rPr>
            </w:pPr>
            <w:hyperlink w:anchor="i2ac35847634046b3a89f93d9b422e8f5_505" w:history="1">
              <w:r>
                <w:rPr>
                  <w:rStyle w:val="a3"/>
                  <w:rFonts w:eastAsia="Times New Roman"/>
                  <w:sz w:val="20"/>
                  <w:szCs w:val="20"/>
                </w:rPr>
                <w:t>Item 7.</w:t>
              </w:r>
            </w:hyperlink>
          </w:p>
        </w:tc>
        <w:tc>
          <w:tcPr>
            <w:tcW w:w="0" w:type="auto"/>
            <w:gridSpan w:val="3"/>
            <w:tcMar>
              <w:top w:w="30" w:type="dxa"/>
              <w:left w:w="20" w:type="dxa"/>
              <w:bottom w:w="30" w:type="dxa"/>
              <w:right w:w="20" w:type="dxa"/>
            </w:tcMar>
            <w:vAlign w:val="center"/>
            <w:hideMark/>
          </w:tcPr>
          <w:p w:rsidR="00000000" w:rsidRDefault="005B0BC3">
            <w:pPr>
              <w:spacing w:after="100"/>
              <w:divId w:val="2047178382"/>
              <w:rPr>
                <w:rFonts w:eastAsia="Times New Roman"/>
              </w:rPr>
            </w:pPr>
            <w:hyperlink w:anchor="i2ac35847634046b3a89f93d9b422e8f5_505" w:history="1">
              <w:r>
                <w:rPr>
                  <w:rStyle w:val="a3"/>
                  <w:rFonts w:eastAsia="Times New Roman"/>
                  <w:sz w:val="20"/>
                  <w:szCs w:val="20"/>
                </w:rPr>
                <w:t>Management’s Discussion and Analysis of Financial Condition and Results of Operations</w:t>
              </w:r>
            </w:hyperlink>
          </w:p>
        </w:tc>
        <w:tc>
          <w:tcPr>
            <w:tcW w:w="0" w:type="auto"/>
            <w:gridSpan w:val="3"/>
            <w:tcMar>
              <w:top w:w="30" w:type="dxa"/>
              <w:left w:w="20" w:type="dxa"/>
              <w:bottom w:w="30" w:type="dxa"/>
              <w:right w:w="20" w:type="dxa"/>
            </w:tcMar>
            <w:vAlign w:val="center"/>
            <w:hideMark/>
          </w:tcPr>
          <w:p w:rsidR="00000000" w:rsidRDefault="005B0BC3">
            <w:pPr>
              <w:spacing w:after="100"/>
              <w:jc w:val="center"/>
              <w:rPr>
                <w:rFonts w:eastAsia="Times New Roman"/>
              </w:rPr>
            </w:pPr>
            <w:hyperlink w:anchor="i2ac35847634046b3a89f93d9b422e8f5_505" w:history="1">
              <w:r>
                <w:rPr>
                  <w:rStyle w:val="a3"/>
                  <w:rFonts w:eastAsia="Times New Roman"/>
                  <w:sz w:val="20"/>
                  <w:szCs w:val="20"/>
                </w:rPr>
                <w:t>72</w:t>
              </w:r>
            </w:hyperlink>
          </w:p>
        </w:tc>
      </w:tr>
      <w:tr w:rsidR="00000000">
        <w:trPr>
          <w:divId w:val="43140382"/>
          <w:jc w:val="center"/>
        </w:trPr>
        <w:tc>
          <w:tcPr>
            <w:tcW w:w="0" w:type="auto"/>
            <w:gridSpan w:val="3"/>
            <w:tcMar>
              <w:top w:w="30" w:type="dxa"/>
              <w:left w:w="20" w:type="dxa"/>
              <w:bottom w:w="30" w:type="dxa"/>
              <w:right w:w="20" w:type="dxa"/>
            </w:tcMar>
            <w:vAlign w:val="center"/>
            <w:hideMark/>
          </w:tcPr>
          <w:p w:rsidR="00000000" w:rsidRDefault="005B0BC3">
            <w:pPr>
              <w:spacing w:after="100"/>
              <w:divId w:val="1117869584"/>
              <w:rPr>
                <w:rFonts w:eastAsia="Times New Roman"/>
              </w:rPr>
            </w:pPr>
            <w:hyperlink w:anchor="i2ac35847634046b3a89f93d9b422e8f5_613" w:history="1">
              <w:r>
                <w:rPr>
                  <w:rStyle w:val="a3"/>
                  <w:rFonts w:eastAsia="Times New Roman"/>
                  <w:sz w:val="20"/>
                  <w:szCs w:val="20"/>
                </w:rPr>
                <w:t>Item 7A.</w:t>
              </w:r>
            </w:hyperlink>
          </w:p>
        </w:tc>
        <w:tc>
          <w:tcPr>
            <w:tcW w:w="0" w:type="auto"/>
            <w:gridSpan w:val="3"/>
            <w:tcMar>
              <w:top w:w="30" w:type="dxa"/>
              <w:left w:w="20" w:type="dxa"/>
              <w:bottom w:w="30" w:type="dxa"/>
              <w:right w:w="20" w:type="dxa"/>
            </w:tcMar>
            <w:vAlign w:val="center"/>
            <w:hideMark/>
          </w:tcPr>
          <w:p w:rsidR="00000000" w:rsidRDefault="005B0BC3">
            <w:pPr>
              <w:spacing w:after="100"/>
              <w:divId w:val="985353311"/>
              <w:rPr>
                <w:rFonts w:eastAsia="Times New Roman"/>
              </w:rPr>
            </w:pPr>
            <w:hyperlink w:anchor="i2ac35847634046b3a89f93d9b422e8f5_613" w:history="1">
              <w:r>
                <w:rPr>
                  <w:rStyle w:val="a3"/>
                  <w:rFonts w:eastAsia="Times New Roman"/>
                  <w:sz w:val="20"/>
                  <w:szCs w:val="20"/>
                </w:rPr>
                <w:t>Quantitative and Qualitative Disclosures About Market Risk</w:t>
              </w:r>
            </w:hyperlink>
          </w:p>
        </w:tc>
        <w:tc>
          <w:tcPr>
            <w:tcW w:w="0" w:type="auto"/>
            <w:gridSpan w:val="3"/>
            <w:tcMar>
              <w:top w:w="30" w:type="dxa"/>
              <w:left w:w="20" w:type="dxa"/>
              <w:bottom w:w="30" w:type="dxa"/>
              <w:right w:w="20" w:type="dxa"/>
            </w:tcMar>
            <w:vAlign w:val="center"/>
            <w:hideMark/>
          </w:tcPr>
          <w:p w:rsidR="00000000" w:rsidRDefault="005B0BC3">
            <w:pPr>
              <w:spacing w:after="100"/>
              <w:jc w:val="center"/>
              <w:rPr>
                <w:rFonts w:eastAsia="Times New Roman"/>
              </w:rPr>
            </w:pPr>
            <w:hyperlink w:anchor="i2ac35847634046b3a89f93d9b422e8f5_613" w:history="1">
              <w:r>
                <w:rPr>
                  <w:rStyle w:val="a3"/>
                  <w:rFonts w:eastAsia="Times New Roman"/>
                  <w:sz w:val="20"/>
                  <w:szCs w:val="20"/>
                </w:rPr>
                <w:t>122</w:t>
              </w:r>
            </w:hyperlink>
          </w:p>
        </w:tc>
      </w:tr>
      <w:tr w:rsidR="00000000">
        <w:trPr>
          <w:divId w:val="43140382"/>
          <w:jc w:val="center"/>
        </w:trPr>
        <w:tc>
          <w:tcPr>
            <w:tcW w:w="0" w:type="auto"/>
            <w:gridSpan w:val="3"/>
            <w:tcMar>
              <w:top w:w="30" w:type="dxa"/>
              <w:left w:w="20" w:type="dxa"/>
              <w:bottom w:w="30" w:type="dxa"/>
              <w:right w:w="20" w:type="dxa"/>
            </w:tcMar>
            <w:vAlign w:val="center"/>
            <w:hideMark/>
          </w:tcPr>
          <w:p w:rsidR="00000000" w:rsidRDefault="005B0BC3">
            <w:pPr>
              <w:spacing w:after="100"/>
              <w:divId w:val="1744909598"/>
              <w:rPr>
                <w:rFonts w:eastAsia="Times New Roman"/>
              </w:rPr>
            </w:pPr>
            <w:hyperlink w:anchor="i2ac35847634046b3a89f93d9b422e8f5_616" w:history="1">
              <w:r>
                <w:rPr>
                  <w:rStyle w:val="a3"/>
                  <w:rFonts w:eastAsia="Times New Roman"/>
                  <w:sz w:val="20"/>
                  <w:szCs w:val="20"/>
                </w:rPr>
                <w:t>Item 8.</w:t>
              </w:r>
            </w:hyperlink>
          </w:p>
        </w:tc>
        <w:tc>
          <w:tcPr>
            <w:tcW w:w="0" w:type="auto"/>
            <w:gridSpan w:val="3"/>
            <w:tcMar>
              <w:top w:w="30" w:type="dxa"/>
              <w:left w:w="20" w:type="dxa"/>
              <w:bottom w:w="30" w:type="dxa"/>
              <w:right w:w="20" w:type="dxa"/>
            </w:tcMar>
            <w:vAlign w:val="center"/>
            <w:hideMark/>
          </w:tcPr>
          <w:p w:rsidR="00000000" w:rsidRDefault="005B0BC3">
            <w:pPr>
              <w:spacing w:after="100"/>
              <w:divId w:val="1359627761"/>
              <w:rPr>
                <w:rFonts w:eastAsia="Times New Roman"/>
              </w:rPr>
            </w:pPr>
            <w:hyperlink w:anchor="i2ac35847634046b3a89f93d9b422e8f5_616" w:history="1">
              <w:r>
                <w:rPr>
                  <w:rStyle w:val="a3"/>
                  <w:rFonts w:eastAsia="Times New Roman"/>
                  <w:sz w:val="20"/>
                  <w:szCs w:val="20"/>
                </w:rPr>
                <w:t>Financial Statements and Supplementary Data</w:t>
              </w:r>
            </w:hyperlink>
          </w:p>
        </w:tc>
        <w:tc>
          <w:tcPr>
            <w:tcW w:w="0" w:type="auto"/>
            <w:gridSpan w:val="3"/>
            <w:tcMar>
              <w:top w:w="30" w:type="dxa"/>
              <w:left w:w="20" w:type="dxa"/>
              <w:bottom w:w="30" w:type="dxa"/>
              <w:right w:w="20" w:type="dxa"/>
            </w:tcMar>
            <w:vAlign w:val="center"/>
            <w:hideMark/>
          </w:tcPr>
          <w:p w:rsidR="00000000" w:rsidRDefault="005B0BC3">
            <w:pPr>
              <w:spacing w:after="100"/>
              <w:jc w:val="center"/>
              <w:rPr>
                <w:rFonts w:eastAsia="Times New Roman"/>
              </w:rPr>
            </w:pPr>
            <w:hyperlink w:anchor="i2ac35847634046b3a89f93d9b422e8f5_616" w:history="1">
              <w:r>
                <w:rPr>
                  <w:rStyle w:val="a3"/>
                  <w:rFonts w:eastAsia="Times New Roman"/>
                  <w:sz w:val="20"/>
                  <w:szCs w:val="20"/>
                </w:rPr>
                <w:t>126</w:t>
              </w:r>
            </w:hyperlink>
          </w:p>
        </w:tc>
      </w:tr>
      <w:tr w:rsidR="00000000">
        <w:trPr>
          <w:divId w:val="43140382"/>
          <w:jc w:val="center"/>
        </w:trPr>
        <w:tc>
          <w:tcPr>
            <w:tcW w:w="0" w:type="auto"/>
            <w:gridSpan w:val="3"/>
            <w:tcMar>
              <w:top w:w="30" w:type="dxa"/>
              <w:left w:w="20" w:type="dxa"/>
              <w:bottom w:w="30" w:type="dxa"/>
              <w:right w:w="20" w:type="dxa"/>
            </w:tcMar>
            <w:vAlign w:val="center"/>
            <w:hideMark/>
          </w:tcPr>
          <w:p w:rsidR="00000000" w:rsidRDefault="005B0BC3">
            <w:pPr>
              <w:spacing w:after="100"/>
              <w:divId w:val="1419476472"/>
              <w:rPr>
                <w:rFonts w:eastAsia="Times New Roman"/>
              </w:rPr>
            </w:pPr>
            <w:hyperlink w:anchor="i2ac35847634046b3a89f93d9b422e8f5_895" w:history="1">
              <w:r>
                <w:rPr>
                  <w:rStyle w:val="a3"/>
                  <w:rFonts w:eastAsia="Times New Roman"/>
                  <w:sz w:val="20"/>
                  <w:szCs w:val="20"/>
                </w:rPr>
                <w:t>Item 9.</w:t>
              </w:r>
            </w:hyperlink>
          </w:p>
        </w:tc>
        <w:tc>
          <w:tcPr>
            <w:tcW w:w="0" w:type="auto"/>
            <w:gridSpan w:val="3"/>
            <w:tcMar>
              <w:top w:w="30" w:type="dxa"/>
              <w:left w:w="20" w:type="dxa"/>
              <w:bottom w:w="30" w:type="dxa"/>
              <w:right w:w="20" w:type="dxa"/>
            </w:tcMar>
            <w:vAlign w:val="center"/>
            <w:hideMark/>
          </w:tcPr>
          <w:p w:rsidR="00000000" w:rsidRDefault="005B0BC3">
            <w:pPr>
              <w:spacing w:after="100"/>
              <w:divId w:val="910578192"/>
              <w:rPr>
                <w:rFonts w:eastAsia="Times New Roman"/>
              </w:rPr>
            </w:pPr>
            <w:hyperlink w:anchor="i2ac35847634046b3a89f93d9b422e8f5_895" w:history="1">
              <w:r>
                <w:rPr>
                  <w:rStyle w:val="a3"/>
                  <w:rFonts w:eastAsia="Times New Roman"/>
                  <w:sz w:val="20"/>
                  <w:szCs w:val="20"/>
                </w:rPr>
                <w:t>Changes in and Disagreements with Accountants on Accounting and Financia</w:t>
              </w:r>
              <w:r>
                <w:rPr>
                  <w:rStyle w:val="a3"/>
                  <w:rFonts w:eastAsia="Times New Roman"/>
                  <w:sz w:val="20"/>
                  <w:szCs w:val="20"/>
                </w:rPr>
                <w:t>l Disclosure</w:t>
              </w:r>
            </w:hyperlink>
          </w:p>
        </w:tc>
        <w:tc>
          <w:tcPr>
            <w:tcW w:w="0" w:type="auto"/>
            <w:gridSpan w:val="3"/>
            <w:tcMar>
              <w:top w:w="30" w:type="dxa"/>
              <w:left w:w="20" w:type="dxa"/>
              <w:bottom w:w="30" w:type="dxa"/>
              <w:right w:w="20" w:type="dxa"/>
            </w:tcMar>
            <w:vAlign w:val="center"/>
            <w:hideMark/>
          </w:tcPr>
          <w:p w:rsidR="00000000" w:rsidRDefault="005B0BC3">
            <w:pPr>
              <w:spacing w:after="100"/>
              <w:jc w:val="center"/>
              <w:rPr>
                <w:rFonts w:eastAsia="Times New Roman"/>
              </w:rPr>
            </w:pPr>
            <w:hyperlink w:anchor="i2ac35847634046b3a89f93d9b422e8f5_895" w:history="1">
              <w:r>
                <w:rPr>
                  <w:rStyle w:val="a3"/>
                  <w:rFonts w:eastAsia="Times New Roman"/>
                  <w:sz w:val="20"/>
                  <w:szCs w:val="20"/>
                </w:rPr>
                <w:t>239</w:t>
              </w:r>
            </w:hyperlink>
          </w:p>
        </w:tc>
      </w:tr>
      <w:tr w:rsidR="00000000">
        <w:trPr>
          <w:divId w:val="43140382"/>
          <w:jc w:val="center"/>
        </w:trPr>
        <w:tc>
          <w:tcPr>
            <w:tcW w:w="0" w:type="auto"/>
            <w:gridSpan w:val="3"/>
            <w:tcMar>
              <w:top w:w="30" w:type="dxa"/>
              <w:left w:w="20" w:type="dxa"/>
              <w:bottom w:w="30" w:type="dxa"/>
              <w:right w:w="20" w:type="dxa"/>
            </w:tcMar>
            <w:vAlign w:val="center"/>
            <w:hideMark/>
          </w:tcPr>
          <w:p w:rsidR="00000000" w:rsidRDefault="005B0BC3">
            <w:pPr>
              <w:spacing w:after="100"/>
              <w:divId w:val="1063718670"/>
              <w:rPr>
                <w:rFonts w:eastAsia="Times New Roman"/>
              </w:rPr>
            </w:pPr>
            <w:hyperlink w:anchor="i2ac35847634046b3a89f93d9b422e8f5_376" w:history="1">
              <w:r>
                <w:rPr>
                  <w:rStyle w:val="a3"/>
                  <w:rFonts w:eastAsia="Times New Roman"/>
                  <w:sz w:val="20"/>
                  <w:szCs w:val="20"/>
                </w:rPr>
                <w:t>Item 9A.</w:t>
              </w:r>
            </w:hyperlink>
          </w:p>
        </w:tc>
        <w:tc>
          <w:tcPr>
            <w:tcW w:w="0" w:type="auto"/>
            <w:gridSpan w:val="3"/>
            <w:tcMar>
              <w:top w:w="30" w:type="dxa"/>
              <w:left w:w="20" w:type="dxa"/>
              <w:bottom w:w="30" w:type="dxa"/>
              <w:right w:w="20" w:type="dxa"/>
            </w:tcMar>
            <w:vAlign w:val="center"/>
            <w:hideMark/>
          </w:tcPr>
          <w:p w:rsidR="00000000" w:rsidRDefault="005B0BC3">
            <w:pPr>
              <w:spacing w:after="100"/>
              <w:divId w:val="526021111"/>
              <w:rPr>
                <w:rFonts w:eastAsia="Times New Roman"/>
              </w:rPr>
            </w:pPr>
            <w:hyperlink w:anchor="i2ac35847634046b3a89f93d9b422e8f5_898"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vAlign w:val="center"/>
            <w:hideMark/>
          </w:tcPr>
          <w:p w:rsidR="00000000" w:rsidRDefault="005B0BC3">
            <w:pPr>
              <w:spacing w:after="100"/>
              <w:jc w:val="center"/>
              <w:rPr>
                <w:rFonts w:eastAsia="Times New Roman"/>
              </w:rPr>
            </w:pPr>
            <w:hyperlink w:anchor="i2ac35847634046b3a89f93d9b422e8f5_898" w:history="1">
              <w:r>
                <w:rPr>
                  <w:rStyle w:val="a3"/>
                  <w:rFonts w:eastAsia="Times New Roman"/>
                  <w:sz w:val="20"/>
                  <w:szCs w:val="20"/>
                </w:rPr>
                <w:t>239</w:t>
              </w:r>
            </w:hyperlink>
          </w:p>
        </w:tc>
      </w:tr>
      <w:tr w:rsidR="00000000">
        <w:trPr>
          <w:divId w:val="43140382"/>
          <w:jc w:val="center"/>
        </w:trPr>
        <w:tc>
          <w:tcPr>
            <w:tcW w:w="0" w:type="auto"/>
            <w:gridSpan w:val="3"/>
            <w:tcMar>
              <w:top w:w="30" w:type="dxa"/>
              <w:left w:w="20" w:type="dxa"/>
              <w:bottom w:w="30" w:type="dxa"/>
              <w:right w:w="20" w:type="dxa"/>
            </w:tcMar>
            <w:vAlign w:val="center"/>
            <w:hideMark/>
          </w:tcPr>
          <w:p w:rsidR="00000000" w:rsidRDefault="005B0BC3">
            <w:pPr>
              <w:spacing w:after="100"/>
              <w:divId w:val="1282690069"/>
              <w:rPr>
                <w:rFonts w:eastAsia="Times New Roman"/>
              </w:rPr>
            </w:pPr>
            <w:hyperlink w:anchor="i2ac35847634046b3a89f93d9b422e8f5_901" w:history="1">
              <w:r>
                <w:rPr>
                  <w:rStyle w:val="a3"/>
                  <w:rFonts w:eastAsia="Times New Roman"/>
                  <w:sz w:val="20"/>
                  <w:szCs w:val="20"/>
                </w:rPr>
                <w:t>Item 9B.</w:t>
              </w:r>
            </w:hyperlink>
          </w:p>
        </w:tc>
        <w:tc>
          <w:tcPr>
            <w:tcW w:w="0" w:type="auto"/>
            <w:gridSpan w:val="3"/>
            <w:tcMar>
              <w:top w:w="30" w:type="dxa"/>
              <w:left w:w="20" w:type="dxa"/>
              <w:bottom w:w="30" w:type="dxa"/>
              <w:right w:w="20" w:type="dxa"/>
            </w:tcMar>
            <w:vAlign w:val="center"/>
            <w:hideMark/>
          </w:tcPr>
          <w:p w:rsidR="00000000" w:rsidRDefault="005B0BC3">
            <w:pPr>
              <w:spacing w:after="100"/>
              <w:divId w:val="1699039211"/>
              <w:rPr>
                <w:rFonts w:eastAsia="Times New Roman"/>
              </w:rPr>
            </w:pPr>
            <w:hyperlink w:anchor="i2ac35847634046b3a89f93d9b422e8f5_901" w:history="1">
              <w:r>
                <w:rPr>
                  <w:rStyle w:val="a3"/>
                  <w:rFonts w:eastAsia="Times New Roman"/>
                  <w:sz w:val="20"/>
                  <w:szCs w:val="20"/>
                </w:rPr>
                <w:t>Other Information</w:t>
              </w:r>
            </w:hyperlink>
          </w:p>
        </w:tc>
        <w:tc>
          <w:tcPr>
            <w:tcW w:w="0" w:type="auto"/>
            <w:gridSpan w:val="3"/>
            <w:tcMar>
              <w:top w:w="30" w:type="dxa"/>
              <w:left w:w="20" w:type="dxa"/>
              <w:bottom w:w="30" w:type="dxa"/>
              <w:right w:w="20" w:type="dxa"/>
            </w:tcMar>
            <w:vAlign w:val="center"/>
            <w:hideMark/>
          </w:tcPr>
          <w:p w:rsidR="00000000" w:rsidRDefault="005B0BC3">
            <w:pPr>
              <w:spacing w:after="100"/>
              <w:jc w:val="center"/>
              <w:rPr>
                <w:rFonts w:eastAsia="Times New Roman"/>
              </w:rPr>
            </w:pPr>
            <w:hyperlink w:anchor="i2ac35847634046b3a89f93d9b422e8f5_901" w:history="1">
              <w:r>
                <w:rPr>
                  <w:rStyle w:val="a3"/>
                  <w:rFonts w:eastAsia="Times New Roman"/>
                  <w:sz w:val="20"/>
                  <w:szCs w:val="20"/>
                </w:rPr>
                <w:t>240</w:t>
              </w:r>
            </w:hyperlink>
          </w:p>
        </w:tc>
      </w:tr>
      <w:tr w:rsidR="00000000">
        <w:trPr>
          <w:divId w:val="43140382"/>
          <w:jc w:val="center"/>
        </w:trPr>
        <w:tc>
          <w:tcPr>
            <w:tcW w:w="0" w:type="auto"/>
            <w:gridSpan w:val="3"/>
            <w:tcMar>
              <w:top w:w="30" w:type="dxa"/>
              <w:left w:w="20" w:type="dxa"/>
              <w:bottom w:w="30" w:type="dxa"/>
              <w:right w:w="20" w:type="dxa"/>
            </w:tcMar>
            <w:vAlign w:val="center"/>
            <w:hideMark/>
          </w:tcPr>
          <w:p w:rsidR="00000000" w:rsidRDefault="005B0BC3">
            <w:pPr>
              <w:spacing w:after="100"/>
              <w:divId w:val="569848098"/>
              <w:rPr>
                <w:rFonts w:eastAsia="Times New Roman"/>
              </w:rPr>
            </w:pPr>
            <w:hyperlink w:anchor="i2ac35847634046b3a89f93d9b422e8f5_8974" w:history="1">
              <w:r>
                <w:rPr>
                  <w:rStyle w:val="a3"/>
                  <w:rFonts w:eastAsia="Times New Roman"/>
                  <w:sz w:val="20"/>
                  <w:szCs w:val="20"/>
                </w:rPr>
                <w:t>Item 9C.</w:t>
              </w:r>
            </w:hyperlink>
          </w:p>
        </w:tc>
        <w:tc>
          <w:tcPr>
            <w:tcW w:w="0" w:type="auto"/>
            <w:gridSpan w:val="3"/>
            <w:tcMar>
              <w:top w:w="30" w:type="dxa"/>
              <w:left w:w="20" w:type="dxa"/>
              <w:bottom w:w="30" w:type="dxa"/>
              <w:right w:w="20" w:type="dxa"/>
            </w:tcMar>
            <w:vAlign w:val="center"/>
            <w:hideMark/>
          </w:tcPr>
          <w:p w:rsidR="00000000" w:rsidRDefault="005B0BC3">
            <w:pPr>
              <w:spacing w:after="100"/>
              <w:divId w:val="1957712577"/>
              <w:rPr>
                <w:rFonts w:eastAsia="Times New Roman"/>
              </w:rPr>
            </w:pPr>
            <w:hyperlink w:anchor="i2ac35847634046b3a89f93d9b422e8f5_8974" w:history="1">
              <w:r>
                <w:rPr>
                  <w:rStyle w:val="a3"/>
                  <w:rFonts w:eastAsia="Times New Roman"/>
                  <w:sz w:val="20"/>
                  <w:szCs w:val="20"/>
                </w:rPr>
                <w:t>Disclosure Regarding Foreign Jurisdictions that Prevent Inspections</w:t>
              </w:r>
            </w:hyperlink>
          </w:p>
        </w:tc>
        <w:tc>
          <w:tcPr>
            <w:tcW w:w="0" w:type="auto"/>
            <w:gridSpan w:val="3"/>
            <w:tcMar>
              <w:top w:w="30" w:type="dxa"/>
              <w:left w:w="20" w:type="dxa"/>
              <w:bottom w:w="30" w:type="dxa"/>
              <w:right w:w="20" w:type="dxa"/>
            </w:tcMar>
            <w:vAlign w:val="center"/>
            <w:hideMark/>
          </w:tcPr>
          <w:p w:rsidR="00000000" w:rsidRDefault="005B0BC3">
            <w:pPr>
              <w:spacing w:after="100"/>
              <w:jc w:val="center"/>
              <w:rPr>
                <w:rFonts w:eastAsia="Times New Roman"/>
              </w:rPr>
            </w:pPr>
            <w:hyperlink w:anchor="i2ac35847634046b3a89f93d9b422e8f5_901" w:history="1">
              <w:r>
                <w:rPr>
                  <w:rStyle w:val="a3"/>
                  <w:rFonts w:eastAsia="Times New Roman"/>
                  <w:sz w:val="20"/>
                  <w:szCs w:val="20"/>
                </w:rPr>
                <w:t>240</w:t>
              </w:r>
            </w:hyperlink>
          </w:p>
        </w:tc>
      </w:tr>
      <w:tr w:rsidR="00000000">
        <w:trPr>
          <w:divId w:val="43140382"/>
          <w:trHeight w:val="280"/>
          <w:jc w:val="center"/>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43140382"/>
          <w:jc w:val="center"/>
        </w:trPr>
        <w:tc>
          <w:tcPr>
            <w:tcW w:w="0" w:type="auto"/>
            <w:gridSpan w:val="3"/>
            <w:tcMar>
              <w:top w:w="30" w:type="dxa"/>
              <w:left w:w="20" w:type="dxa"/>
              <w:bottom w:w="30" w:type="dxa"/>
              <w:right w:w="20" w:type="dxa"/>
            </w:tcMar>
            <w:vAlign w:val="center"/>
            <w:hideMark/>
          </w:tcPr>
          <w:p w:rsidR="00000000" w:rsidRDefault="005B0BC3">
            <w:pPr>
              <w:spacing w:after="100"/>
              <w:divId w:val="1148588753"/>
              <w:rPr>
                <w:rFonts w:eastAsia="Times New Roman"/>
              </w:rPr>
            </w:pPr>
            <w:hyperlink w:anchor="i2ac35847634046b3a89f93d9b422e8f5_913" w:history="1">
              <w:r>
                <w:rPr>
                  <w:rStyle w:val="a3"/>
                  <w:rFonts w:eastAsia="Times New Roman"/>
                  <w:b/>
                  <w:bCs/>
                  <w:sz w:val="20"/>
                  <w:szCs w:val="20"/>
                </w:rPr>
                <w:t>Part III</w:t>
              </w:r>
            </w:hyperlink>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43140382"/>
          <w:jc w:val="center"/>
        </w:trPr>
        <w:tc>
          <w:tcPr>
            <w:tcW w:w="0" w:type="auto"/>
            <w:gridSpan w:val="3"/>
            <w:tcMar>
              <w:top w:w="30" w:type="dxa"/>
              <w:left w:w="20" w:type="dxa"/>
              <w:bottom w:w="30" w:type="dxa"/>
              <w:right w:w="20" w:type="dxa"/>
            </w:tcMar>
            <w:vAlign w:val="center"/>
            <w:hideMark/>
          </w:tcPr>
          <w:p w:rsidR="00000000" w:rsidRDefault="005B0BC3">
            <w:pPr>
              <w:spacing w:after="100"/>
              <w:divId w:val="1583830921"/>
              <w:rPr>
                <w:rFonts w:eastAsia="Times New Roman"/>
              </w:rPr>
            </w:pPr>
            <w:hyperlink w:anchor="i2ac35847634046b3a89f93d9b422e8f5_916" w:history="1">
              <w:r>
                <w:rPr>
                  <w:rStyle w:val="a3"/>
                  <w:rFonts w:eastAsia="Times New Roman"/>
                  <w:sz w:val="20"/>
                  <w:szCs w:val="20"/>
                </w:rPr>
                <w:t>Item 10.</w:t>
              </w:r>
            </w:hyperlink>
          </w:p>
        </w:tc>
        <w:tc>
          <w:tcPr>
            <w:tcW w:w="0" w:type="auto"/>
            <w:gridSpan w:val="3"/>
            <w:tcMar>
              <w:top w:w="30" w:type="dxa"/>
              <w:left w:w="20" w:type="dxa"/>
              <w:bottom w:w="30" w:type="dxa"/>
              <w:right w:w="20" w:type="dxa"/>
            </w:tcMar>
            <w:vAlign w:val="center"/>
            <w:hideMark/>
          </w:tcPr>
          <w:p w:rsidR="00000000" w:rsidRDefault="005B0BC3">
            <w:pPr>
              <w:spacing w:after="100"/>
              <w:divId w:val="1417940686"/>
              <w:rPr>
                <w:rFonts w:eastAsia="Times New Roman"/>
              </w:rPr>
            </w:pPr>
            <w:hyperlink w:anchor="i2ac35847634046b3a89f93d9b422e8f5_916" w:history="1">
              <w:r>
                <w:rPr>
                  <w:rStyle w:val="a3"/>
                  <w:rFonts w:eastAsia="Times New Roman"/>
                  <w:sz w:val="20"/>
                  <w:szCs w:val="20"/>
                </w:rPr>
                <w:t>Directors, Executive Officers and Corporate Governance</w:t>
              </w:r>
            </w:hyperlink>
          </w:p>
        </w:tc>
        <w:tc>
          <w:tcPr>
            <w:tcW w:w="0" w:type="auto"/>
            <w:gridSpan w:val="3"/>
            <w:tcMar>
              <w:top w:w="30" w:type="dxa"/>
              <w:left w:w="20" w:type="dxa"/>
              <w:bottom w:w="30" w:type="dxa"/>
              <w:right w:w="20" w:type="dxa"/>
            </w:tcMar>
            <w:vAlign w:val="center"/>
            <w:hideMark/>
          </w:tcPr>
          <w:p w:rsidR="00000000" w:rsidRDefault="005B0BC3">
            <w:pPr>
              <w:spacing w:after="100"/>
              <w:jc w:val="center"/>
              <w:rPr>
                <w:rFonts w:eastAsia="Times New Roman"/>
              </w:rPr>
            </w:pPr>
            <w:hyperlink w:anchor="i2ac35847634046b3a89f93d9b422e8f5_916" w:history="1">
              <w:r>
                <w:rPr>
                  <w:rStyle w:val="a3"/>
                  <w:rFonts w:eastAsia="Times New Roman"/>
                  <w:sz w:val="20"/>
                  <w:szCs w:val="20"/>
                </w:rPr>
                <w:t>240</w:t>
              </w:r>
            </w:hyperlink>
          </w:p>
        </w:tc>
      </w:tr>
      <w:tr w:rsidR="00000000">
        <w:trPr>
          <w:divId w:val="43140382"/>
          <w:jc w:val="center"/>
        </w:trPr>
        <w:tc>
          <w:tcPr>
            <w:tcW w:w="0" w:type="auto"/>
            <w:gridSpan w:val="3"/>
            <w:tcMar>
              <w:top w:w="30" w:type="dxa"/>
              <w:left w:w="20" w:type="dxa"/>
              <w:bottom w:w="30" w:type="dxa"/>
              <w:right w:w="20" w:type="dxa"/>
            </w:tcMar>
            <w:vAlign w:val="center"/>
            <w:hideMark/>
          </w:tcPr>
          <w:p w:rsidR="00000000" w:rsidRDefault="005B0BC3">
            <w:pPr>
              <w:spacing w:after="100"/>
              <w:divId w:val="291904214"/>
              <w:rPr>
                <w:rFonts w:eastAsia="Times New Roman"/>
              </w:rPr>
            </w:pPr>
            <w:hyperlink w:anchor="i2ac35847634046b3a89f93d9b422e8f5_919" w:history="1">
              <w:r>
                <w:rPr>
                  <w:rStyle w:val="a3"/>
                  <w:rFonts w:eastAsia="Times New Roman"/>
                  <w:sz w:val="20"/>
                  <w:szCs w:val="20"/>
                </w:rPr>
                <w:t>Item 11.</w:t>
              </w:r>
            </w:hyperlink>
          </w:p>
        </w:tc>
        <w:tc>
          <w:tcPr>
            <w:tcW w:w="0" w:type="auto"/>
            <w:gridSpan w:val="3"/>
            <w:tcMar>
              <w:top w:w="30" w:type="dxa"/>
              <w:left w:w="20" w:type="dxa"/>
              <w:bottom w:w="30" w:type="dxa"/>
              <w:right w:w="20" w:type="dxa"/>
            </w:tcMar>
            <w:vAlign w:val="center"/>
            <w:hideMark/>
          </w:tcPr>
          <w:p w:rsidR="00000000" w:rsidRDefault="005B0BC3">
            <w:pPr>
              <w:spacing w:after="100"/>
              <w:divId w:val="11416466"/>
              <w:rPr>
                <w:rFonts w:eastAsia="Times New Roman"/>
              </w:rPr>
            </w:pPr>
            <w:hyperlink w:anchor="i2ac35847634046b3a89f93d9b422e8f5_919" w:history="1">
              <w:r>
                <w:rPr>
                  <w:rStyle w:val="a3"/>
                  <w:rFonts w:eastAsia="Times New Roman"/>
                  <w:sz w:val="20"/>
                  <w:szCs w:val="20"/>
                </w:rPr>
                <w:t>Executive Compensation</w:t>
              </w:r>
            </w:hyperlink>
          </w:p>
        </w:tc>
        <w:tc>
          <w:tcPr>
            <w:tcW w:w="0" w:type="auto"/>
            <w:gridSpan w:val="3"/>
            <w:tcMar>
              <w:top w:w="30" w:type="dxa"/>
              <w:left w:w="20" w:type="dxa"/>
              <w:bottom w:w="30" w:type="dxa"/>
              <w:right w:w="20" w:type="dxa"/>
            </w:tcMar>
            <w:vAlign w:val="center"/>
            <w:hideMark/>
          </w:tcPr>
          <w:p w:rsidR="00000000" w:rsidRDefault="005B0BC3">
            <w:pPr>
              <w:spacing w:after="100"/>
              <w:jc w:val="center"/>
              <w:rPr>
                <w:rFonts w:eastAsia="Times New Roman"/>
              </w:rPr>
            </w:pPr>
            <w:hyperlink w:anchor="i2ac35847634046b3a89f93d9b422e8f5_919" w:history="1">
              <w:r>
                <w:rPr>
                  <w:rStyle w:val="a3"/>
                  <w:rFonts w:eastAsia="Times New Roman"/>
                  <w:sz w:val="20"/>
                  <w:szCs w:val="20"/>
                </w:rPr>
                <w:t>240</w:t>
              </w:r>
            </w:hyperlink>
          </w:p>
        </w:tc>
      </w:tr>
      <w:tr w:rsidR="00000000">
        <w:trPr>
          <w:divId w:val="43140382"/>
          <w:jc w:val="center"/>
        </w:trPr>
        <w:tc>
          <w:tcPr>
            <w:tcW w:w="0" w:type="auto"/>
            <w:gridSpan w:val="3"/>
            <w:tcMar>
              <w:top w:w="30" w:type="dxa"/>
              <w:left w:w="20" w:type="dxa"/>
              <w:bottom w:w="30" w:type="dxa"/>
              <w:right w:w="20" w:type="dxa"/>
            </w:tcMar>
            <w:vAlign w:val="center"/>
            <w:hideMark/>
          </w:tcPr>
          <w:p w:rsidR="00000000" w:rsidRDefault="005B0BC3">
            <w:pPr>
              <w:spacing w:after="100"/>
              <w:divId w:val="2084644003"/>
              <w:rPr>
                <w:rFonts w:eastAsia="Times New Roman"/>
              </w:rPr>
            </w:pPr>
            <w:hyperlink w:anchor="i2ac35847634046b3a89f93d9b422e8f5_922" w:history="1">
              <w:r>
                <w:rPr>
                  <w:rStyle w:val="a3"/>
                  <w:rFonts w:eastAsia="Times New Roman"/>
                  <w:sz w:val="20"/>
                  <w:szCs w:val="20"/>
                </w:rPr>
                <w:t>Item 12.</w:t>
              </w:r>
            </w:hyperlink>
          </w:p>
        </w:tc>
        <w:tc>
          <w:tcPr>
            <w:tcW w:w="0" w:type="auto"/>
            <w:gridSpan w:val="3"/>
            <w:tcMar>
              <w:top w:w="30" w:type="dxa"/>
              <w:left w:w="20" w:type="dxa"/>
              <w:bottom w:w="30" w:type="dxa"/>
              <w:right w:w="20" w:type="dxa"/>
            </w:tcMar>
            <w:vAlign w:val="center"/>
            <w:hideMark/>
          </w:tcPr>
          <w:p w:rsidR="00000000" w:rsidRDefault="005B0BC3">
            <w:pPr>
              <w:spacing w:after="100"/>
              <w:divId w:val="327100834"/>
              <w:rPr>
                <w:rFonts w:eastAsia="Times New Roman"/>
              </w:rPr>
            </w:pPr>
            <w:hyperlink w:anchor="i2ac35847634046b3a89f93d9b422e8f5_922" w:history="1">
              <w:r>
                <w:rPr>
                  <w:rStyle w:val="a3"/>
                  <w:rFonts w:eastAsia="Times New Roman"/>
                  <w:sz w:val="20"/>
                  <w:szCs w:val="20"/>
                </w:rPr>
                <w:t>Security Ownership of Certain Beneficial Owners and Management and Related Stockholder Matters</w:t>
              </w:r>
            </w:hyperlink>
          </w:p>
        </w:tc>
        <w:tc>
          <w:tcPr>
            <w:tcW w:w="0" w:type="auto"/>
            <w:gridSpan w:val="3"/>
            <w:tcMar>
              <w:top w:w="30" w:type="dxa"/>
              <w:left w:w="20" w:type="dxa"/>
              <w:bottom w:w="30" w:type="dxa"/>
              <w:right w:w="20" w:type="dxa"/>
            </w:tcMar>
            <w:vAlign w:val="center"/>
            <w:hideMark/>
          </w:tcPr>
          <w:p w:rsidR="00000000" w:rsidRDefault="005B0BC3">
            <w:pPr>
              <w:spacing w:after="100"/>
              <w:jc w:val="center"/>
              <w:rPr>
                <w:rFonts w:eastAsia="Times New Roman"/>
              </w:rPr>
            </w:pPr>
            <w:hyperlink w:anchor="i2ac35847634046b3a89f93d9b422e8f5_922" w:history="1">
              <w:r>
                <w:rPr>
                  <w:rStyle w:val="a3"/>
                  <w:rFonts w:eastAsia="Times New Roman"/>
                  <w:sz w:val="20"/>
                  <w:szCs w:val="20"/>
                </w:rPr>
                <w:t>241</w:t>
              </w:r>
            </w:hyperlink>
          </w:p>
        </w:tc>
      </w:tr>
      <w:tr w:rsidR="00000000">
        <w:trPr>
          <w:divId w:val="43140382"/>
          <w:jc w:val="center"/>
        </w:trPr>
        <w:tc>
          <w:tcPr>
            <w:tcW w:w="0" w:type="auto"/>
            <w:gridSpan w:val="3"/>
            <w:tcMar>
              <w:top w:w="30" w:type="dxa"/>
              <w:left w:w="20" w:type="dxa"/>
              <w:bottom w:w="30" w:type="dxa"/>
              <w:right w:w="20" w:type="dxa"/>
            </w:tcMar>
            <w:vAlign w:val="center"/>
            <w:hideMark/>
          </w:tcPr>
          <w:p w:rsidR="00000000" w:rsidRDefault="005B0BC3">
            <w:pPr>
              <w:spacing w:after="100"/>
              <w:divId w:val="1065686257"/>
              <w:rPr>
                <w:rFonts w:eastAsia="Times New Roman"/>
              </w:rPr>
            </w:pPr>
            <w:hyperlink w:anchor="i2ac35847634046b3a89f93d9b422e8f5_925" w:history="1">
              <w:r>
                <w:rPr>
                  <w:rStyle w:val="a3"/>
                  <w:rFonts w:eastAsia="Times New Roman"/>
                  <w:sz w:val="20"/>
                  <w:szCs w:val="20"/>
                </w:rPr>
                <w:t>Item 13.</w:t>
              </w:r>
            </w:hyperlink>
          </w:p>
        </w:tc>
        <w:tc>
          <w:tcPr>
            <w:tcW w:w="0" w:type="auto"/>
            <w:gridSpan w:val="3"/>
            <w:tcMar>
              <w:top w:w="30" w:type="dxa"/>
              <w:left w:w="20" w:type="dxa"/>
              <w:bottom w:w="30" w:type="dxa"/>
              <w:right w:w="20" w:type="dxa"/>
            </w:tcMar>
            <w:vAlign w:val="center"/>
            <w:hideMark/>
          </w:tcPr>
          <w:p w:rsidR="00000000" w:rsidRDefault="005B0BC3">
            <w:pPr>
              <w:spacing w:after="100"/>
              <w:divId w:val="1716268140"/>
              <w:rPr>
                <w:rFonts w:eastAsia="Times New Roman"/>
              </w:rPr>
            </w:pPr>
            <w:hyperlink w:anchor="i2ac35847634046b3a89f93d9b422e8f5_925" w:history="1">
              <w:r>
                <w:rPr>
                  <w:rStyle w:val="a3"/>
                  <w:rFonts w:eastAsia="Times New Roman"/>
                  <w:sz w:val="20"/>
                  <w:szCs w:val="20"/>
                </w:rPr>
                <w:t>Certain Relationships and Related Transactions, and Director Independence</w:t>
              </w:r>
            </w:hyperlink>
          </w:p>
        </w:tc>
        <w:tc>
          <w:tcPr>
            <w:tcW w:w="0" w:type="auto"/>
            <w:gridSpan w:val="3"/>
            <w:tcMar>
              <w:top w:w="30" w:type="dxa"/>
              <w:left w:w="20" w:type="dxa"/>
              <w:bottom w:w="30" w:type="dxa"/>
              <w:right w:w="20" w:type="dxa"/>
            </w:tcMar>
            <w:vAlign w:val="center"/>
            <w:hideMark/>
          </w:tcPr>
          <w:p w:rsidR="00000000" w:rsidRDefault="005B0BC3">
            <w:pPr>
              <w:spacing w:after="100"/>
              <w:jc w:val="center"/>
              <w:rPr>
                <w:rFonts w:eastAsia="Times New Roman"/>
              </w:rPr>
            </w:pPr>
            <w:hyperlink w:anchor="i2ac35847634046b3a89f93d9b422e8f5_925" w:history="1">
              <w:r>
                <w:rPr>
                  <w:rStyle w:val="a3"/>
                  <w:rFonts w:eastAsia="Times New Roman"/>
                  <w:sz w:val="20"/>
                  <w:szCs w:val="20"/>
                </w:rPr>
                <w:t>242</w:t>
              </w:r>
            </w:hyperlink>
          </w:p>
        </w:tc>
      </w:tr>
      <w:tr w:rsidR="00000000">
        <w:trPr>
          <w:divId w:val="43140382"/>
          <w:jc w:val="center"/>
        </w:trPr>
        <w:tc>
          <w:tcPr>
            <w:tcW w:w="0" w:type="auto"/>
            <w:gridSpan w:val="3"/>
            <w:tcMar>
              <w:top w:w="30" w:type="dxa"/>
              <w:left w:w="20" w:type="dxa"/>
              <w:bottom w:w="30" w:type="dxa"/>
              <w:right w:w="20" w:type="dxa"/>
            </w:tcMar>
            <w:vAlign w:val="center"/>
            <w:hideMark/>
          </w:tcPr>
          <w:p w:rsidR="00000000" w:rsidRDefault="005B0BC3">
            <w:pPr>
              <w:spacing w:after="100"/>
              <w:divId w:val="1093665381"/>
              <w:rPr>
                <w:rFonts w:eastAsia="Times New Roman"/>
              </w:rPr>
            </w:pPr>
            <w:hyperlink w:anchor="i2ac35847634046b3a89f93d9b422e8f5_928" w:history="1">
              <w:r>
                <w:rPr>
                  <w:rStyle w:val="a3"/>
                  <w:rFonts w:eastAsia="Times New Roman"/>
                  <w:sz w:val="20"/>
                  <w:szCs w:val="20"/>
                </w:rPr>
                <w:t>Item 14.</w:t>
              </w:r>
            </w:hyperlink>
          </w:p>
        </w:tc>
        <w:tc>
          <w:tcPr>
            <w:tcW w:w="0" w:type="auto"/>
            <w:gridSpan w:val="3"/>
            <w:tcMar>
              <w:top w:w="30" w:type="dxa"/>
              <w:left w:w="20" w:type="dxa"/>
              <w:bottom w:w="30" w:type="dxa"/>
              <w:right w:w="20" w:type="dxa"/>
            </w:tcMar>
            <w:vAlign w:val="center"/>
            <w:hideMark/>
          </w:tcPr>
          <w:p w:rsidR="00000000" w:rsidRDefault="005B0BC3">
            <w:pPr>
              <w:spacing w:after="100"/>
              <w:divId w:val="1954941654"/>
              <w:rPr>
                <w:rFonts w:eastAsia="Times New Roman"/>
              </w:rPr>
            </w:pPr>
            <w:hyperlink w:anchor="i2ac35847634046b3a89f93d9b422e8f5_928" w:history="1">
              <w:r>
                <w:rPr>
                  <w:rStyle w:val="a3"/>
                  <w:rFonts w:eastAsia="Times New Roman"/>
                  <w:sz w:val="20"/>
                  <w:szCs w:val="20"/>
                </w:rPr>
                <w:t>Principal Accountant Fees and Services</w:t>
              </w:r>
            </w:hyperlink>
          </w:p>
        </w:tc>
        <w:tc>
          <w:tcPr>
            <w:tcW w:w="0" w:type="auto"/>
            <w:gridSpan w:val="3"/>
            <w:tcMar>
              <w:top w:w="30" w:type="dxa"/>
              <w:left w:w="20" w:type="dxa"/>
              <w:bottom w:w="30" w:type="dxa"/>
              <w:right w:w="20" w:type="dxa"/>
            </w:tcMar>
            <w:vAlign w:val="center"/>
            <w:hideMark/>
          </w:tcPr>
          <w:p w:rsidR="00000000" w:rsidRDefault="005B0BC3">
            <w:pPr>
              <w:spacing w:after="100"/>
              <w:jc w:val="center"/>
              <w:rPr>
                <w:rFonts w:eastAsia="Times New Roman"/>
              </w:rPr>
            </w:pPr>
            <w:hyperlink w:anchor="i2ac35847634046b3a89f93d9b422e8f5_928" w:history="1">
              <w:r>
                <w:rPr>
                  <w:rStyle w:val="a3"/>
                  <w:rFonts w:eastAsia="Times New Roman"/>
                  <w:sz w:val="20"/>
                  <w:szCs w:val="20"/>
                </w:rPr>
                <w:t>242</w:t>
              </w:r>
            </w:hyperlink>
          </w:p>
        </w:tc>
      </w:tr>
      <w:tr w:rsidR="00000000">
        <w:trPr>
          <w:divId w:val="43140382"/>
          <w:trHeight w:val="280"/>
          <w:jc w:val="center"/>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43140382"/>
          <w:jc w:val="center"/>
        </w:trPr>
        <w:tc>
          <w:tcPr>
            <w:tcW w:w="0" w:type="auto"/>
            <w:gridSpan w:val="3"/>
            <w:tcMar>
              <w:top w:w="30" w:type="dxa"/>
              <w:left w:w="20" w:type="dxa"/>
              <w:bottom w:w="30" w:type="dxa"/>
              <w:right w:w="20" w:type="dxa"/>
            </w:tcMar>
            <w:vAlign w:val="center"/>
            <w:hideMark/>
          </w:tcPr>
          <w:p w:rsidR="00000000" w:rsidRDefault="005B0BC3">
            <w:pPr>
              <w:spacing w:after="100"/>
              <w:divId w:val="745152578"/>
              <w:rPr>
                <w:rFonts w:eastAsia="Times New Roman"/>
              </w:rPr>
            </w:pPr>
            <w:hyperlink w:anchor="i2ac35847634046b3a89f93d9b422e8f5_931" w:history="1">
              <w:r>
                <w:rPr>
                  <w:rStyle w:val="a3"/>
                  <w:rFonts w:eastAsia="Times New Roman"/>
                  <w:b/>
                  <w:bCs/>
                  <w:sz w:val="20"/>
                  <w:szCs w:val="20"/>
                </w:rPr>
                <w:t>Part IV</w:t>
              </w:r>
            </w:hyperlink>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43140382"/>
          <w:jc w:val="center"/>
        </w:trPr>
        <w:tc>
          <w:tcPr>
            <w:tcW w:w="0" w:type="auto"/>
            <w:gridSpan w:val="3"/>
            <w:tcMar>
              <w:top w:w="30" w:type="dxa"/>
              <w:left w:w="20" w:type="dxa"/>
              <w:bottom w:w="30" w:type="dxa"/>
              <w:right w:w="20" w:type="dxa"/>
            </w:tcMar>
            <w:vAlign w:val="center"/>
            <w:hideMark/>
          </w:tcPr>
          <w:p w:rsidR="00000000" w:rsidRDefault="005B0BC3">
            <w:pPr>
              <w:spacing w:after="100"/>
              <w:divId w:val="106437641"/>
              <w:rPr>
                <w:rFonts w:eastAsia="Times New Roman"/>
              </w:rPr>
            </w:pPr>
            <w:hyperlink w:anchor="i2ac35847634046b3a89f93d9b422e8f5_934" w:history="1">
              <w:r>
                <w:rPr>
                  <w:rStyle w:val="a3"/>
                  <w:rFonts w:eastAsia="Times New Roman"/>
                  <w:sz w:val="20"/>
                  <w:szCs w:val="20"/>
                </w:rPr>
                <w:t>Item 15.</w:t>
              </w:r>
            </w:hyperlink>
          </w:p>
        </w:tc>
        <w:tc>
          <w:tcPr>
            <w:tcW w:w="0" w:type="auto"/>
            <w:gridSpan w:val="3"/>
            <w:tcMar>
              <w:top w:w="30" w:type="dxa"/>
              <w:left w:w="20" w:type="dxa"/>
              <w:bottom w:w="30" w:type="dxa"/>
              <w:right w:w="20" w:type="dxa"/>
            </w:tcMar>
            <w:vAlign w:val="center"/>
            <w:hideMark/>
          </w:tcPr>
          <w:p w:rsidR="00000000" w:rsidRDefault="005B0BC3">
            <w:pPr>
              <w:spacing w:after="100"/>
              <w:divId w:val="125198291"/>
              <w:rPr>
                <w:rFonts w:eastAsia="Times New Roman"/>
              </w:rPr>
            </w:pPr>
            <w:hyperlink w:anchor="i2ac35847634046b3a89f93d9b422e8f5_934" w:history="1">
              <w:r>
                <w:rPr>
                  <w:rStyle w:val="a3"/>
                  <w:rFonts w:eastAsia="Times New Roman"/>
                  <w:sz w:val="20"/>
                  <w:szCs w:val="20"/>
                </w:rPr>
                <w:t>Exhibits, Financial Statement Schedules</w:t>
              </w:r>
            </w:hyperlink>
          </w:p>
        </w:tc>
        <w:tc>
          <w:tcPr>
            <w:tcW w:w="0" w:type="auto"/>
            <w:gridSpan w:val="3"/>
            <w:tcMar>
              <w:top w:w="30" w:type="dxa"/>
              <w:left w:w="20" w:type="dxa"/>
              <w:bottom w:w="30" w:type="dxa"/>
              <w:right w:w="20" w:type="dxa"/>
            </w:tcMar>
            <w:vAlign w:val="center"/>
            <w:hideMark/>
          </w:tcPr>
          <w:p w:rsidR="00000000" w:rsidRDefault="005B0BC3">
            <w:pPr>
              <w:spacing w:after="100"/>
              <w:jc w:val="center"/>
              <w:rPr>
                <w:rFonts w:eastAsia="Times New Roman"/>
              </w:rPr>
            </w:pPr>
            <w:hyperlink w:anchor="i2ac35847634046b3a89f93d9b422e8f5_934" w:history="1">
              <w:r>
                <w:rPr>
                  <w:rStyle w:val="a3"/>
                  <w:rFonts w:eastAsia="Times New Roman"/>
                  <w:sz w:val="20"/>
                  <w:szCs w:val="20"/>
                </w:rPr>
                <w:t>242</w:t>
              </w:r>
            </w:hyperlink>
          </w:p>
        </w:tc>
      </w:tr>
      <w:tr w:rsidR="00000000">
        <w:trPr>
          <w:divId w:val="43140382"/>
          <w:jc w:val="center"/>
        </w:trPr>
        <w:tc>
          <w:tcPr>
            <w:tcW w:w="0" w:type="auto"/>
            <w:gridSpan w:val="3"/>
            <w:tcMar>
              <w:top w:w="30" w:type="dxa"/>
              <w:left w:w="20" w:type="dxa"/>
              <w:bottom w:w="30" w:type="dxa"/>
              <w:right w:w="20" w:type="dxa"/>
            </w:tcMar>
            <w:vAlign w:val="center"/>
            <w:hideMark/>
          </w:tcPr>
          <w:p w:rsidR="00000000" w:rsidRDefault="005B0BC3">
            <w:pPr>
              <w:spacing w:after="100"/>
              <w:divId w:val="925963386"/>
              <w:rPr>
                <w:rFonts w:eastAsia="Times New Roman"/>
              </w:rPr>
            </w:pPr>
            <w:hyperlink w:anchor="i2ac35847634046b3a89f93d9b422e8f5_937" w:history="1">
              <w:r>
                <w:rPr>
                  <w:rStyle w:val="a3"/>
                  <w:rFonts w:eastAsia="Times New Roman"/>
                  <w:sz w:val="20"/>
                  <w:szCs w:val="20"/>
                </w:rPr>
                <w:t>Item 16.</w:t>
              </w:r>
            </w:hyperlink>
          </w:p>
        </w:tc>
        <w:tc>
          <w:tcPr>
            <w:tcW w:w="0" w:type="auto"/>
            <w:gridSpan w:val="3"/>
            <w:tcMar>
              <w:top w:w="30" w:type="dxa"/>
              <w:left w:w="20" w:type="dxa"/>
              <w:bottom w:w="30" w:type="dxa"/>
              <w:right w:w="20" w:type="dxa"/>
            </w:tcMar>
            <w:vAlign w:val="center"/>
            <w:hideMark/>
          </w:tcPr>
          <w:p w:rsidR="00000000" w:rsidRDefault="005B0BC3">
            <w:pPr>
              <w:spacing w:after="100"/>
              <w:divId w:val="341666237"/>
              <w:rPr>
                <w:rFonts w:eastAsia="Times New Roman"/>
              </w:rPr>
            </w:pPr>
            <w:hyperlink w:anchor="i2ac35847634046b3a89f93d9b422e8f5_937" w:history="1">
              <w:r>
                <w:rPr>
                  <w:rStyle w:val="a3"/>
                  <w:rFonts w:eastAsia="Times New Roman"/>
                  <w:sz w:val="20"/>
                  <w:szCs w:val="20"/>
                </w:rPr>
                <w:t>Form 10-K Summary</w:t>
              </w:r>
            </w:hyperlink>
          </w:p>
        </w:tc>
        <w:tc>
          <w:tcPr>
            <w:tcW w:w="0" w:type="auto"/>
            <w:gridSpan w:val="3"/>
            <w:tcMar>
              <w:top w:w="30" w:type="dxa"/>
              <w:left w:w="20" w:type="dxa"/>
              <w:bottom w:w="30" w:type="dxa"/>
              <w:right w:w="20" w:type="dxa"/>
            </w:tcMar>
            <w:vAlign w:val="center"/>
            <w:hideMark/>
          </w:tcPr>
          <w:p w:rsidR="00000000" w:rsidRDefault="005B0BC3">
            <w:pPr>
              <w:spacing w:after="100"/>
              <w:jc w:val="center"/>
              <w:rPr>
                <w:rFonts w:eastAsia="Times New Roman"/>
              </w:rPr>
            </w:pPr>
            <w:hyperlink w:anchor="i2ac35847634046b3a89f93d9b422e8f5_937" w:history="1">
              <w:r>
                <w:rPr>
                  <w:rStyle w:val="a3"/>
                  <w:rFonts w:eastAsia="Times New Roman"/>
                  <w:sz w:val="20"/>
                  <w:szCs w:val="20"/>
                </w:rPr>
                <w:t>242</w:t>
              </w:r>
            </w:hyperlink>
          </w:p>
        </w:tc>
      </w:tr>
      <w:tr w:rsidR="00000000">
        <w:trPr>
          <w:divId w:val="43140382"/>
          <w:jc w:val="center"/>
        </w:trPr>
        <w:tc>
          <w:tcPr>
            <w:tcW w:w="0" w:type="auto"/>
            <w:gridSpan w:val="3"/>
            <w:tcMar>
              <w:top w:w="30" w:type="dxa"/>
              <w:left w:w="20" w:type="dxa"/>
              <w:bottom w:w="30" w:type="dxa"/>
              <w:right w:w="20" w:type="dxa"/>
            </w:tcMar>
            <w:vAlign w:val="center"/>
            <w:hideMark/>
          </w:tcPr>
          <w:p w:rsidR="00000000" w:rsidRDefault="005B0BC3">
            <w:pPr>
              <w:spacing w:after="100"/>
              <w:divId w:val="375475747"/>
              <w:rPr>
                <w:rFonts w:eastAsia="Times New Roman"/>
              </w:rPr>
            </w:pPr>
            <w:hyperlink w:anchor="i2ac35847634046b3a89f93d9b422e8f5_940" w:history="1">
              <w:r>
                <w:rPr>
                  <w:rStyle w:val="a3"/>
                  <w:rFonts w:eastAsia="Times New Roman"/>
                  <w:sz w:val="20"/>
                  <w:szCs w:val="20"/>
                </w:rPr>
                <w:t>Glossary</w:t>
              </w:r>
            </w:hyperlink>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5B0BC3">
            <w:pPr>
              <w:spacing w:after="100"/>
              <w:jc w:val="center"/>
              <w:rPr>
                <w:rFonts w:eastAsia="Times New Roman"/>
              </w:rPr>
            </w:pPr>
            <w:hyperlink w:anchor="i2ac35847634046b3a89f93d9b422e8f5_940" w:history="1">
              <w:r>
                <w:rPr>
                  <w:rStyle w:val="a3"/>
                  <w:rFonts w:eastAsia="Times New Roman"/>
                  <w:sz w:val="20"/>
                  <w:szCs w:val="20"/>
                </w:rPr>
                <w:t>242</w:t>
              </w:r>
            </w:hyperlink>
          </w:p>
        </w:tc>
      </w:tr>
      <w:tr w:rsidR="00000000">
        <w:trPr>
          <w:divId w:val="43140382"/>
          <w:jc w:val="center"/>
        </w:trPr>
        <w:tc>
          <w:tcPr>
            <w:tcW w:w="0" w:type="auto"/>
            <w:gridSpan w:val="3"/>
            <w:tcMar>
              <w:top w:w="30" w:type="dxa"/>
              <w:left w:w="20" w:type="dxa"/>
              <w:bottom w:w="30" w:type="dxa"/>
              <w:right w:w="20" w:type="dxa"/>
            </w:tcMar>
            <w:vAlign w:val="center"/>
            <w:hideMark/>
          </w:tcPr>
          <w:p w:rsidR="00000000" w:rsidRDefault="005B0BC3">
            <w:pPr>
              <w:spacing w:after="100"/>
              <w:divId w:val="595754218"/>
              <w:rPr>
                <w:rFonts w:eastAsia="Times New Roman"/>
              </w:rPr>
            </w:pPr>
            <w:hyperlink w:anchor="i2ac35847634046b3a89f93d9b422e8f5_943" w:history="1">
              <w:r>
                <w:rPr>
                  <w:rStyle w:val="a3"/>
                  <w:rFonts w:eastAsia="Times New Roman"/>
                  <w:sz w:val="20"/>
                  <w:szCs w:val="20"/>
                </w:rPr>
                <w:t>Acronyms</w:t>
              </w:r>
            </w:hyperlink>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5B0BC3">
            <w:pPr>
              <w:spacing w:after="100"/>
              <w:jc w:val="center"/>
              <w:rPr>
                <w:rFonts w:eastAsia="Times New Roman"/>
              </w:rPr>
            </w:pPr>
            <w:hyperlink w:anchor="i2ac35847634046b3a89f93d9b422e8f5_943" w:history="1">
              <w:r>
                <w:rPr>
                  <w:rStyle w:val="a3"/>
                  <w:rFonts w:eastAsia="Times New Roman"/>
                  <w:sz w:val="20"/>
                  <w:szCs w:val="20"/>
                </w:rPr>
                <w:t>246</w:t>
              </w:r>
            </w:hyperlink>
          </w:p>
        </w:tc>
      </w:tr>
      <w:tr w:rsidR="00000000">
        <w:trPr>
          <w:divId w:val="43140382"/>
          <w:jc w:val="center"/>
        </w:trPr>
        <w:tc>
          <w:tcPr>
            <w:tcW w:w="0" w:type="auto"/>
            <w:gridSpan w:val="6"/>
            <w:tcMar>
              <w:top w:w="30" w:type="dxa"/>
              <w:left w:w="20" w:type="dxa"/>
              <w:bottom w:w="30" w:type="dxa"/>
              <w:right w:w="20" w:type="dxa"/>
            </w:tcMar>
            <w:vAlign w:val="center"/>
            <w:hideMark/>
          </w:tcPr>
          <w:p w:rsidR="00000000" w:rsidRDefault="005B0BC3">
            <w:pPr>
              <w:spacing w:after="100"/>
              <w:divId w:val="1032460215"/>
              <w:rPr>
                <w:rFonts w:eastAsia="Times New Roman"/>
              </w:rPr>
            </w:pPr>
            <w:hyperlink w:anchor="i2ac35847634046b3a89f93d9b422e8f5_949" w:history="1">
              <w:r>
                <w:rPr>
                  <w:rStyle w:val="a3"/>
                  <w:rFonts w:eastAsia="Times New Roman"/>
                  <w:sz w:val="20"/>
                  <w:szCs w:val="20"/>
                </w:rPr>
                <w:t>Index to Exhibits</w:t>
              </w:r>
            </w:hyperlink>
          </w:p>
        </w:tc>
        <w:tc>
          <w:tcPr>
            <w:tcW w:w="0" w:type="auto"/>
            <w:gridSpan w:val="3"/>
            <w:tcMar>
              <w:top w:w="30" w:type="dxa"/>
              <w:left w:w="20" w:type="dxa"/>
              <w:bottom w:w="30" w:type="dxa"/>
              <w:right w:w="20" w:type="dxa"/>
            </w:tcMar>
            <w:vAlign w:val="center"/>
            <w:hideMark/>
          </w:tcPr>
          <w:p w:rsidR="00000000" w:rsidRDefault="005B0BC3">
            <w:pPr>
              <w:spacing w:after="100"/>
              <w:jc w:val="center"/>
              <w:rPr>
                <w:rFonts w:eastAsia="Times New Roman"/>
              </w:rPr>
            </w:pPr>
            <w:hyperlink w:anchor="i2ac35847634046b3a89f93d9b422e8f5_949" w:history="1">
              <w:r>
                <w:rPr>
                  <w:rStyle w:val="a3"/>
                  <w:rFonts w:eastAsia="Times New Roman"/>
                  <w:sz w:val="20"/>
                  <w:szCs w:val="20"/>
                </w:rPr>
                <w:t>249</w:t>
              </w:r>
            </w:hyperlink>
          </w:p>
        </w:tc>
      </w:tr>
      <w:tr w:rsidR="00000000">
        <w:trPr>
          <w:divId w:val="43140382"/>
          <w:jc w:val="center"/>
        </w:trPr>
        <w:tc>
          <w:tcPr>
            <w:tcW w:w="0" w:type="auto"/>
            <w:gridSpan w:val="3"/>
            <w:tcMar>
              <w:top w:w="30" w:type="dxa"/>
              <w:left w:w="20" w:type="dxa"/>
              <w:bottom w:w="30" w:type="dxa"/>
              <w:right w:w="20" w:type="dxa"/>
            </w:tcMar>
            <w:vAlign w:val="center"/>
            <w:hideMark/>
          </w:tcPr>
          <w:p w:rsidR="00000000" w:rsidRDefault="005B0BC3">
            <w:pPr>
              <w:spacing w:after="100"/>
              <w:divId w:val="1397699332"/>
              <w:rPr>
                <w:rFonts w:eastAsia="Times New Roman"/>
              </w:rPr>
            </w:pPr>
            <w:hyperlink w:anchor="i2ac35847634046b3a89f93d9b422e8f5_946" w:history="1">
              <w:r>
                <w:rPr>
                  <w:rStyle w:val="a3"/>
                  <w:rFonts w:eastAsia="Times New Roman"/>
                  <w:sz w:val="20"/>
                  <w:szCs w:val="20"/>
                </w:rPr>
                <w:t>Signatures</w:t>
              </w:r>
            </w:hyperlink>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5B0BC3">
            <w:pPr>
              <w:spacing w:after="100"/>
              <w:jc w:val="center"/>
              <w:rPr>
                <w:rFonts w:eastAsia="Times New Roman"/>
              </w:rPr>
            </w:pPr>
            <w:hyperlink w:anchor="i2ac35847634046b3a89f93d9b422e8f5_946" w:history="1">
              <w:r>
                <w:rPr>
                  <w:rStyle w:val="a3"/>
                  <w:rFonts w:eastAsia="Times New Roman"/>
                  <w:sz w:val="20"/>
                  <w:szCs w:val="20"/>
                </w:rPr>
                <w:t>253</w:t>
              </w:r>
            </w:hyperlink>
          </w:p>
        </w:tc>
      </w:tr>
    </w:tbl>
    <w:p w:rsidR="00000000" w:rsidRDefault="005B0BC3">
      <w:pPr>
        <w:jc w:val="center"/>
        <w:divId w:val="811557628"/>
        <w:rPr>
          <w:rFonts w:eastAsia="Times New Roman"/>
        </w:rPr>
      </w:pPr>
    </w:p>
    <w:p w:rsidR="00000000" w:rsidRDefault="005B0BC3">
      <w:pPr>
        <w:divId w:val="302123285"/>
        <w:rPr>
          <w:rFonts w:eastAsia="Times New Roman"/>
        </w:rPr>
      </w:pPr>
    </w:p>
    <w:p w:rsidR="00000000" w:rsidRDefault="005B0BC3">
      <w:pPr>
        <w:rPr>
          <w:rFonts w:eastAsia="Times New Roman"/>
        </w:rPr>
      </w:pPr>
      <w:r>
        <w:rPr>
          <w:rFonts w:eastAsia="Times New Roman"/>
        </w:rPr>
        <w:pict>
          <v:rect id="_x0000_i1027" style="width:0;height:1.5pt" o:hralign="center" o:hrstd="t" o:hr="t" fillcolor="#a0a0a0" stroked="f"/>
        </w:pict>
      </w:r>
    </w:p>
    <w:p w:rsidR="00000000" w:rsidRDefault="005B0BC3">
      <w:pPr>
        <w:divId w:val="740373854"/>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jc w:val="center"/>
        <w:divId w:val="1988122184"/>
        <w:rPr>
          <w:rFonts w:eastAsia="Times New Roman"/>
        </w:rPr>
      </w:pPr>
      <w:r>
        <w:rPr>
          <w:rFonts w:eastAsia="Times New Roman"/>
          <w:b/>
          <w:bCs/>
          <w:color w:val="000000"/>
          <w:sz w:val="20"/>
          <w:szCs w:val="20"/>
        </w:rPr>
        <w:t>NOTE REGARDING FORWARD-LOOKING STATEMENTS AND INFORMATION</w:t>
      </w:r>
    </w:p>
    <w:p w:rsidR="00000000" w:rsidRDefault="005B0BC3">
      <w:pPr>
        <w:ind w:firstLine="360"/>
        <w:divId w:val="621496335"/>
        <w:rPr>
          <w:rFonts w:eastAsia="Times New Roman"/>
        </w:rPr>
      </w:pPr>
      <w:r>
        <w:rPr>
          <w:rFonts w:eastAsia="Times New Roman"/>
          <w:color w:val="000000"/>
          <w:sz w:val="20"/>
          <w:szCs w:val="20"/>
        </w:rPr>
        <w:t>Certain of the statements included or incorporated by reference in this Annual Report on Form 10-K constitute forward-looking statements within the meaning of the Private Securities Litigation Reform Act of 1995. Words such as “expects,” “believes,” “antic</w:t>
      </w:r>
      <w:r>
        <w:rPr>
          <w:rFonts w:eastAsia="Times New Roman"/>
          <w:color w:val="000000"/>
          <w:sz w:val="20"/>
          <w:szCs w:val="20"/>
        </w:rPr>
        <w:t xml:space="preserve">ipates,” “intends,” “seeks,” “aims,” “plans,” “assumes,” “estimates,” “projects,” “should,” “would,” “could,” “may,” “will,” “shall” or variations of such words are generally part of forward-looking statements. Forward-looking statements are made based on </w:t>
      </w:r>
      <w:r>
        <w:rPr>
          <w:rFonts w:eastAsia="Times New Roman"/>
          <w:color w:val="000000"/>
          <w:sz w:val="20"/>
          <w:szCs w:val="20"/>
        </w:rPr>
        <w:t>management’s current expectations and beliefs concerning future developments and their potential effects upon Equitable Holdings, Inc. (“Holdings”) and its consolidated subsidiaries. “We,” “us” and “our” refer to Holdings and its consolidated subsidiaries,</w:t>
      </w:r>
      <w:r>
        <w:rPr>
          <w:rFonts w:eastAsia="Times New Roman"/>
          <w:color w:val="000000"/>
          <w:sz w:val="20"/>
          <w:szCs w:val="20"/>
        </w:rPr>
        <w:t xml:space="preserve"> unless the context refers only to Holdings as a corporate entity. There can be no assurance that future developments affecting Holdings will be those anticipated by management. Forward-looking statements include, without limitation, all matters that are n</w:t>
      </w:r>
      <w:r>
        <w:rPr>
          <w:rFonts w:eastAsia="Times New Roman"/>
          <w:color w:val="000000"/>
          <w:sz w:val="20"/>
          <w:szCs w:val="20"/>
        </w:rPr>
        <w:t xml:space="preserve">ot historical facts. </w:t>
      </w:r>
    </w:p>
    <w:p w:rsidR="00000000" w:rsidRDefault="005B0BC3">
      <w:pPr>
        <w:ind w:firstLine="360"/>
        <w:divId w:val="302391438"/>
        <w:rPr>
          <w:rFonts w:eastAsia="Times New Roman"/>
        </w:rPr>
      </w:pPr>
      <w:r>
        <w:rPr>
          <w:rFonts w:eastAsia="Times New Roman"/>
          <w:color w:val="000000"/>
          <w:sz w:val="20"/>
          <w:szCs w:val="20"/>
        </w:rPr>
        <w:t xml:space="preserve">These forward-looking statements are not a guarantee of future performance and involve risks and uncertainties, and there are certain important factors that could cause actual results to differ, possibly materially, from expectations </w:t>
      </w:r>
      <w:r>
        <w:rPr>
          <w:rFonts w:eastAsia="Times New Roman"/>
          <w:color w:val="000000"/>
          <w:sz w:val="20"/>
          <w:szCs w:val="20"/>
        </w:rPr>
        <w:t xml:space="preserve">or estimates reflected in such forward-looking statements, including, among others: (i) conditions in the financial markets and economy, including the impact of COVID-19 and related economic conditions, equity market declines and volatility, interest rate </w:t>
      </w:r>
      <w:r>
        <w:rPr>
          <w:rFonts w:eastAsia="Times New Roman"/>
          <w:color w:val="000000"/>
          <w:sz w:val="20"/>
          <w:szCs w:val="20"/>
        </w:rPr>
        <w:t>fluctuations, impacts on our goodwill and changes in liquidity and access to and cost of capital; (ii) operational factors, including reliance on the payment of dividends to Holdings by its subsidiaries, protection of confidential customer information or p</w:t>
      </w:r>
      <w:r>
        <w:rPr>
          <w:rFonts w:eastAsia="Times New Roman"/>
          <w:color w:val="000000"/>
          <w:sz w:val="20"/>
          <w:szCs w:val="20"/>
        </w:rPr>
        <w:t>roprietary business information, operational failures by us or our service providers, and catastrophic events, such as the outbreak of pandemic diseases including COVID-19; (iii) credit, counterparties and investments, including counterparty default on der</w:t>
      </w:r>
      <w:r>
        <w:rPr>
          <w:rFonts w:eastAsia="Times New Roman"/>
          <w:color w:val="000000"/>
          <w:sz w:val="20"/>
          <w:szCs w:val="20"/>
        </w:rPr>
        <w:t>ivative contracts, failure of financial institutions, defaults by third parties and affiliates and economic downturns, defaults and other events adversely affecting our investments; (iv) our reinsurance and hedging programs; (v) our products, structure and</w:t>
      </w:r>
      <w:r>
        <w:rPr>
          <w:rFonts w:eastAsia="Times New Roman"/>
          <w:color w:val="000000"/>
          <w:sz w:val="20"/>
          <w:szCs w:val="20"/>
        </w:rPr>
        <w:t xml:space="preserve"> product distribution, including variable annuity guaranteed benefits features within certain of our products, variations in statutory capital requirements, financial strength and claims-paying ratings, state insurance laws limiting the ability of our insu</w:t>
      </w:r>
      <w:r>
        <w:rPr>
          <w:rFonts w:eastAsia="Times New Roman"/>
          <w:color w:val="000000"/>
          <w:sz w:val="20"/>
          <w:szCs w:val="20"/>
        </w:rPr>
        <w:t xml:space="preserve">rance subsidiaries to pay dividends and key product distribution relationships; (vi) estimates, assumptions </w:t>
      </w:r>
      <w:r>
        <w:rPr>
          <w:rFonts w:eastAsia="Times New Roman"/>
          <w:color w:val="000000"/>
          <w:sz w:val="20"/>
          <w:szCs w:val="20"/>
        </w:rPr>
        <w:lastRenderedPageBreak/>
        <w:t>and valuations, including risk management policies and procedures, potential inadequacy of reserves and experience differing from pricing expectatio</w:t>
      </w:r>
      <w:r>
        <w:rPr>
          <w:rFonts w:eastAsia="Times New Roman"/>
          <w:color w:val="000000"/>
          <w:sz w:val="20"/>
          <w:szCs w:val="20"/>
        </w:rPr>
        <w:t>ns, amortization of deferred acquisition costs and financial models; (vii) our Investment Management and Research segment, including fluctuations in assets under management and the industry-wide shift from actively-managed investment services to passive se</w:t>
      </w:r>
      <w:r>
        <w:rPr>
          <w:rFonts w:eastAsia="Times New Roman"/>
          <w:color w:val="000000"/>
          <w:sz w:val="20"/>
          <w:szCs w:val="20"/>
        </w:rPr>
        <w:t>rvices; (viii) legal and regulatory risks, including federal and state legislation affecting financial institutions, insurance regulation and tax reform; (ix) risks related to our common stock and (x) general risks, including strong industry competition, i</w:t>
      </w:r>
      <w:r>
        <w:rPr>
          <w:rFonts w:eastAsia="Times New Roman"/>
          <w:color w:val="000000"/>
          <w:sz w:val="20"/>
          <w:szCs w:val="20"/>
        </w:rPr>
        <w:t xml:space="preserve">nformation systems failing or being compromised and protecting our intellectual property. </w:t>
      </w:r>
    </w:p>
    <w:p w:rsidR="00000000" w:rsidRDefault="005B0BC3">
      <w:pPr>
        <w:ind w:firstLine="360"/>
        <w:divId w:val="1740010028"/>
        <w:rPr>
          <w:rFonts w:eastAsia="Times New Roman"/>
        </w:rPr>
      </w:pPr>
      <w:r>
        <w:rPr>
          <w:rFonts w:eastAsia="Times New Roman"/>
          <w:color w:val="000000"/>
          <w:sz w:val="20"/>
          <w:szCs w:val="20"/>
        </w:rPr>
        <w:t>You should read this Annual Report on Form 10-K completely and with the understanding that actual future results may be materially different from expectations. All f</w:t>
      </w:r>
      <w:r>
        <w:rPr>
          <w:rFonts w:eastAsia="Times New Roman"/>
          <w:color w:val="000000"/>
          <w:sz w:val="20"/>
          <w:szCs w:val="20"/>
        </w:rPr>
        <w:t>orward-looking statements made in this Annual Report on Form 10-K are qualified by these cautionary statements. Further, any forward-looking statement speaks only as of the date on which it is made, and we undertake no obligation to update or revise any fo</w:t>
      </w:r>
      <w:r>
        <w:rPr>
          <w:rFonts w:eastAsia="Times New Roman"/>
          <w:color w:val="000000"/>
          <w:sz w:val="20"/>
          <w:szCs w:val="20"/>
        </w:rPr>
        <w:t>rward-looking statement to reflect events or circumstances after the date on which the statement is made or to reflect the occurrence of unanticipated events, except as otherwise may be required by law.</w:t>
      </w:r>
    </w:p>
    <w:p w:rsidR="00000000" w:rsidRDefault="005B0BC3">
      <w:pPr>
        <w:ind w:firstLine="360"/>
        <w:divId w:val="930284869"/>
        <w:rPr>
          <w:rFonts w:eastAsia="Times New Roman"/>
        </w:rPr>
      </w:pPr>
      <w:r>
        <w:rPr>
          <w:rFonts w:eastAsia="Times New Roman"/>
          <w:color w:val="000000"/>
          <w:sz w:val="20"/>
          <w:szCs w:val="20"/>
        </w:rPr>
        <w:t>Other risks, uncertainties and factors, including tho</w:t>
      </w:r>
      <w:r>
        <w:rPr>
          <w:rFonts w:eastAsia="Times New Roman"/>
          <w:color w:val="000000"/>
          <w:sz w:val="20"/>
          <w:szCs w:val="20"/>
        </w:rPr>
        <w:t xml:space="preserve">se discussed under “Risk Factors,” could cause our actual results to differ materially from those projected in any forward-looking statements we make. Readers should read carefully the factors described in “Risk Factors” to better understand the risks and </w:t>
      </w:r>
      <w:r>
        <w:rPr>
          <w:rFonts w:eastAsia="Times New Roman"/>
          <w:color w:val="000000"/>
          <w:sz w:val="20"/>
          <w:szCs w:val="20"/>
        </w:rPr>
        <w:t>uncertainties inherent in our business and underlying any forward-looking statements.</w:t>
      </w:r>
    </w:p>
    <w:p w:rsidR="00000000" w:rsidRDefault="005B0BC3">
      <w:pPr>
        <w:ind w:firstLine="360"/>
        <w:divId w:val="719595354"/>
        <w:rPr>
          <w:rFonts w:eastAsia="Times New Roman"/>
        </w:rPr>
      </w:pPr>
      <w:r>
        <w:rPr>
          <w:rFonts w:eastAsia="Times New Roman"/>
          <w:color w:val="000000"/>
          <w:sz w:val="20"/>
          <w:szCs w:val="20"/>
        </w:rPr>
        <w:t>Throughout this Annual Report on Form 10-K we use certain defined terms and abbreviations, which are defined or summarized in the “Glossary” and “Acronyms” sections.</w:t>
      </w:r>
    </w:p>
    <w:p w:rsidR="00000000" w:rsidRDefault="005B0BC3">
      <w:pPr>
        <w:ind w:firstLine="360"/>
        <w:divId w:val="1245147643"/>
        <w:rPr>
          <w:rFonts w:eastAsia="Times New Roman"/>
        </w:rPr>
      </w:pPr>
    </w:p>
    <w:p w:rsidR="00000000" w:rsidRDefault="005B0BC3">
      <w:pPr>
        <w:divId w:val="1266187326"/>
        <w:rPr>
          <w:rFonts w:eastAsia="Times New Roman"/>
        </w:rPr>
      </w:pPr>
    </w:p>
    <w:p w:rsidR="00000000" w:rsidRDefault="005B0BC3">
      <w:pPr>
        <w:jc w:val="center"/>
        <w:divId w:val="1945838459"/>
        <w:rPr>
          <w:rFonts w:eastAsia="Times New Roman"/>
        </w:rPr>
      </w:pPr>
      <w:r>
        <w:rPr>
          <w:rFonts w:eastAsia="Times New Roman"/>
          <w:color w:val="000000"/>
          <w:sz w:val="20"/>
          <w:szCs w:val="20"/>
        </w:rPr>
        <w:t>3</w:t>
      </w:r>
    </w:p>
    <w:p w:rsidR="00000000" w:rsidRDefault="005B0BC3">
      <w:pPr>
        <w:rPr>
          <w:rFonts w:eastAsia="Times New Roman"/>
        </w:rPr>
      </w:pPr>
      <w:r>
        <w:rPr>
          <w:rFonts w:eastAsia="Times New Roman"/>
        </w:rPr>
        <w:pict>
          <v:rect id="_x0000_i1028" style="width:0;height:1.5pt" o:hralign="center" o:hrstd="t" o:hr="t" fillcolor="#a0a0a0" stroked="f"/>
        </w:pict>
      </w:r>
    </w:p>
    <w:p w:rsidR="00000000" w:rsidRDefault="005B0BC3">
      <w:pPr>
        <w:divId w:val="1671562576"/>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divId w:val="1056003659"/>
        <w:rPr>
          <w:rFonts w:eastAsia="Times New Roman"/>
        </w:rPr>
      </w:pPr>
      <w:r>
        <w:rPr>
          <w:rFonts w:eastAsia="Times New Roman"/>
          <w:b/>
          <w:bCs/>
          <w:color w:val="000000"/>
          <w:sz w:val="20"/>
          <w:szCs w:val="20"/>
        </w:rPr>
        <w:t>Part I, Item 1.</w:t>
      </w:r>
    </w:p>
    <w:p w:rsidR="00000000" w:rsidRDefault="005B0BC3">
      <w:pPr>
        <w:jc w:val="center"/>
        <w:divId w:val="356465476"/>
        <w:rPr>
          <w:rFonts w:eastAsia="Times New Roman"/>
        </w:rPr>
      </w:pPr>
      <w:r>
        <w:rPr>
          <w:rFonts w:eastAsia="Times New Roman"/>
          <w:b/>
          <w:bCs/>
          <w:color w:val="000000"/>
          <w:sz w:val="20"/>
          <w:szCs w:val="20"/>
        </w:rPr>
        <w:t>BUSINESS</w:t>
      </w:r>
    </w:p>
    <w:p w:rsidR="00000000" w:rsidRDefault="005B0BC3">
      <w:pPr>
        <w:divId w:val="1153640445"/>
        <w:rPr>
          <w:rFonts w:eastAsia="Times New Roman"/>
        </w:rPr>
      </w:pPr>
      <w:r>
        <w:rPr>
          <w:rFonts w:eastAsia="Times New Roman"/>
          <w:b/>
          <w:bCs/>
          <w:color w:val="000000"/>
          <w:sz w:val="20"/>
          <w:szCs w:val="20"/>
        </w:rPr>
        <w:t>Overview</w:t>
      </w:r>
    </w:p>
    <w:p w:rsidR="00000000" w:rsidRDefault="005B0BC3">
      <w:pPr>
        <w:ind w:firstLine="360"/>
        <w:divId w:val="752356731"/>
        <w:rPr>
          <w:rFonts w:eastAsia="Times New Roman"/>
        </w:rPr>
      </w:pPr>
      <w:r>
        <w:rPr>
          <w:rFonts w:eastAsia="Times New Roman"/>
          <w:color w:val="000000"/>
          <w:sz w:val="20"/>
          <w:szCs w:val="20"/>
        </w:rPr>
        <w:t>We are one of America’s leading financial services companies and have helped clients prepare for their financial future with confidence since 1859. Our approximately 12,200 employees and advis</w:t>
      </w:r>
      <w:r>
        <w:rPr>
          <w:rFonts w:eastAsia="Times New Roman"/>
          <w:color w:val="000000"/>
          <w:sz w:val="20"/>
          <w:szCs w:val="20"/>
        </w:rPr>
        <w:t xml:space="preserve">ors are entrusted with more than $900 billion of AUM through two complementary and well-established principal franchises, Equitable and AllianceBernstein, providing: </w:t>
      </w:r>
    </w:p>
    <w:p w:rsidR="00000000" w:rsidRDefault="005B0BC3">
      <w:pPr>
        <w:ind w:hanging="360"/>
        <w:jc w:val="both"/>
        <w:divId w:val="720054701"/>
        <w:rPr>
          <w:rFonts w:eastAsia="Times New Roman"/>
        </w:rPr>
      </w:pPr>
      <w:r>
        <w:rPr>
          <w:rFonts w:eastAsia="Times New Roman"/>
          <w:color w:val="000000"/>
          <w:sz w:val="20"/>
          <w:szCs w:val="20"/>
        </w:rPr>
        <w:t>•Advice and solutions for helping Americans set and meet their retirement goals and prote</w:t>
      </w:r>
      <w:r>
        <w:rPr>
          <w:rFonts w:eastAsia="Times New Roman"/>
          <w:color w:val="000000"/>
          <w:sz w:val="20"/>
          <w:szCs w:val="20"/>
        </w:rPr>
        <w:t>ct and transfer their wealth across generations; and</w:t>
      </w:r>
    </w:p>
    <w:p w:rsidR="00000000" w:rsidRDefault="005B0BC3">
      <w:pPr>
        <w:ind w:hanging="360"/>
        <w:divId w:val="2020042919"/>
        <w:rPr>
          <w:rFonts w:eastAsia="Times New Roman"/>
        </w:rPr>
      </w:pPr>
      <w:r>
        <w:rPr>
          <w:rFonts w:eastAsia="Times New Roman"/>
          <w:color w:val="000000"/>
          <w:sz w:val="20"/>
          <w:szCs w:val="20"/>
        </w:rPr>
        <w:t>•A wide range of investment management insights, expertise and innovations to drive better investment decisions and outcomes for clients and institutional investors worldwide.</w:t>
      </w:r>
    </w:p>
    <w:p w:rsidR="00000000" w:rsidRDefault="005B0BC3">
      <w:pPr>
        <w:ind w:firstLine="360"/>
        <w:divId w:val="2030374129"/>
        <w:rPr>
          <w:rFonts w:eastAsia="Times New Roman"/>
        </w:rPr>
      </w:pPr>
      <w:r>
        <w:rPr>
          <w:rFonts w:eastAsia="Times New Roman"/>
          <w:color w:val="000000"/>
          <w:sz w:val="20"/>
          <w:szCs w:val="20"/>
        </w:rPr>
        <w:t>We aim to be a trusted part</w:t>
      </w:r>
      <w:r>
        <w:rPr>
          <w:rFonts w:eastAsia="Times New Roman"/>
          <w:color w:val="000000"/>
          <w:sz w:val="20"/>
          <w:szCs w:val="20"/>
        </w:rPr>
        <w:t xml:space="preserve">ner to our clients by providing advice, products and services that help them navigate complex financial decisions. Our financial strength and the quality of our people, their ingenuity and the service they provide help us build relationships of trust with </w:t>
      </w:r>
      <w:r>
        <w:rPr>
          <w:rFonts w:eastAsia="Times New Roman"/>
          <w:color w:val="000000"/>
          <w:sz w:val="20"/>
          <w:szCs w:val="20"/>
        </w:rPr>
        <w:t>our clients.</w:t>
      </w:r>
    </w:p>
    <w:p w:rsidR="00000000" w:rsidRDefault="005B0BC3">
      <w:pPr>
        <w:ind w:firstLine="360"/>
        <w:divId w:val="114908675"/>
        <w:rPr>
          <w:rFonts w:eastAsia="Times New Roman"/>
        </w:rPr>
      </w:pPr>
      <w:r>
        <w:rPr>
          <w:rFonts w:eastAsia="Times New Roman"/>
          <w:color w:val="000000"/>
          <w:sz w:val="20"/>
          <w:szCs w:val="20"/>
        </w:rPr>
        <w:t>We have market-leading positions in our four segments: Individual Retirement, Group Retirement, Investment Management and Research, and Protection Solutions.</w:t>
      </w:r>
    </w:p>
    <w:p w:rsidR="00000000" w:rsidRDefault="005B0BC3">
      <w:pPr>
        <w:ind w:firstLine="360"/>
        <w:divId w:val="949825501"/>
        <w:rPr>
          <w:rFonts w:eastAsia="Times New Roman"/>
        </w:rPr>
      </w:pPr>
      <w:r>
        <w:rPr>
          <w:rFonts w:eastAsia="Times New Roman"/>
          <w:color w:val="000000"/>
          <w:sz w:val="20"/>
          <w:szCs w:val="20"/>
        </w:rPr>
        <w:t xml:space="preserve">We distribute our products through a premier affiliated and third-party distribution </w:t>
      </w:r>
      <w:r>
        <w:rPr>
          <w:rFonts w:eastAsia="Times New Roman"/>
          <w:color w:val="000000"/>
          <w:sz w:val="20"/>
          <w:szCs w:val="20"/>
        </w:rPr>
        <w:t>platform, consisting of:</w:t>
      </w:r>
    </w:p>
    <w:p w:rsidR="00000000" w:rsidRDefault="005B0BC3">
      <w:pPr>
        <w:ind w:firstLine="360"/>
        <w:divId w:val="1073965946"/>
        <w:rPr>
          <w:rFonts w:eastAsia="Times New Roman"/>
        </w:rPr>
      </w:pPr>
      <w:r>
        <w:rPr>
          <w:rFonts w:eastAsia="Times New Roman"/>
          <w:color w:val="000000"/>
          <w:sz w:val="20"/>
          <w:szCs w:val="20"/>
        </w:rPr>
        <w:t>Affiliated Distribution:</w:t>
      </w:r>
    </w:p>
    <w:p w:rsidR="00000000" w:rsidRDefault="005B0BC3">
      <w:pPr>
        <w:ind w:hanging="360"/>
        <w:jc w:val="both"/>
        <w:divId w:val="1311862397"/>
        <w:rPr>
          <w:rFonts w:eastAsia="Times New Roman"/>
        </w:rPr>
      </w:pPr>
      <w:r>
        <w:rPr>
          <w:rFonts w:eastAsia="Times New Roman"/>
          <w:color w:val="000000"/>
          <w:sz w:val="20"/>
          <w:szCs w:val="20"/>
        </w:rPr>
        <w:lastRenderedPageBreak/>
        <w:t xml:space="preserve">•Our affiliated retail sales force, Equitable Advisors, which has approximately 4,400 licensed financial professionals who advise on retirement, protection and investment advisory solutions; and </w:t>
      </w:r>
    </w:p>
    <w:p w:rsidR="00000000" w:rsidRDefault="005B0BC3">
      <w:pPr>
        <w:ind w:hanging="360"/>
        <w:divId w:val="1480995256"/>
        <w:rPr>
          <w:rFonts w:eastAsia="Times New Roman"/>
        </w:rPr>
      </w:pPr>
      <w:r>
        <w:rPr>
          <w:rFonts w:eastAsia="Times New Roman"/>
          <w:color w:val="000000"/>
          <w:sz w:val="20"/>
          <w:szCs w:val="20"/>
        </w:rPr>
        <w:t>•More than</w:t>
      </w:r>
      <w:r>
        <w:rPr>
          <w:rFonts w:eastAsia="Times New Roman"/>
          <w:color w:val="000000"/>
          <w:sz w:val="20"/>
          <w:szCs w:val="20"/>
        </w:rPr>
        <w:t xml:space="preserve"> </w:t>
      </w:r>
      <w:r>
        <w:rPr>
          <w:rFonts w:eastAsia="Times New Roman"/>
          <w:color w:val="000000"/>
          <w:sz w:val="20"/>
          <w:szCs w:val="20"/>
          <w:shd w:val="clear" w:color="auto" w:fill="FFFFFF"/>
        </w:rPr>
        <w:t>200</w:t>
      </w:r>
      <w:r>
        <w:rPr>
          <w:rFonts w:eastAsia="Times New Roman"/>
          <w:color w:val="000000"/>
          <w:sz w:val="20"/>
          <w:szCs w:val="20"/>
        </w:rPr>
        <w:t xml:space="preserve"> Bernstein Financial Advisors, who are responsible for the sale of investment products and solutions to Private Wealth Management clients. </w:t>
      </w:r>
    </w:p>
    <w:p w:rsidR="00000000" w:rsidRDefault="005B0BC3">
      <w:pPr>
        <w:ind w:firstLine="360"/>
        <w:divId w:val="2114935073"/>
        <w:rPr>
          <w:rFonts w:eastAsia="Times New Roman"/>
        </w:rPr>
      </w:pPr>
      <w:r>
        <w:rPr>
          <w:rFonts w:eastAsia="Times New Roman"/>
          <w:color w:val="000000"/>
          <w:sz w:val="20"/>
          <w:szCs w:val="20"/>
        </w:rPr>
        <w:t>Third-Party Distribution:</w:t>
      </w:r>
    </w:p>
    <w:p w:rsidR="00000000" w:rsidRDefault="005B0BC3">
      <w:pPr>
        <w:ind w:hanging="360"/>
        <w:jc w:val="both"/>
        <w:divId w:val="1730953144"/>
        <w:rPr>
          <w:rFonts w:eastAsia="Times New Roman"/>
        </w:rPr>
      </w:pPr>
      <w:r>
        <w:rPr>
          <w:rFonts w:eastAsia="Times New Roman"/>
          <w:color w:val="000000"/>
          <w:sz w:val="20"/>
          <w:szCs w:val="20"/>
        </w:rPr>
        <w:t>•Distribution agreements with more than 500 third-party firms including broker-dealers</w:t>
      </w:r>
      <w:r>
        <w:rPr>
          <w:rFonts w:eastAsia="Times New Roman"/>
          <w:color w:val="000000"/>
          <w:sz w:val="20"/>
          <w:szCs w:val="20"/>
        </w:rPr>
        <w:t xml:space="preserve">, banks, insurance partners and brokerage general agencies, giving us access to more than 145,000 financial professionals to market our retirement, protection and investment solutions; and </w:t>
      </w:r>
    </w:p>
    <w:p w:rsidR="00000000" w:rsidRDefault="005B0BC3">
      <w:pPr>
        <w:ind w:hanging="360"/>
        <w:divId w:val="212354920"/>
        <w:rPr>
          <w:rFonts w:eastAsia="Times New Roman"/>
        </w:rPr>
      </w:pPr>
      <w:r>
        <w:rPr>
          <w:rFonts w:eastAsia="Times New Roman"/>
          <w:color w:val="000000"/>
          <w:sz w:val="20"/>
          <w:szCs w:val="20"/>
        </w:rPr>
        <w:t xml:space="preserve">•An AB global distribution team of more than </w:t>
      </w:r>
      <w:r>
        <w:rPr>
          <w:rFonts w:eastAsia="Times New Roman"/>
          <w:color w:val="000000"/>
          <w:sz w:val="20"/>
          <w:szCs w:val="20"/>
          <w:shd w:val="clear" w:color="auto" w:fill="FFFFFF"/>
        </w:rPr>
        <w:t>500</w:t>
      </w:r>
      <w:r>
        <w:rPr>
          <w:rFonts w:eastAsia="Times New Roman"/>
          <w:color w:val="000000"/>
          <w:sz w:val="20"/>
          <w:szCs w:val="20"/>
        </w:rPr>
        <w:t xml:space="preserve"> professionals, wh</w:t>
      </w:r>
      <w:r>
        <w:rPr>
          <w:rFonts w:eastAsia="Times New Roman"/>
          <w:color w:val="000000"/>
          <w:sz w:val="20"/>
          <w:szCs w:val="20"/>
        </w:rPr>
        <w:t xml:space="preserve">o engage with more than </w:t>
      </w:r>
      <w:r>
        <w:rPr>
          <w:rFonts w:eastAsia="Times New Roman"/>
          <w:color w:val="000000"/>
          <w:sz w:val="20"/>
          <w:szCs w:val="20"/>
          <w:shd w:val="clear" w:color="auto" w:fill="FFFFFF"/>
        </w:rPr>
        <w:t>5,000</w:t>
      </w:r>
      <w:r>
        <w:rPr>
          <w:rFonts w:eastAsia="Times New Roman"/>
          <w:color w:val="000000"/>
          <w:sz w:val="20"/>
          <w:szCs w:val="20"/>
        </w:rPr>
        <w:t xml:space="preserve"> retail distribution partners and more than </w:t>
      </w:r>
      <w:r>
        <w:rPr>
          <w:rFonts w:eastAsia="Times New Roman"/>
          <w:color w:val="000000"/>
          <w:sz w:val="20"/>
          <w:szCs w:val="20"/>
          <w:shd w:val="clear" w:color="auto" w:fill="FFFFFF"/>
        </w:rPr>
        <w:t>500</w:t>
      </w:r>
      <w:r>
        <w:rPr>
          <w:rFonts w:eastAsia="Times New Roman"/>
          <w:color w:val="000000"/>
          <w:sz w:val="20"/>
          <w:szCs w:val="20"/>
        </w:rPr>
        <w:t xml:space="preserve"> institutional clients.</w:t>
      </w:r>
    </w:p>
    <w:p w:rsidR="00000000" w:rsidRDefault="005B0BC3">
      <w:pPr>
        <w:jc w:val="center"/>
        <w:divId w:val="77136659"/>
        <w:rPr>
          <w:rFonts w:eastAsia="Times New Roman"/>
        </w:rPr>
      </w:pPr>
      <w:r>
        <w:rPr>
          <w:rFonts w:eastAsia="Times New Roman"/>
          <w:color w:val="000000"/>
          <w:sz w:val="20"/>
          <w:szCs w:val="20"/>
        </w:rPr>
        <w:t>4</w:t>
      </w:r>
    </w:p>
    <w:p w:rsidR="00000000" w:rsidRDefault="005B0BC3">
      <w:pPr>
        <w:rPr>
          <w:rFonts w:eastAsia="Times New Roman"/>
        </w:rPr>
      </w:pPr>
      <w:r>
        <w:rPr>
          <w:rFonts w:eastAsia="Times New Roman"/>
        </w:rPr>
        <w:pict>
          <v:rect id="_x0000_i1029" style="width:0;height:1.5pt" o:hralign="center" o:hrstd="t" o:hr="t" fillcolor="#a0a0a0" stroked="f"/>
        </w:pict>
      </w:r>
    </w:p>
    <w:p w:rsidR="00000000" w:rsidRDefault="005B0BC3">
      <w:pPr>
        <w:divId w:val="1489328310"/>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jc w:val="both"/>
        <w:divId w:val="1272859178"/>
        <w:rPr>
          <w:rFonts w:eastAsia="Times New Roman"/>
        </w:rPr>
      </w:pPr>
      <w:r>
        <w:rPr>
          <w:rFonts w:eastAsia="Times New Roman"/>
          <w:b/>
          <w:bCs/>
          <w:i/>
          <w:iCs/>
          <w:color w:val="000000"/>
          <w:sz w:val="20"/>
          <w:szCs w:val="20"/>
        </w:rPr>
        <w:t>Our Organizational Structure</w:t>
      </w:r>
    </w:p>
    <w:p w:rsidR="00000000" w:rsidRDefault="005B0BC3">
      <w:pPr>
        <w:ind w:firstLine="360"/>
        <w:divId w:val="1478642945"/>
        <w:rPr>
          <w:rFonts w:eastAsia="Times New Roman"/>
        </w:rPr>
      </w:pPr>
      <w:r>
        <w:rPr>
          <w:rFonts w:eastAsia="Times New Roman"/>
          <w:color w:val="000000"/>
          <w:sz w:val="20"/>
          <w:szCs w:val="20"/>
        </w:rPr>
        <w:t>We are a holding company that operate</w:t>
      </w:r>
      <w:r>
        <w:rPr>
          <w:rFonts w:eastAsia="Times New Roman"/>
          <w:color w:val="000000"/>
          <w:sz w:val="20"/>
          <w:szCs w:val="20"/>
        </w:rPr>
        <w:t>s our business through a number of direct and indirect subsidiaries. Our two principal franchises include Equitable and AllianceBernstein. The following organizational chart presents the ownership of our principal subsidiaries as of December 31, 2021</w:t>
      </w:r>
    </w:p>
    <w:p w:rsidR="00000000" w:rsidRDefault="005B0BC3">
      <w:pPr>
        <w:divId w:val="1201432722"/>
        <w:rPr>
          <w:rFonts w:eastAsia="Times New Roman"/>
        </w:rPr>
      </w:pPr>
      <w:r>
        <w:rPr>
          <w:rFonts w:eastAsia="Times New Roman"/>
          <w:noProof/>
        </w:rPr>
        <w:drawing>
          <wp:inline distT="0" distB="0" distL="0" distR="0">
            <wp:extent cx="304800" cy="304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5B0BC3">
      <w:pPr>
        <w:divId w:val="1578516386"/>
        <w:rPr>
          <w:rFonts w:eastAsia="Times New Roman"/>
        </w:rPr>
      </w:pPr>
    </w:p>
    <w:p w:rsidR="00000000" w:rsidRDefault="005B0BC3">
      <w:pPr>
        <w:divId w:val="890775534"/>
        <w:rPr>
          <w:rFonts w:eastAsia="Times New Roman"/>
        </w:rPr>
      </w:pPr>
    </w:p>
    <w:p w:rsidR="00000000" w:rsidRDefault="005B0BC3">
      <w:pPr>
        <w:ind w:hanging="360"/>
        <w:divId w:val="1832332428"/>
        <w:rPr>
          <w:rFonts w:eastAsia="Times New Roman"/>
        </w:rPr>
      </w:pPr>
      <w:r>
        <w:rPr>
          <w:rFonts w:eastAsia="Times New Roman"/>
          <w:color w:val="000000"/>
          <w:sz w:val="18"/>
          <w:szCs w:val="18"/>
        </w:rPr>
        <w:t>(1)</w:t>
      </w:r>
      <w:r>
        <w:rPr>
          <w:rFonts w:eastAsia="Times New Roman"/>
          <w:color w:val="000000"/>
          <w:sz w:val="16"/>
          <w:szCs w:val="16"/>
        </w:rPr>
        <w:t>We own an approximate 65% economic interest in AB through various wholly-owned subsidiaries. Our economic interest consist</w:t>
      </w:r>
      <w:r>
        <w:rPr>
          <w:rFonts w:eastAsia="Times New Roman"/>
          <w:color w:val="000000"/>
          <w:sz w:val="16"/>
          <w:szCs w:val="16"/>
        </w:rPr>
        <w:t>s of approximately 63% of the AB Units, approximately 4% of the AB Holding Units (representing an approximate 1% economic interest in ABLP), and 1% of the AB Units held by the GP. Our indirect, wholly-owned subsidiary, AllianceBernstein Corporation, is the</w:t>
      </w:r>
      <w:r>
        <w:rPr>
          <w:rFonts w:eastAsia="Times New Roman"/>
          <w:color w:val="000000"/>
          <w:sz w:val="16"/>
          <w:szCs w:val="16"/>
        </w:rPr>
        <w:t xml:space="preserve"> General Partner of AB with the authority to manage and control AB, and accordingly, AB is consolidated in our financial statements. AB has been in the investment management and research business for more than 50 years. ABLP is the operating partnership fo</w:t>
      </w:r>
      <w:r>
        <w:rPr>
          <w:rFonts w:eastAsia="Times New Roman"/>
          <w:color w:val="000000"/>
          <w:sz w:val="16"/>
          <w:szCs w:val="16"/>
        </w:rPr>
        <w:t>r the AB business, and AB Holding’s activities consist of owning AB Units and engaging in related activities. AB Holding Units trade on the NYSE under the ticker symbol “AB”. AB Units do not trade publicly.</w:t>
      </w:r>
    </w:p>
    <w:p w:rsidR="00000000" w:rsidRDefault="005B0BC3">
      <w:pPr>
        <w:jc w:val="both"/>
        <w:divId w:val="281310612"/>
        <w:rPr>
          <w:rFonts w:eastAsia="Times New Roman"/>
        </w:rPr>
      </w:pPr>
      <w:r>
        <w:rPr>
          <w:rFonts w:eastAsia="Times New Roman"/>
          <w:b/>
          <w:bCs/>
          <w:i/>
          <w:iCs/>
          <w:color w:val="000000"/>
          <w:sz w:val="20"/>
          <w:szCs w:val="20"/>
        </w:rPr>
        <w:t>Venerable Transaction</w:t>
      </w:r>
    </w:p>
    <w:p w:rsidR="00000000" w:rsidRDefault="005B0BC3">
      <w:pPr>
        <w:ind w:firstLine="360"/>
        <w:divId w:val="1483085886"/>
        <w:rPr>
          <w:rFonts w:eastAsia="Times New Roman"/>
        </w:rPr>
      </w:pPr>
      <w:r>
        <w:rPr>
          <w:rFonts w:eastAsia="Times New Roman"/>
          <w:color w:val="000000"/>
          <w:sz w:val="20"/>
          <w:szCs w:val="20"/>
        </w:rPr>
        <w:t>On June 1, 2021, we completed the sale (the “ Venerable Transaction”) of CS Life, to Venerable Insurance and Annuity Company, an insurance company domiciled in Iowa (“VIAC”), pursuant to the Master Transaction Agreement, dated October 27, 2020 (the “Master</w:t>
      </w:r>
      <w:r>
        <w:rPr>
          <w:rFonts w:eastAsia="Times New Roman"/>
          <w:color w:val="000000"/>
          <w:sz w:val="20"/>
          <w:szCs w:val="20"/>
        </w:rPr>
        <w:t xml:space="preserve"> Transaction Agreement”), among the Company, VIAC and, solely with respect to Article XIV thereof, Venerable Holdings, Inc., a Delaware corporation (“Venerable”).</w:t>
      </w:r>
    </w:p>
    <w:p w:rsidR="00000000" w:rsidRDefault="005B0BC3">
      <w:pPr>
        <w:ind w:firstLine="360"/>
        <w:divId w:val="185339063"/>
        <w:rPr>
          <w:rFonts w:eastAsia="Times New Roman"/>
        </w:rPr>
      </w:pPr>
      <w:r>
        <w:rPr>
          <w:rFonts w:eastAsia="Times New Roman"/>
          <w:color w:val="000000"/>
          <w:sz w:val="20"/>
          <w:szCs w:val="20"/>
        </w:rPr>
        <w:t>Pursuant to the Master Transaction Agreement, immediately prior to the closing of the Venerab</w:t>
      </w:r>
      <w:r>
        <w:rPr>
          <w:rFonts w:eastAsia="Times New Roman"/>
          <w:color w:val="000000"/>
          <w:sz w:val="20"/>
          <w:szCs w:val="20"/>
        </w:rPr>
        <w:t>le Transaction, CS Life effected the recapture of all of the business that was ceded to CS Life Re Company, a wholly owned subsidiary of CS Life (“Reinsurance Subsidiary”), and sold 100% of the equity of the Reinsurance Subsidiary to another wholly owned s</w:t>
      </w:r>
      <w:r>
        <w:rPr>
          <w:rFonts w:eastAsia="Times New Roman"/>
          <w:color w:val="000000"/>
          <w:sz w:val="20"/>
          <w:szCs w:val="20"/>
        </w:rPr>
        <w:t>ubsidiary of the Company. Immediately following the closing of the Venerable Transaction, CS Life and Equitable Financial entered into a coinsurance and modified coinsurance agreement (the “Reinsurance Agreement”), pursuant to which Equitable Financial ced</w:t>
      </w:r>
      <w:r>
        <w:rPr>
          <w:rFonts w:eastAsia="Times New Roman"/>
          <w:color w:val="000000"/>
          <w:sz w:val="20"/>
          <w:szCs w:val="20"/>
        </w:rPr>
        <w:t>ed to CS Life, on a combined coinsurance and modified coinsurance basis, legacy variable annuity policies sold by Equitable Financial between 2006-2008 (the “Block”), comprised of non-New York “Accumulator” policies containing fixed rate Guaranteed Minimum</w:t>
      </w:r>
      <w:r>
        <w:rPr>
          <w:rFonts w:eastAsia="Times New Roman"/>
          <w:color w:val="000000"/>
          <w:sz w:val="20"/>
          <w:szCs w:val="20"/>
        </w:rPr>
        <w:t xml:space="preserve"> Income Benefit and/or Guaranteed Minimum Death Benefit guarantees. In addition, upon the completion of the Venerable Transaction, EIMG acquired an approximate 9.09% equity interest in Venerable’s parent holding company, VA Capital Company LLC. In connecti</w:t>
      </w:r>
      <w:r>
        <w:rPr>
          <w:rFonts w:eastAsia="Times New Roman"/>
          <w:color w:val="000000"/>
          <w:sz w:val="20"/>
          <w:szCs w:val="20"/>
        </w:rPr>
        <w:t xml:space="preserve">on with such investment, EIMG designated a member to the Board of Managers of VA Capital Company LLC. </w:t>
      </w:r>
    </w:p>
    <w:p w:rsidR="00000000" w:rsidRDefault="005B0BC3">
      <w:pPr>
        <w:ind w:firstLine="360"/>
        <w:divId w:val="1129472091"/>
        <w:rPr>
          <w:rFonts w:eastAsia="Times New Roman"/>
        </w:rPr>
      </w:pPr>
      <w:r>
        <w:rPr>
          <w:rFonts w:eastAsia="Times New Roman"/>
          <w:color w:val="000000"/>
          <w:sz w:val="20"/>
          <w:szCs w:val="20"/>
        </w:rPr>
        <w:t>For additional information regarding the Venerable Transaction, see “Management’s Discussion and Analysis of Financial Condition and Results of Operation</w:t>
      </w:r>
      <w:r>
        <w:rPr>
          <w:rFonts w:eastAsia="Times New Roman"/>
          <w:color w:val="000000"/>
          <w:sz w:val="20"/>
          <w:szCs w:val="20"/>
        </w:rPr>
        <w:t>s—Executive Summary—Reinsurance of Legacy Variable Annuity Block and Sale of Runoff Variable Annuity Reinsurance Entity”and Note 1 of the Notes to these Consolidated Financial Statements.</w:t>
      </w:r>
    </w:p>
    <w:p w:rsidR="00000000" w:rsidRDefault="005B0BC3">
      <w:pPr>
        <w:jc w:val="center"/>
        <w:divId w:val="603223477"/>
        <w:rPr>
          <w:rFonts w:eastAsia="Times New Roman"/>
        </w:rPr>
      </w:pPr>
      <w:r>
        <w:rPr>
          <w:rFonts w:eastAsia="Times New Roman"/>
          <w:color w:val="000000"/>
          <w:sz w:val="20"/>
          <w:szCs w:val="20"/>
        </w:rPr>
        <w:lastRenderedPageBreak/>
        <w:t>5</w:t>
      </w:r>
    </w:p>
    <w:p w:rsidR="00000000" w:rsidRDefault="005B0BC3">
      <w:pPr>
        <w:rPr>
          <w:rFonts w:eastAsia="Times New Roman"/>
        </w:rPr>
      </w:pPr>
      <w:r>
        <w:rPr>
          <w:rFonts w:eastAsia="Times New Roman"/>
        </w:rPr>
        <w:pict>
          <v:rect id="_x0000_i1031" style="width:0;height:1.5pt" o:hralign="center" o:hrstd="t" o:hr="t" fillcolor="#a0a0a0" stroked="f"/>
        </w:pict>
      </w:r>
    </w:p>
    <w:p w:rsidR="00000000" w:rsidRDefault="005B0BC3">
      <w:pPr>
        <w:divId w:val="73288249"/>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divId w:val="1044674671"/>
        <w:rPr>
          <w:rFonts w:eastAsia="Times New Roman"/>
        </w:rPr>
      </w:pPr>
      <w:r>
        <w:rPr>
          <w:rFonts w:eastAsia="Times New Roman"/>
          <w:b/>
          <w:bCs/>
          <w:color w:val="000000"/>
          <w:sz w:val="20"/>
          <w:szCs w:val="20"/>
        </w:rPr>
        <w:t xml:space="preserve">Segment Information </w:t>
      </w:r>
    </w:p>
    <w:p w:rsidR="00000000" w:rsidRDefault="005B0BC3">
      <w:pPr>
        <w:ind w:firstLine="360"/>
        <w:divId w:val="1423258604"/>
        <w:rPr>
          <w:rFonts w:eastAsia="Times New Roman"/>
        </w:rPr>
      </w:pPr>
      <w:r>
        <w:rPr>
          <w:rFonts w:eastAsia="Times New Roman"/>
          <w:color w:val="000000"/>
          <w:sz w:val="20"/>
          <w:szCs w:val="20"/>
        </w:rPr>
        <w:t>We are organized into four segments: Individual Retirement, Group Retirement, Investment Management and Research, and Protection Solutions. We report certain activities and items that are</w:t>
      </w:r>
      <w:r>
        <w:rPr>
          <w:rFonts w:eastAsia="Times New Roman"/>
          <w:color w:val="000000"/>
          <w:sz w:val="20"/>
          <w:szCs w:val="20"/>
        </w:rPr>
        <w:t xml:space="preserve"> not included in our segments in Corporate and Other.</w:t>
      </w:r>
    </w:p>
    <w:p w:rsidR="00000000" w:rsidRDefault="005B0BC3">
      <w:pPr>
        <w:ind w:hanging="360"/>
        <w:jc w:val="both"/>
        <w:divId w:val="1844271730"/>
        <w:rPr>
          <w:rFonts w:eastAsia="Times New Roman"/>
        </w:rPr>
      </w:pPr>
      <w:r>
        <w:rPr>
          <w:rFonts w:eastAsia="Times New Roman"/>
          <w:color w:val="000000"/>
          <w:sz w:val="20"/>
          <w:szCs w:val="20"/>
        </w:rPr>
        <w:t>•</w:t>
      </w:r>
      <w:r>
        <w:rPr>
          <w:rFonts w:eastAsia="Times New Roman"/>
          <w:b/>
          <w:bCs/>
          <w:color w:val="000000"/>
          <w:sz w:val="20"/>
          <w:szCs w:val="20"/>
        </w:rPr>
        <w:t>Individual Retirement</w:t>
      </w:r>
      <w:r>
        <w:rPr>
          <w:rFonts w:eastAsia="Times New Roman"/>
          <w:color w:val="000000"/>
          <w:sz w:val="20"/>
          <w:szCs w:val="20"/>
        </w:rPr>
        <w:t>—We are a leading provider of variable annuity products, which primarily meet the needs of individuals saving for retirement or seeking retirement income by allowing them to invest</w:t>
      </w:r>
      <w:r>
        <w:rPr>
          <w:rFonts w:eastAsia="Times New Roman"/>
          <w:color w:val="000000"/>
          <w:sz w:val="20"/>
          <w:szCs w:val="20"/>
        </w:rPr>
        <w:t xml:space="preserve"> in various markets through underlying investment options. </w:t>
      </w:r>
    </w:p>
    <w:p w:rsidR="00000000" w:rsidRDefault="005B0BC3">
      <w:pPr>
        <w:ind w:hanging="360"/>
        <w:jc w:val="both"/>
        <w:divId w:val="1616789490"/>
        <w:rPr>
          <w:rFonts w:eastAsia="Times New Roman"/>
        </w:rPr>
      </w:pPr>
      <w:r>
        <w:rPr>
          <w:rFonts w:eastAsia="Times New Roman"/>
          <w:color w:val="000000"/>
          <w:sz w:val="20"/>
          <w:szCs w:val="20"/>
        </w:rPr>
        <w:t>•</w:t>
      </w:r>
      <w:r>
        <w:rPr>
          <w:rFonts w:eastAsia="Times New Roman"/>
          <w:b/>
          <w:bCs/>
          <w:color w:val="000000"/>
          <w:sz w:val="20"/>
          <w:szCs w:val="20"/>
        </w:rPr>
        <w:t>Group Retirement</w:t>
      </w:r>
      <w:r>
        <w:rPr>
          <w:rFonts w:eastAsia="Times New Roman"/>
          <w:color w:val="000000"/>
          <w:sz w:val="20"/>
          <w:szCs w:val="20"/>
        </w:rPr>
        <w:t xml:space="preserve">—We offer tax-deferred investment and retirement services or products to plans sponsored by educational entities, municipalities and not-for-profit entities, as well as small and </w:t>
      </w:r>
      <w:r>
        <w:rPr>
          <w:rFonts w:eastAsia="Times New Roman"/>
          <w:color w:val="000000"/>
          <w:sz w:val="20"/>
          <w:szCs w:val="20"/>
        </w:rPr>
        <w:t xml:space="preserve">medium-sized businesses. </w:t>
      </w:r>
    </w:p>
    <w:p w:rsidR="00000000" w:rsidRDefault="005B0BC3">
      <w:pPr>
        <w:ind w:hanging="360"/>
        <w:jc w:val="both"/>
        <w:divId w:val="861630866"/>
        <w:rPr>
          <w:rFonts w:eastAsia="Times New Roman"/>
        </w:rPr>
      </w:pPr>
      <w:r>
        <w:rPr>
          <w:rFonts w:eastAsia="Times New Roman"/>
          <w:color w:val="000000"/>
          <w:sz w:val="20"/>
          <w:szCs w:val="20"/>
        </w:rPr>
        <w:t>•</w:t>
      </w:r>
      <w:r>
        <w:rPr>
          <w:rFonts w:eastAsia="Times New Roman"/>
          <w:b/>
          <w:bCs/>
          <w:color w:val="000000"/>
          <w:sz w:val="20"/>
          <w:szCs w:val="20"/>
        </w:rPr>
        <w:t>Investment Management and Research</w:t>
      </w:r>
      <w:r>
        <w:rPr>
          <w:rFonts w:eastAsia="Times New Roman"/>
          <w:color w:val="000000"/>
          <w:sz w:val="20"/>
          <w:szCs w:val="20"/>
        </w:rPr>
        <w:t xml:space="preserve">—We are a leading provider of diversified investment management, research and related services to a broad range of clients globally. </w:t>
      </w:r>
    </w:p>
    <w:p w:rsidR="00000000" w:rsidRDefault="005B0BC3">
      <w:pPr>
        <w:ind w:hanging="360"/>
        <w:divId w:val="689836756"/>
        <w:rPr>
          <w:rFonts w:eastAsia="Times New Roman"/>
        </w:rPr>
      </w:pPr>
      <w:r>
        <w:rPr>
          <w:rFonts w:eastAsia="Times New Roman"/>
          <w:color w:val="000000"/>
          <w:sz w:val="20"/>
          <w:szCs w:val="20"/>
        </w:rPr>
        <w:t>•</w:t>
      </w:r>
      <w:r>
        <w:rPr>
          <w:rFonts w:eastAsia="Times New Roman"/>
          <w:b/>
          <w:bCs/>
          <w:color w:val="000000"/>
          <w:sz w:val="20"/>
          <w:szCs w:val="20"/>
        </w:rPr>
        <w:t>Protection Solutions</w:t>
      </w:r>
      <w:r>
        <w:rPr>
          <w:rFonts w:eastAsia="Times New Roman"/>
          <w:color w:val="000000"/>
          <w:sz w:val="20"/>
          <w:szCs w:val="20"/>
        </w:rPr>
        <w:t>—We focus our life insurance products on</w:t>
      </w:r>
      <w:r>
        <w:rPr>
          <w:rFonts w:eastAsia="Times New Roman"/>
          <w:color w:val="000000"/>
          <w:sz w:val="20"/>
          <w:szCs w:val="20"/>
        </w:rPr>
        <w:t xml:space="preserve"> attractive protection segments such as VUL insurance and IUL insurance and our employee benefits business on small and medium-sized businesses. </w:t>
      </w:r>
    </w:p>
    <w:p w:rsidR="00000000" w:rsidRDefault="005B0BC3">
      <w:pPr>
        <w:ind w:firstLine="360"/>
        <w:divId w:val="1800801260"/>
        <w:rPr>
          <w:rFonts w:eastAsia="Times New Roman"/>
        </w:rPr>
      </w:pPr>
      <w:r>
        <w:rPr>
          <w:rFonts w:eastAsia="Times New Roman"/>
          <w:color w:val="000000"/>
          <w:sz w:val="20"/>
          <w:szCs w:val="20"/>
        </w:rPr>
        <w:t>For financial information on segments, see “Management’s Discussion and Analysis of Financial Condition and Re</w:t>
      </w:r>
      <w:r>
        <w:rPr>
          <w:rFonts w:eastAsia="Times New Roman"/>
          <w:color w:val="000000"/>
          <w:sz w:val="20"/>
          <w:szCs w:val="20"/>
        </w:rPr>
        <w:t>sults of Operations—Results of Operations by Segment” and Note 1 of the Notes to these Consolidated Financial Statements.</w:t>
      </w:r>
    </w:p>
    <w:p w:rsidR="00000000" w:rsidRDefault="005B0BC3">
      <w:pPr>
        <w:divId w:val="1650209552"/>
        <w:rPr>
          <w:rFonts w:eastAsia="Times New Roman"/>
        </w:rPr>
      </w:pPr>
      <w:r>
        <w:rPr>
          <w:rFonts w:eastAsia="Times New Roman"/>
          <w:b/>
          <w:bCs/>
          <w:color w:val="000000"/>
          <w:sz w:val="20"/>
          <w:szCs w:val="20"/>
        </w:rPr>
        <w:t xml:space="preserve">Individual Retirement </w:t>
      </w:r>
    </w:p>
    <w:p w:rsidR="00000000" w:rsidRDefault="005B0BC3">
      <w:pPr>
        <w:ind w:firstLine="360"/>
        <w:divId w:val="23219268"/>
        <w:rPr>
          <w:rFonts w:eastAsia="Times New Roman"/>
        </w:rPr>
      </w:pPr>
      <w:r>
        <w:rPr>
          <w:rFonts w:eastAsia="Times New Roman"/>
          <w:color w:val="000000"/>
          <w:sz w:val="20"/>
          <w:szCs w:val="20"/>
        </w:rPr>
        <w:t>Our Individual Retirement segment is a leading provider of individual variable annuity products, which are prim</w:t>
      </w:r>
      <w:r>
        <w:rPr>
          <w:rFonts w:eastAsia="Times New Roman"/>
          <w:color w:val="000000"/>
          <w:sz w:val="20"/>
          <w:szCs w:val="20"/>
        </w:rPr>
        <w:t>arily sold to affluent and high net worth individuals saving for retirement or seeking guaranteed retirement income. We have a long history of innovation, as one of the first companies, in 1968, to enter the variable annuity market, as the first company, i</w:t>
      </w:r>
      <w:r>
        <w:rPr>
          <w:rFonts w:eastAsia="Times New Roman"/>
          <w:color w:val="000000"/>
          <w:sz w:val="20"/>
          <w:szCs w:val="20"/>
        </w:rPr>
        <w:t>n 1996, to provide variable annuities with living benefits, and as the first company, in 2010, to bring to market an index-linked variable annuity product. Our Individual Retirement business is an important source of earnings and cash flow for our company,</w:t>
      </w:r>
      <w:r>
        <w:rPr>
          <w:rFonts w:eastAsia="Times New Roman"/>
          <w:color w:val="000000"/>
          <w:sz w:val="20"/>
          <w:szCs w:val="20"/>
        </w:rPr>
        <w:t xml:space="preserve"> and we believe our hedging strategy preserves a substantial portion of these cash flows across a wide range of risk scenarios. The primary sources of revenue for our Individual Retirement segment include fee revenue and investment income. </w:t>
      </w:r>
    </w:p>
    <w:p w:rsidR="00000000" w:rsidRDefault="005B0BC3">
      <w:pPr>
        <w:ind w:firstLine="360"/>
        <w:divId w:val="1510175744"/>
        <w:rPr>
          <w:rFonts w:eastAsia="Times New Roman"/>
        </w:rPr>
      </w:pPr>
      <w:r>
        <w:rPr>
          <w:rFonts w:eastAsia="Times New Roman"/>
          <w:color w:val="000000"/>
          <w:sz w:val="20"/>
          <w:szCs w:val="20"/>
        </w:rPr>
        <w:t xml:space="preserve">We principally </w:t>
      </w:r>
      <w:r>
        <w:rPr>
          <w:rFonts w:eastAsia="Times New Roman"/>
          <w:color w:val="000000"/>
          <w:sz w:val="20"/>
          <w:szCs w:val="20"/>
        </w:rPr>
        <w:t>focus on selling three variable annuity products, each of which provides policyholders with distinct benefits, features and return profiles. We continue to innovate our offering, periodically updating our product benefits and introducing new variable annui</w:t>
      </w:r>
      <w:r>
        <w:rPr>
          <w:rFonts w:eastAsia="Times New Roman"/>
          <w:color w:val="000000"/>
          <w:sz w:val="20"/>
          <w:szCs w:val="20"/>
        </w:rPr>
        <w:t>ty products to meet the evolving needs of our clients while managing the risk and return of these variable annuity products to our company. Due to our innovation, our product mix has evolved considerably since 2008. The majority of our sales in 2021 consis</w:t>
      </w:r>
      <w:r>
        <w:rPr>
          <w:rFonts w:eastAsia="Times New Roman"/>
          <w:color w:val="000000"/>
          <w:sz w:val="20"/>
          <w:szCs w:val="20"/>
        </w:rPr>
        <w:t>ted of products without variable annuity guarantee benefits features (“GMxB features”) (other than the ROP death benefit), and less than 1% of 2021 FYP was attributable to products with fixed rate guarantees. To further our growth, we plan to continue to i</w:t>
      </w:r>
      <w:r>
        <w:rPr>
          <w:rFonts w:eastAsia="Times New Roman"/>
          <w:color w:val="000000"/>
          <w:sz w:val="20"/>
          <w:szCs w:val="20"/>
        </w:rPr>
        <w:t>nnovate our product portfolio, expand and deepen our distribution channels and effectively manage risk in our business.</w:t>
      </w:r>
    </w:p>
    <w:p w:rsidR="00000000" w:rsidRDefault="005B0BC3">
      <w:pPr>
        <w:jc w:val="both"/>
        <w:divId w:val="1299725253"/>
        <w:rPr>
          <w:rFonts w:eastAsia="Times New Roman"/>
        </w:rPr>
      </w:pPr>
      <w:r>
        <w:rPr>
          <w:rFonts w:eastAsia="Times New Roman"/>
          <w:b/>
          <w:bCs/>
          <w:i/>
          <w:iCs/>
          <w:color w:val="000000"/>
          <w:sz w:val="20"/>
          <w:szCs w:val="20"/>
        </w:rPr>
        <w:t xml:space="preserve">Products </w:t>
      </w:r>
    </w:p>
    <w:p w:rsidR="00000000" w:rsidRDefault="005B0BC3">
      <w:pPr>
        <w:ind w:firstLine="360"/>
        <w:divId w:val="329257674"/>
        <w:rPr>
          <w:rFonts w:eastAsia="Times New Roman"/>
        </w:rPr>
      </w:pPr>
      <w:r>
        <w:rPr>
          <w:rFonts w:eastAsia="Times New Roman"/>
          <w:color w:val="000000"/>
          <w:sz w:val="20"/>
          <w:szCs w:val="20"/>
        </w:rPr>
        <w:t>We primarily sell three variable annuity products each providing policyholders with distinct features and return profiles. Our</w:t>
      </w:r>
      <w:r>
        <w:rPr>
          <w:rFonts w:eastAsia="Times New Roman"/>
          <w:color w:val="000000"/>
          <w:sz w:val="20"/>
          <w:szCs w:val="20"/>
        </w:rPr>
        <w:t xml:space="preserve"> current primary product offering, ordered below according to sales volume for the year ended December 31, 2021, includes: </w:t>
      </w:r>
    </w:p>
    <w:p w:rsidR="00000000" w:rsidRDefault="005B0BC3">
      <w:pPr>
        <w:ind w:hanging="360"/>
        <w:jc w:val="both"/>
        <w:divId w:val="1366901970"/>
        <w:rPr>
          <w:rFonts w:eastAsia="Times New Roman"/>
        </w:rPr>
      </w:pPr>
      <w:r>
        <w:rPr>
          <w:rFonts w:eastAsia="Times New Roman"/>
          <w:color w:val="000000"/>
          <w:sz w:val="20"/>
          <w:szCs w:val="20"/>
        </w:rPr>
        <w:t>•</w:t>
      </w:r>
      <w:r>
        <w:rPr>
          <w:rFonts w:eastAsia="Times New Roman"/>
          <w:i/>
          <w:iCs/>
          <w:color w:val="000000"/>
          <w:sz w:val="20"/>
          <w:szCs w:val="20"/>
        </w:rPr>
        <w:t>Structured Capital Strategies</w:t>
      </w:r>
      <w:r>
        <w:rPr>
          <w:rFonts w:eastAsia="Times New Roman"/>
          <w:color w:val="000000"/>
          <w:sz w:val="20"/>
          <w:szCs w:val="20"/>
        </w:rPr>
        <w:t>. Our index-linked variable annuity product allows the policyholder to invest in various investment options, whose performance is tied to one or more securities indices, commodities indices or ETF, subject to a performance cap, over a set period of time. T</w:t>
      </w:r>
      <w:r>
        <w:rPr>
          <w:rFonts w:eastAsia="Times New Roman"/>
          <w:color w:val="000000"/>
          <w:sz w:val="20"/>
          <w:szCs w:val="20"/>
        </w:rPr>
        <w:t>he risks associated with such investment options are borne entirely by the policyholder, except the portion of any negative performance that we absorb (a buffer) upon investment maturity. Prior to November 2021, this variable annuity did not offer GMxB fea</w:t>
      </w:r>
      <w:r>
        <w:rPr>
          <w:rFonts w:eastAsia="Times New Roman"/>
          <w:color w:val="000000"/>
          <w:sz w:val="20"/>
          <w:szCs w:val="20"/>
        </w:rPr>
        <w:t>tures, other than an optional return of premium death benefit that we had introduced on some versions. In November 2021, we introduced a new version of this variable annuity offering a GMxB feature.</w:t>
      </w:r>
    </w:p>
    <w:p w:rsidR="00000000" w:rsidRDefault="005B0BC3">
      <w:pPr>
        <w:ind w:hanging="360"/>
        <w:jc w:val="both"/>
        <w:divId w:val="1127120828"/>
        <w:rPr>
          <w:rFonts w:eastAsia="Times New Roman"/>
        </w:rPr>
      </w:pPr>
      <w:r>
        <w:rPr>
          <w:rFonts w:eastAsia="Times New Roman"/>
          <w:color w:val="000000"/>
          <w:sz w:val="20"/>
          <w:szCs w:val="20"/>
        </w:rPr>
        <w:t>•</w:t>
      </w:r>
      <w:r>
        <w:rPr>
          <w:rFonts w:eastAsia="Times New Roman"/>
          <w:i/>
          <w:iCs/>
          <w:color w:val="000000"/>
          <w:sz w:val="20"/>
          <w:szCs w:val="20"/>
        </w:rPr>
        <w:t>Retirement Cornerstone.</w:t>
      </w:r>
      <w:r>
        <w:rPr>
          <w:rFonts w:eastAsia="Times New Roman"/>
          <w:color w:val="000000"/>
          <w:sz w:val="20"/>
          <w:szCs w:val="20"/>
        </w:rPr>
        <w:t xml:space="preserve"> </w:t>
      </w:r>
      <w:r>
        <w:rPr>
          <w:rFonts w:eastAsia="Times New Roman"/>
          <w:color w:val="000000"/>
          <w:sz w:val="20"/>
          <w:szCs w:val="20"/>
        </w:rPr>
        <w:t>Our Retirement Cornerstone product offers two platforms: (i) RC Performance, which offers access to a broad selection of funds with annuitization benefits based solely on non-guaranteed account investment performance and (ii) RC Protection, which offers ac</w:t>
      </w:r>
      <w:r>
        <w:rPr>
          <w:rFonts w:eastAsia="Times New Roman"/>
          <w:color w:val="000000"/>
          <w:sz w:val="20"/>
          <w:szCs w:val="20"/>
        </w:rPr>
        <w:t xml:space="preserve">cess to a focused selection of funds and an optional floating-rate GMxB feature providing guaranteed income for life. </w:t>
      </w:r>
    </w:p>
    <w:p w:rsidR="00000000" w:rsidRDefault="005B0BC3">
      <w:pPr>
        <w:ind w:hanging="360"/>
        <w:jc w:val="both"/>
        <w:divId w:val="1835299821"/>
        <w:rPr>
          <w:rFonts w:eastAsia="Times New Roman"/>
        </w:rPr>
      </w:pPr>
      <w:r>
        <w:rPr>
          <w:rFonts w:eastAsia="Times New Roman"/>
          <w:color w:val="000000"/>
          <w:sz w:val="20"/>
          <w:szCs w:val="20"/>
        </w:rPr>
        <w:t>•</w:t>
      </w:r>
      <w:r>
        <w:rPr>
          <w:rFonts w:eastAsia="Times New Roman"/>
          <w:i/>
          <w:iCs/>
          <w:color w:val="000000"/>
          <w:sz w:val="20"/>
          <w:szCs w:val="20"/>
        </w:rPr>
        <w:t>Investment Edge</w:t>
      </w:r>
      <w:r>
        <w:rPr>
          <w:rFonts w:eastAsia="Times New Roman"/>
          <w:color w:val="000000"/>
          <w:sz w:val="20"/>
          <w:szCs w:val="20"/>
        </w:rPr>
        <w:t>. Our investment-only variable annuity is a wealth accumulation variable annuity that defers current taxes during accumul</w:t>
      </w:r>
      <w:r>
        <w:rPr>
          <w:rFonts w:eastAsia="Times New Roman"/>
          <w:color w:val="000000"/>
          <w:sz w:val="20"/>
          <w:szCs w:val="20"/>
        </w:rPr>
        <w:t>ation and provides tax-efficient distributions on non-qualified assets through scheduled payments over a set period of time with a portion of each payment being a return of cost basis, thus excludable from taxes.</w:t>
      </w:r>
      <w:r>
        <w:rPr>
          <w:rFonts w:eastAsia="Times New Roman"/>
          <w:i/>
          <w:iCs/>
          <w:color w:val="000000"/>
          <w:sz w:val="20"/>
          <w:szCs w:val="20"/>
        </w:rPr>
        <w:t xml:space="preserve"> </w:t>
      </w:r>
      <w:r>
        <w:rPr>
          <w:rFonts w:eastAsia="Times New Roman"/>
          <w:color w:val="000000"/>
          <w:sz w:val="20"/>
          <w:szCs w:val="20"/>
        </w:rPr>
        <w:t xml:space="preserve">In </w:t>
      </w:r>
    </w:p>
    <w:p w:rsidR="00000000" w:rsidRDefault="005B0BC3">
      <w:pPr>
        <w:jc w:val="center"/>
        <w:divId w:val="144510951"/>
        <w:rPr>
          <w:rFonts w:eastAsia="Times New Roman"/>
        </w:rPr>
      </w:pPr>
      <w:r>
        <w:rPr>
          <w:rFonts w:eastAsia="Times New Roman"/>
          <w:color w:val="000000"/>
          <w:sz w:val="20"/>
          <w:szCs w:val="20"/>
        </w:rPr>
        <w:t>6</w:t>
      </w:r>
    </w:p>
    <w:p w:rsidR="00000000" w:rsidRDefault="005B0BC3">
      <w:pPr>
        <w:rPr>
          <w:rFonts w:eastAsia="Times New Roman"/>
        </w:rPr>
      </w:pPr>
      <w:r>
        <w:rPr>
          <w:rFonts w:eastAsia="Times New Roman"/>
        </w:rPr>
        <w:pict>
          <v:rect id="_x0000_i1032" style="width:0;height:1.5pt" o:hralign="center" o:hrstd="t" o:hr="t" fillcolor="#a0a0a0" stroked="f"/>
        </w:pict>
      </w:r>
    </w:p>
    <w:p w:rsidR="00000000" w:rsidRDefault="005B0BC3">
      <w:pPr>
        <w:divId w:val="367994463"/>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jc w:val="both"/>
        <w:divId w:val="2071532091"/>
        <w:rPr>
          <w:rFonts w:eastAsia="Times New Roman"/>
        </w:rPr>
      </w:pPr>
      <w:r>
        <w:rPr>
          <w:rFonts w:eastAsia="Times New Roman"/>
          <w:color w:val="000000"/>
          <w:sz w:val="20"/>
          <w:szCs w:val="20"/>
        </w:rPr>
        <w:t>2021, we introduced an optional SIO feature that allows the policyholder to invest in various investment options whose performance is tied to one or more securities indices, subj</w:t>
      </w:r>
      <w:r>
        <w:rPr>
          <w:rFonts w:eastAsia="Times New Roman"/>
          <w:color w:val="000000"/>
          <w:sz w:val="20"/>
          <w:szCs w:val="20"/>
        </w:rPr>
        <w:t>ect to a performance cap, with some downside protection over a set period of time. This optional SIO feature leverages our innovative SCS offering.</w:t>
      </w:r>
      <w:r>
        <w:rPr>
          <w:rFonts w:eastAsia="Times New Roman"/>
          <w:i/>
          <w:iCs/>
          <w:color w:val="000000"/>
          <w:sz w:val="20"/>
          <w:szCs w:val="20"/>
        </w:rPr>
        <w:t xml:space="preserve"> </w:t>
      </w:r>
      <w:r>
        <w:rPr>
          <w:rFonts w:eastAsia="Times New Roman"/>
          <w:color w:val="000000"/>
          <w:sz w:val="20"/>
          <w:szCs w:val="20"/>
        </w:rPr>
        <w:t>Investment Edge does not offer any GMxB feature other than an optional return of premium death benefit.</w:t>
      </w:r>
    </w:p>
    <w:p w:rsidR="00000000" w:rsidRDefault="005B0BC3">
      <w:pPr>
        <w:ind w:hanging="360"/>
        <w:divId w:val="1630354406"/>
        <w:rPr>
          <w:rFonts w:eastAsia="Times New Roman"/>
        </w:rPr>
      </w:pPr>
      <w:r>
        <w:rPr>
          <w:rFonts w:eastAsia="Times New Roman"/>
          <w:i/>
          <w:iCs/>
          <w:color w:val="000000"/>
          <w:sz w:val="20"/>
          <w:szCs w:val="20"/>
        </w:rPr>
        <w:t>•Oth</w:t>
      </w:r>
      <w:r>
        <w:rPr>
          <w:rFonts w:eastAsia="Times New Roman"/>
          <w:i/>
          <w:iCs/>
          <w:color w:val="000000"/>
          <w:sz w:val="20"/>
          <w:szCs w:val="20"/>
        </w:rPr>
        <w:t xml:space="preserve">er products. </w:t>
      </w:r>
      <w:r>
        <w:rPr>
          <w:rFonts w:eastAsia="Times New Roman"/>
          <w:color w:val="000000"/>
          <w:sz w:val="20"/>
          <w:szCs w:val="20"/>
        </w:rPr>
        <w:t xml:space="preserve">We offer other products which offer optional GMxB benefits. These other products do not contribute significantly to our sales. </w:t>
      </w:r>
    </w:p>
    <w:p w:rsidR="00000000" w:rsidRDefault="005B0BC3">
      <w:pPr>
        <w:ind w:firstLine="360"/>
        <w:divId w:val="2083599761"/>
        <w:rPr>
          <w:rFonts w:eastAsia="Times New Roman"/>
        </w:rPr>
      </w:pPr>
      <w:r>
        <w:rPr>
          <w:rFonts w:eastAsia="Times New Roman"/>
          <w:color w:val="000000"/>
          <w:sz w:val="20"/>
          <w:szCs w:val="20"/>
        </w:rPr>
        <w:t> Our variable annuity portfolio is mature. Since 2008, we shifted our business from selling variable annuity produc</w:t>
      </w:r>
      <w:r>
        <w:rPr>
          <w:rFonts w:eastAsia="Times New Roman"/>
          <w:color w:val="000000"/>
          <w:sz w:val="20"/>
          <w:szCs w:val="20"/>
        </w:rPr>
        <w:t xml:space="preserve">ts with GMxB features with fixed roll-up rates, to predominantly (i) variable annuity products without GMxB features (other than the return of premium death benefit in some cases) and (ii) variable annuity products with GMxB features with floating roll-up </w:t>
      </w:r>
      <w:r>
        <w:rPr>
          <w:rFonts w:eastAsia="Times New Roman"/>
          <w:color w:val="000000"/>
          <w:sz w:val="20"/>
          <w:szCs w:val="20"/>
        </w:rPr>
        <w:t>rates. Based on FYP, we have shifted our portfolio from 90% fixed rate GMxB products in 2008 to 94% floating rate GMxB products and non-GMxB products in 2021. In addition, AV has shifted from 77% Fixed Rate GMxB products in 2008 to 27% in 2021.</w:t>
      </w:r>
    </w:p>
    <w:tbl>
      <w:tblPr>
        <w:tblW w:w="4970" w:type="pct"/>
        <w:jc w:val="center"/>
        <w:tblCellMar>
          <w:top w:w="15" w:type="dxa"/>
          <w:left w:w="15" w:type="dxa"/>
          <w:bottom w:w="15" w:type="dxa"/>
          <w:right w:w="15" w:type="dxa"/>
        </w:tblCellMar>
        <w:tblLook w:val="04A0" w:firstRow="1" w:lastRow="0" w:firstColumn="1" w:lastColumn="0" w:noHBand="0" w:noVBand="1"/>
      </w:tblPr>
      <w:tblGrid>
        <w:gridCol w:w="68"/>
        <w:gridCol w:w="1545"/>
        <w:gridCol w:w="37"/>
        <w:gridCol w:w="69"/>
        <w:gridCol w:w="1546"/>
        <w:gridCol w:w="37"/>
        <w:gridCol w:w="69"/>
        <w:gridCol w:w="1546"/>
        <w:gridCol w:w="37"/>
        <w:gridCol w:w="69"/>
        <w:gridCol w:w="1546"/>
        <w:gridCol w:w="36"/>
        <w:gridCol w:w="69"/>
        <w:gridCol w:w="1546"/>
        <w:gridCol w:w="36"/>
      </w:tblGrid>
      <w:tr w:rsidR="00000000">
        <w:trPr>
          <w:divId w:val="1076317623"/>
          <w:jc w:val="center"/>
        </w:trPr>
        <w:tc>
          <w:tcPr>
            <w:tcW w:w="50" w:type="pct"/>
            <w:vAlign w:val="center"/>
            <w:hideMark/>
          </w:tcPr>
          <w:p w:rsidR="00000000" w:rsidRDefault="005B0BC3">
            <w:pPr>
              <w:ind w:firstLine="360"/>
              <w:rPr>
                <w:rFonts w:eastAsia="Times New Roman"/>
              </w:rPr>
            </w:pPr>
          </w:p>
        </w:tc>
        <w:tc>
          <w:tcPr>
            <w:tcW w:w="94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94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94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94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94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076317623"/>
          <w:jc w:val="center"/>
        </w:trPr>
        <w:tc>
          <w:tcPr>
            <w:tcW w:w="0" w:type="auto"/>
            <w:gridSpan w:val="15"/>
            <w:shd w:val="clear" w:color="auto" w:fill="CCEE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20"/>
                <w:szCs w:val="20"/>
              </w:rPr>
              <w:t>Evolution of Variable Annuity FYP</w:t>
            </w:r>
          </w:p>
        </w:tc>
      </w:tr>
    </w:tbl>
    <w:p w:rsidR="00000000" w:rsidRDefault="005B0BC3">
      <w:pPr>
        <w:spacing w:after="240"/>
        <w:ind w:firstLine="360"/>
        <w:jc w:val="center"/>
        <w:divId w:val="1925453401"/>
        <w:rPr>
          <w:rFonts w:eastAsia="Times New Roman"/>
        </w:rPr>
      </w:pPr>
      <w:r>
        <w:rPr>
          <w:rFonts w:eastAsia="Times New Roman"/>
          <w:noProof/>
        </w:rPr>
        <w:drawing>
          <wp:inline distT="0" distB="0" distL="0" distR="0">
            <wp:extent cx="304800" cy="304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noProof/>
        </w:rPr>
        <w:drawing>
          <wp:inline distT="0" distB="0" distL="0" distR="0">
            <wp:extent cx="30480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5B0BC3">
      <w:pPr>
        <w:ind w:firstLine="360"/>
        <w:divId w:val="1798907586"/>
        <w:rPr>
          <w:rFonts w:eastAsia="Times New Roman"/>
        </w:rPr>
      </w:pPr>
      <w:r>
        <w:rPr>
          <w:rFonts w:eastAsia="Times New Roman"/>
          <w:color w:val="000000"/>
          <w:sz w:val="20"/>
          <w:szCs w:val="20"/>
        </w:rPr>
        <w:t>The following tables present the relative</w:t>
      </w:r>
      <w:r>
        <w:rPr>
          <w:rFonts w:eastAsia="Times New Roman"/>
          <w:color w:val="000000"/>
          <w:sz w:val="20"/>
          <w:szCs w:val="20"/>
        </w:rPr>
        <w:t xml:space="preserve"> contribution to FYP of each of the above products and GMxB features for the years ended December 31, 2021, 2020 and 2019.</w:t>
      </w:r>
    </w:p>
    <w:tbl>
      <w:tblPr>
        <w:tblW w:w="5000" w:type="pct"/>
        <w:tblCellMar>
          <w:top w:w="15" w:type="dxa"/>
          <w:left w:w="15" w:type="dxa"/>
          <w:bottom w:w="15" w:type="dxa"/>
          <w:right w:w="15" w:type="dxa"/>
        </w:tblCellMar>
        <w:tblLook w:val="04A0" w:firstRow="1" w:lastRow="0" w:firstColumn="1" w:lastColumn="0" w:noHBand="0" w:noVBand="1"/>
      </w:tblPr>
      <w:tblGrid>
        <w:gridCol w:w="38"/>
        <w:gridCol w:w="4657"/>
        <w:gridCol w:w="37"/>
        <w:gridCol w:w="120"/>
        <w:gridCol w:w="989"/>
        <w:gridCol w:w="36"/>
        <w:gridCol w:w="36"/>
        <w:gridCol w:w="36"/>
        <w:gridCol w:w="36"/>
        <w:gridCol w:w="120"/>
        <w:gridCol w:w="950"/>
        <w:gridCol w:w="36"/>
        <w:gridCol w:w="36"/>
        <w:gridCol w:w="36"/>
        <w:gridCol w:w="36"/>
        <w:gridCol w:w="120"/>
        <w:gridCol w:w="951"/>
        <w:gridCol w:w="36"/>
      </w:tblGrid>
      <w:tr w:rsidR="00000000">
        <w:trPr>
          <w:divId w:val="2011172842"/>
        </w:trPr>
        <w:tc>
          <w:tcPr>
            <w:tcW w:w="50" w:type="pct"/>
            <w:vAlign w:val="center"/>
            <w:hideMark/>
          </w:tcPr>
          <w:p w:rsidR="00000000" w:rsidRDefault="005B0BC3">
            <w:pPr>
              <w:ind w:firstLine="360"/>
              <w:rPr>
                <w:rFonts w:eastAsia="Times New Roman"/>
              </w:rPr>
            </w:pPr>
          </w:p>
        </w:tc>
        <w:tc>
          <w:tcPr>
            <w:tcW w:w="283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2011172842"/>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r>
      <w:tr w:rsidR="00000000">
        <w:trPr>
          <w:divId w:val="2011172842"/>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2011172842"/>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2011172842"/>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FYP by Product</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2011172842"/>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SCS</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7,627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4,891 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5,138 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011172842"/>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Retirement Cornerstone</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1,951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1,506 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2,156 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011172842"/>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Investment Edge</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1,048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448 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548 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011172842"/>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328 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349 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011172842"/>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FYP</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10,983</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7,173 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8,191 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divId w:val="74403309"/>
        <w:rPr>
          <w:rFonts w:eastAsia="Times New Roman"/>
        </w:rPr>
      </w:pPr>
    </w:p>
    <w:p w:rsidR="00000000" w:rsidRDefault="005B0BC3">
      <w:pPr>
        <w:jc w:val="center"/>
        <w:divId w:val="220095389"/>
        <w:rPr>
          <w:rFonts w:eastAsia="Times New Roman"/>
        </w:rPr>
      </w:pPr>
      <w:r>
        <w:rPr>
          <w:rFonts w:eastAsia="Times New Roman"/>
          <w:color w:val="000000"/>
          <w:sz w:val="20"/>
          <w:szCs w:val="20"/>
        </w:rPr>
        <w:t>7</w:t>
      </w:r>
    </w:p>
    <w:p w:rsidR="00000000" w:rsidRDefault="005B0BC3">
      <w:pPr>
        <w:rPr>
          <w:rFonts w:eastAsia="Times New Roman"/>
        </w:rPr>
      </w:pPr>
      <w:r>
        <w:rPr>
          <w:rFonts w:eastAsia="Times New Roman"/>
        </w:rPr>
        <w:pict>
          <v:rect id="_x0000_i1035" style="width:0;height:1.5pt" o:hralign="center" o:hrstd="t" o:hr="t" fillcolor="#a0a0a0" stroked="f"/>
        </w:pict>
      </w:r>
    </w:p>
    <w:p w:rsidR="00000000" w:rsidRDefault="005B0BC3">
      <w:pPr>
        <w:divId w:val="160121226"/>
        <w:rPr>
          <w:rFonts w:eastAsia="Times New Roman"/>
        </w:rPr>
      </w:pPr>
      <w:hyperlink w:anchor="i2ac35847634046b3a89f93d9b422e8f5_421" w:history="1">
        <w:r>
          <w:rPr>
            <w:rStyle w:val="a3"/>
            <w:rFonts w:eastAsia="Times New Roman"/>
            <w:b/>
            <w:bCs/>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7"/>
        <w:gridCol w:w="4658"/>
        <w:gridCol w:w="36"/>
        <w:gridCol w:w="120"/>
        <w:gridCol w:w="990"/>
        <w:gridCol w:w="36"/>
        <w:gridCol w:w="36"/>
        <w:gridCol w:w="36"/>
        <w:gridCol w:w="36"/>
        <w:gridCol w:w="120"/>
        <w:gridCol w:w="950"/>
        <w:gridCol w:w="36"/>
        <w:gridCol w:w="36"/>
        <w:gridCol w:w="36"/>
        <w:gridCol w:w="36"/>
        <w:gridCol w:w="120"/>
        <w:gridCol w:w="951"/>
        <w:gridCol w:w="36"/>
      </w:tblGrid>
      <w:tr w:rsidR="00000000">
        <w:trPr>
          <w:divId w:val="1029644517"/>
        </w:trPr>
        <w:tc>
          <w:tcPr>
            <w:tcW w:w="50" w:type="pct"/>
            <w:vAlign w:val="center"/>
            <w:hideMark/>
          </w:tcPr>
          <w:p w:rsidR="00000000" w:rsidRDefault="005B0BC3">
            <w:pPr>
              <w:rPr>
                <w:rFonts w:eastAsia="Times New Roman"/>
              </w:rPr>
            </w:pPr>
          </w:p>
        </w:tc>
        <w:tc>
          <w:tcPr>
            <w:tcW w:w="283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029644517"/>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r>
      <w:tr w:rsidR="00000000">
        <w:trPr>
          <w:divId w:val="1029644517"/>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1029644517"/>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029644517"/>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FYP by Guarantee Feature</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029644517"/>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Non-GMxB</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8,648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5,342 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5,728 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029644517"/>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ROP Death Benefit Only</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532 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551 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029644517"/>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Non-GMxB &amp; ROP Death Benefit Only</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9,351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5,874 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6,279 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029644517"/>
          <w:trHeight w:val="280"/>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029644517"/>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Floating Rate GMxB</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1,623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1,278 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1,864 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029644517"/>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Fixed Rate GMxB</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029644517"/>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GMxB</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1,626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1,299 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1,912 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029644517"/>
          <w:trHeight w:val="280"/>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029644517"/>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029644517"/>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FYP</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10,983</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7,173 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8,191 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divId w:val="37246511"/>
        <w:rPr>
          <w:rFonts w:eastAsia="Times New Roman"/>
        </w:rPr>
      </w:pPr>
    </w:p>
    <w:p w:rsidR="00000000" w:rsidRDefault="005B0BC3">
      <w:pPr>
        <w:ind w:firstLine="360"/>
        <w:divId w:val="2063673824"/>
        <w:rPr>
          <w:rFonts w:eastAsia="Times New Roman"/>
        </w:rPr>
      </w:pPr>
      <w:r>
        <w:rPr>
          <w:rFonts w:eastAsia="Times New Roman"/>
          <w:color w:val="000000"/>
          <w:sz w:val="20"/>
          <w:szCs w:val="20"/>
        </w:rPr>
        <w:t>Our sales for the years ended December </w:t>
      </w:r>
      <w:r>
        <w:rPr>
          <w:rFonts w:eastAsia="Times New Roman"/>
          <w:color w:val="000000"/>
          <w:sz w:val="20"/>
          <w:szCs w:val="20"/>
        </w:rPr>
        <w:t xml:space="preserve">31, 2021, 2020 and 2019 further demonstrate the result of our product sales evolution, as 79%, 74% and 70% of FYP, respectively, came from variable annuity products that do not contain GMxB riders, and of the GMxB riders sold, they overwhelmingly featured </w:t>
      </w:r>
      <w:r>
        <w:rPr>
          <w:rFonts w:eastAsia="Times New Roman"/>
          <w:color w:val="000000"/>
          <w:sz w:val="20"/>
          <w:szCs w:val="20"/>
        </w:rPr>
        <w:t xml:space="preserve">floating, as opposed to fixed, roll-up rates. </w:t>
      </w:r>
    </w:p>
    <w:p w:rsidR="00000000" w:rsidRDefault="005B0BC3">
      <w:pPr>
        <w:ind w:firstLine="360"/>
        <w:divId w:val="348919146"/>
        <w:rPr>
          <w:rFonts w:eastAsia="Times New Roman"/>
        </w:rPr>
      </w:pPr>
      <w:r>
        <w:rPr>
          <w:rFonts w:eastAsia="Times New Roman"/>
          <w:color w:val="000000"/>
          <w:sz w:val="20"/>
          <w:szCs w:val="20"/>
        </w:rPr>
        <w:t xml:space="preserve">Our Individual Retirement segment works with EIMG to identify and include appropriate underlying investment options in its products, as well as to control the costs of these options and increase profitability </w:t>
      </w:r>
      <w:r>
        <w:rPr>
          <w:rFonts w:eastAsia="Times New Roman"/>
          <w:color w:val="000000"/>
          <w:sz w:val="20"/>
          <w:szCs w:val="20"/>
        </w:rPr>
        <w:t xml:space="preserve">of the products. For a discussion of EIMG, see below “—Equitable Investment Management.” </w:t>
      </w:r>
    </w:p>
    <w:p w:rsidR="00000000" w:rsidRDefault="005B0BC3">
      <w:pPr>
        <w:jc w:val="both"/>
        <w:divId w:val="157381131"/>
        <w:rPr>
          <w:rFonts w:eastAsia="Times New Roman"/>
        </w:rPr>
      </w:pPr>
      <w:r>
        <w:rPr>
          <w:rFonts w:eastAsia="Times New Roman"/>
          <w:b/>
          <w:bCs/>
          <w:i/>
          <w:iCs/>
          <w:color w:val="000000"/>
          <w:sz w:val="20"/>
          <w:szCs w:val="20"/>
        </w:rPr>
        <w:t xml:space="preserve">Variable Annuities Policy Feature Overview </w:t>
      </w:r>
    </w:p>
    <w:p w:rsidR="00000000" w:rsidRDefault="005B0BC3">
      <w:pPr>
        <w:ind w:firstLine="360"/>
        <w:divId w:val="925303022"/>
        <w:rPr>
          <w:rFonts w:eastAsia="Times New Roman"/>
        </w:rPr>
      </w:pPr>
      <w:r>
        <w:rPr>
          <w:rFonts w:eastAsia="Times New Roman"/>
          <w:color w:val="000000"/>
          <w:sz w:val="20"/>
          <w:szCs w:val="20"/>
        </w:rPr>
        <w:t>Variable annuities allow the policyholder to make deposits into accounts offering variable investment options. For deposit</w:t>
      </w:r>
      <w:r>
        <w:rPr>
          <w:rFonts w:eastAsia="Times New Roman"/>
          <w:color w:val="000000"/>
          <w:sz w:val="20"/>
          <w:szCs w:val="20"/>
        </w:rPr>
        <w:t>s allocated to Separate Accounts, the risks associated with the investment options are borne entirely by the policyholder, except where the policyholder elects GMxB features in certain variable annuities, for which additional fees are charged. Additionally</w:t>
      </w:r>
      <w:r>
        <w:rPr>
          <w:rFonts w:eastAsia="Times New Roman"/>
          <w:color w:val="000000"/>
          <w:sz w:val="20"/>
          <w:szCs w:val="20"/>
        </w:rPr>
        <w:t>, certain variable annuity products permit policyholders to allocate a portion of their account to investment options backed by the General Account and are credited with interest rates that we determine, subject to certain limitations. As of December 31, 2</w:t>
      </w:r>
      <w:r>
        <w:rPr>
          <w:rFonts w:eastAsia="Times New Roman"/>
          <w:color w:val="000000"/>
          <w:sz w:val="20"/>
          <w:szCs w:val="20"/>
        </w:rPr>
        <w:t xml:space="preserve">021, the total AV of our variable annuity products was $111.9 billion, consisting of $74.2 billion of Separate Accounts AV and $37.7 billion of General Account AV. </w:t>
      </w:r>
    </w:p>
    <w:p w:rsidR="00000000" w:rsidRDefault="005B0BC3">
      <w:pPr>
        <w:ind w:firstLine="360"/>
        <w:divId w:val="787703275"/>
        <w:rPr>
          <w:rFonts w:eastAsia="Times New Roman"/>
        </w:rPr>
      </w:pPr>
      <w:r>
        <w:rPr>
          <w:rFonts w:eastAsia="Times New Roman"/>
          <w:color w:val="000000"/>
          <w:sz w:val="20"/>
          <w:szCs w:val="20"/>
        </w:rPr>
        <w:t>Certain variable annuity products offer one or more GMxB features in addition to the standa</w:t>
      </w:r>
      <w:r>
        <w:rPr>
          <w:rFonts w:eastAsia="Times New Roman"/>
          <w:color w:val="000000"/>
          <w:sz w:val="20"/>
          <w:szCs w:val="20"/>
        </w:rPr>
        <w:t>rd return of premium death benefit guarantee. GMxB features (other than the return of premium death benefit guarantee) provide the policyholder a minimum return based on their initial deposit adjusted for withdrawals (</w:t>
      </w:r>
      <w:r>
        <w:rPr>
          <w:rFonts w:eastAsia="Times New Roman"/>
          <w:i/>
          <w:iCs/>
          <w:color w:val="000000"/>
          <w:sz w:val="20"/>
          <w:szCs w:val="20"/>
        </w:rPr>
        <w:t>i.e.</w:t>
      </w:r>
      <w:r>
        <w:rPr>
          <w:rFonts w:eastAsia="Times New Roman"/>
          <w:color w:val="000000"/>
          <w:sz w:val="20"/>
          <w:szCs w:val="20"/>
        </w:rPr>
        <w:t>, the benefit base), thus guarding</w:t>
      </w:r>
      <w:r>
        <w:rPr>
          <w:rFonts w:eastAsia="Times New Roman"/>
          <w:color w:val="000000"/>
          <w:sz w:val="20"/>
          <w:szCs w:val="20"/>
        </w:rPr>
        <w:t xml:space="preserve"> against a downturn in the markets. The rate of this return may increase the specified benefit base at a guaranteed minimum rate (</w:t>
      </w:r>
      <w:r>
        <w:rPr>
          <w:rFonts w:eastAsia="Times New Roman"/>
          <w:i/>
          <w:iCs/>
          <w:color w:val="000000"/>
          <w:sz w:val="20"/>
          <w:szCs w:val="20"/>
        </w:rPr>
        <w:t>i.e.</w:t>
      </w:r>
      <w:r>
        <w:rPr>
          <w:rFonts w:eastAsia="Times New Roman"/>
          <w:color w:val="000000"/>
          <w:sz w:val="20"/>
          <w:szCs w:val="20"/>
        </w:rPr>
        <w:t>, a fixed roll-up rate) or may increase the benefit base at a rate tied to interest rates (</w:t>
      </w:r>
      <w:r>
        <w:rPr>
          <w:rFonts w:eastAsia="Times New Roman"/>
          <w:i/>
          <w:iCs/>
          <w:color w:val="000000"/>
          <w:sz w:val="20"/>
          <w:szCs w:val="20"/>
        </w:rPr>
        <w:t>i.e.</w:t>
      </w:r>
      <w:r>
        <w:rPr>
          <w:rFonts w:eastAsia="Times New Roman"/>
          <w:color w:val="000000"/>
          <w:sz w:val="20"/>
          <w:szCs w:val="20"/>
        </w:rPr>
        <w:t>, a floating roll-up rate).</w:t>
      </w:r>
      <w:r>
        <w:rPr>
          <w:rFonts w:eastAsia="Times New Roman"/>
          <w:color w:val="000000"/>
          <w:sz w:val="20"/>
          <w:szCs w:val="20"/>
        </w:rPr>
        <w:t xml:space="preserve"> GMxB riders must be chosen by the policyholder no later than at the issuance of the contract. </w:t>
      </w:r>
    </w:p>
    <w:p w:rsidR="00000000" w:rsidRDefault="005B0BC3">
      <w:pPr>
        <w:ind w:firstLine="360"/>
        <w:divId w:val="488983359"/>
        <w:rPr>
          <w:rFonts w:eastAsia="Times New Roman"/>
        </w:rPr>
      </w:pPr>
      <w:r>
        <w:rPr>
          <w:rFonts w:eastAsia="Times New Roman"/>
          <w:color w:val="000000"/>
          <w:sz w:val="20"/>
          <w:szCs w:val="20"/>
        </w:rPr>
        <w:t>The following table presents our variable annuity AV by GMxB feature for our variable annuity business in our Individual Retirement segment as of December 31, 2</w:t>
      </w:r>
      <w:r>
        <w:rPr>
          <w:rFonts w:eastAsia="Times New Roman"/>
          <w:color w:val="000000"/>
          <w:sz w:val="20"/>
          <w:szCs w:val="20"/>
        </w:rPr>
        <w:t>021, 2020 and 2019:</w:t>
      </w:r>
    </w:p>
    <w:tbl>
      <w:tblPr>
        <w:tblW w:w="4978" w:type="pct"/>
        <w:jc w:val="center"/>
        <w:tblCellMar>
          <w:top w:w="15" w:type="dxa"/>
          <w:left w:w="15" w:type="dxa"/>
          <w:bottom w:w="15" w:type="dxa"/>
          <w:right w:w="15" w:type="dxa"/>
        </w:tblCellMar>
        <w:tblLook w:val="04A0" w:firstRow="1" w:lastRow="0" w:firstColumn="1" w:lastColumn="0" w:noHBand="0" w:noVBand="1"/>
      </w:tblPr>
      <w:tblGrid>
        <w:gridCol w:w="38"/>
        <w:gridCol w:w="4619"/>
        <w:gridCol w:w="37"/>
        <w:gridCol w:w="120"/>
        <w:gridCol w:w="991"/>
        <w:gridCol w:w="36"/>
        <w:gridCol w:w="36"/>
        <w:gridCol w:w="36"/>
        <w:gridCol w:w="36"/>
        <w:gridCol w:w="120"/>
        <w:gridCol w:w="950"/>
        <w:gridCol w:w="36"/>
        <w:gridCol w:w="36"/>
        <w:gridCol w:w="36"/>
        <w:gridCol w:w="36"/>
        <w:gridCol w:w="120"/>
        <w:gridCol w:w="950"/>
        <w:gridCol w:w="36"/>
      </w:tblGrid>
      <w:tr w:rsidR="00000000">
        <w:trPr>
          <w:divId w:val="2131781507"/>
          <w:jc w:val="center"/>
        </w:trPr>
        <w:tc>
          <w:tcPr>
            <w:tcW w:w="50" w:type="pct"/>
            <w:vAlign w:val="center"/>
            <w:hideMark/>
          </w:tcPr>
          <w:p w:rsidR="00000000" w:rsidRDefault="005B0BC3">
            <w:pPr>
              <w:ind w:firstLine="360"/>
              <w:rPr>
                <w:rFonts w:eastAsia="Times New Roman"/>
              </w:rPr>
            </w:pPr>
          </w:p>
        </w:tc>
        <w:tc>
          <w:tcPr>
            <w:tcW w:w="282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2131781507"/>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December 31,</w:t>
            </w:r>
          </w:p>
        </w:tc>
      </w:tr>
      <w:tr w:rsidR="00000000">
        <w:trPr>
          <w:divId w:val="2131781507"/>
          <w:jc w:val="center"/>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2131781507"/>
          <w:jc w:val="center"/>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2131781507"/>
          <w:jc w:val="center"/>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Account Value</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2131781507"/>
          <w:jc w:val="center"/>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Non-GMxB</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43,843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36,162 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30,694 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131781507"/>
          <w:jc w:val="center"/>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ROP Death Benefit Only (1)</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11,438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10,438 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9,620 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131781507"/>
          <w:jc w:val="center"/>
        </w:trPr>
        <w:tc>
          <w:tcPr>
            <w:tcW w:w="0" w:type="auto"/>
            <w:gridSpan w:val="3"/>
            <w:shd w:val="clear" w:color="auto" w:fill="CCEE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Non-GMxB &amp; ROP Death Benefit Only</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55,281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46,600 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40,314 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131781507"/>
          <w:jc w:val="center"/>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Floating Rate GMxB</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26,486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25,168 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23,891 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131781507"/>
          <w:jc w:val="center"/>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Fixed Rate GMxB (1)</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30,137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45,622 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44,717 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131781507"/>
          <w:jc w:val="center"/>
        </w:trPr>
        <w:tc>
          <w:tcPr>
            <w:tcW w:w="0" w:type="auto"/>
            <w:gridSpan w:val="3"/>
            <w:shd w:val="clear" w:color="auto" w:fill="FFFF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Total Variable Annuity AV</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111,904</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117,390 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108,922 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jc w:val="center"/>
        <w:divId w:val="631446635"/>
        <w:rPr>
          <w:rFonts w:eastAsia="Times New Roman"/>
        </w:rPr>
      </w:pPr>
      <w:r>
        <w:rPr>
          <w:rFonts w:eastAsia="Times New Roman"/>
          <w:color w:val="000000"/>
          <w:sz w:val="20"/>
          <w:szCs w:val="20"/>
        </w:rPr>
        <w:t>8</w:t>
      </w:r>
    </w:p>
    <w:p w:rsidR="00000000" w:rsidRDefault="005B0BC3">
      <w:pPr>
        <w:rPr>
          <w:rFonts w:eastAsia="Times New Roman"/>
        </w:rPr>
      </w:pPr>
      <w:r>
        <w:rPr>
          <w:rFonts w:eastAsia="Times New Roman"/>
        </w:rPr>
        <w:pict>
          <v:rect id="_x0000_i1036" style="width:0;height:1.5pt" o:hralign="center" o:hrstd="t" o:hr="t" fillcolor="#a0a0a0" stroked="f"/>
        </w:pict>
      </w:r>
    </w:p>
    <w:p w:rsidR="00000000" w:rsidRDefault="005B0BC3">
      <w:pPr>
        <w:divId w:val="397291530"/>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ind w:hanging="360"/>
        <w:divId w:val="762071525"/>
        <w:rPr>
          <w:rFonts w:eastAsia="Times New Roman"/>
        </w:rPr>
      </w:pPr>
      <w:r>
        <w:rPr>
          <w:rFonts w:eastAsia="Times New Roman"/>
          <w:color w:val="000000"/>
          <w:sz w:val="18"/>
          <w:szCs w:val="18"/>
        </w:rPr>
        <w:t xml:space="preserve">(1) AV is net of amounts ceded to Venerable during 2021. See Note 1 </w:t>
      </w:r>
      <w:r>
        <w:rPr>
          <w:rFonts w:eastAsia="Times New Roman"/>
          <w:color w:val="000000"/>
          <w:sz w:val="18"/>
          <w:szCs w:val="18"/>
        </w:rPr>
        <w:t>of the Notes to these Consolidated Financial Statements.</w:t>
      </w:r>
    </w:p>
    <w:p w:rsidR="00000000" w:rsidRDefault="005B0BC3">
      <w:pPr>
        <w:ind w:firstLine="360"/>
        <w:divId w:val="2093701010"/>
        <w:rPr>
          <w:rFonts w:eastAsia="Times New Roman"/>
        </w:rPr>
      </w:pPr>
      <w:r>
        <w:rPr>
          <w:rFonts w:eastAsia="Times New Roman"/>
          <w:color w:val="000000"/>
          <w:sz w:val="20"/>
          <w:szCs w:val="20"/>
        </w:rPr>
        <w:t>The following table presents our variable annuity benefit base by GMxB feature for the Individual Retirement segment as of December 31, 2021, 2020 and 2019. Many of our variable annuity contracts off</w:t>
      </w:r>
      <w:r>
        <w:rPr>
          <w:rFonts w:eastAsia="Times New Roman"/>
          <w:color w:val="000000"/>
          <w:sz w:val="20"/>
          <w:szCs w:val="20"/>
        </w:rPr>
        <w:t>er more than one type of GMxB feature such that the amounts listed below are not mutually exclusive. Thus, the benefit base cannot be totaled.</w:t>
      </w:r>
    </w:p>
    <w:tbl>
      <w:tblPr>
        <w:tblW w:w="4978" w:type="pct"/>
        <w:jc w:val="center"/>
        <w:tblCellMar>
          <w:top w:w="15" w:type="dxa"/>
          <w:left w:w="15" w:type="dxa"/>
          <w:bottom w:w="15" w:type="dxa"/>
          <w:right w:w="15" w:type="dxa"/>
        </w:tblCellMar>
        <w:tblLook w:val="04A0" w:firstRow="1" w:lastRow="0" w:firstColumn="1" w:lastColumn="0" w:noHBand="0" w:noVBand="1"/>
      </w:tblPr>
      <w:tblGrid>
        <w:gridCol w:w="38"/>
        <w:gridCol w:w="4619"/>
        <w:gridCol w:w="37"/>
        <w:gridCol w:w="120"/>
        <w:gridCol w:w="991"/>
        <w:gridCol w:w="36"/>
        <w:gridCol w:w="36"/>
        <w:gridCol w:w="36"/>
        <w:gridCol w:w="36"/>
        <w:gridCol w:w="120"/>
        <w:gridCol w:w="950"/>
        <w:gridCol w:w="36"/>
        <w:gridCol w:w="36"/>
        <w:gridCol w:w="36"/>
        <w:gridCol w:w="36"/>
        <w:gridCol w:w="120"/>
        <w:gridCol w:w="950"/>
        <w:gridCol w:w="36"/>
      </w:tblGrid>
      <w:tr w:rsidR="00000000">
        <w:trPr>
          <w:divId w:val="727268831"/>
          <w:jc w:val="center"/>
        </w:trPr>
        <w:tc>
          <w:tcPr>
            <w:tcW w:w="50" w:type="pct"/>
            <w:vAlign w:val="center"/>
            <w:hideMark/>
          </w:tcPr>
          <w:p w:rsidR="00000000" w:rsidRDefault="005B0BC3">
            <w:pPr>
              <w:ind w:firstLine="360"/>
              <w:rPr>
                <w:rFonts w:eastAsia="Times New Roman"/>
              </w:rPr>
            </w:pPr>
          </w:p>
        </w:tc>
        <w:tc>
          <w:tcPr>
            <w:tcW w:w="282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727268831"/>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December 31,</w:t>
            </w:r>
          </w:p>
        </w:tc>
      </w:tr>
      <w:tr w:rsidR="00000000">
        <w:trPr>
          <w:divId w:val="727268831"/>
          <w:jc w:val="center"/>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727268831"/>
          <w:jc w:val="center"/>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727268831"/>
          <w:jc w:val="center"/>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Benefit Base</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727268831"/>
          <w:jc w:val="center"/>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ROP Death Benefit Only (1)</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6,444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6,141 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6,048 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727268831"/>
          <w:jc w:val="center"/>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Floating Rate GMxB</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727268831"/>
          <w:jc w:val="center"/>
        </w:trPr>
        <w:tc>
          <w:tcPr>
            <w:tcW w:w="0" w:type="auto"/>
            <w:gridSpan w:val="3"/>
            <w:shd w:val="clear" w:color="auto" w:fill="CCEEFF"/>
            <w:tcMar>
              <w:top w:w="30" w:type="dxa"/>
              <w:left w:w="51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GMDB</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23,574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23,095 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22,793 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727268831"/>
          <w:jc w:val="center"/>
        </w:trPr>
        <w:tc>
          <w:tcPr>
            <w:tcW w:w="0" w:type="auto"/>
            <w:gridSpan w:val="3"/>
            <w:shd w:val="clear" w:color="auto" w:fill="FFFFFF"/>
            <w:tcMar>
              <w:top w:w="30" w:type="dxa"/>
              <w:left w:w="51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GMIB</w:t>
            </w: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24,123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23,029 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22,108 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727268831"/>
          <w:jc w:val="center"/>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Fixed Rate GMxB</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727268831"/>
          <w:jc w:val="center"/>
        </w:trPr>
        <w:tc>
          <w:tcPr>
            <w:tcW w:w="0" w:type="auto"/>
            <w:gridSpan w:val="3"/>
            <w:shd w:val="clear" w:color="auto" w:fill="FFFFFF"/>
            <w:tcMar>
              <w:top w:w="30" w:type="dxa"/>
              <w:left w:w="51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GMDB (1)</w:t>
            </w: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34,017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58,028 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59,365 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727268831"/>
          <w:jc w:val="center"/>
        </w:trPr>
        <w:tc>
          <w:tcPr>
            <w:tcW w:w="0" w:type="auto"/>
            <w:gridSpan w:val="3"/>
            <w:shd w:val="clear" w:color="auto" w:fill="CCEEFF"/>
            <w:tcMar>
              <w:top w:w="30" w:type="dxa"/>
              <w:left w:w="51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GMIB (1)</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34,719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60,695 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61,775 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ind w:hanging="360"/>
        <w:divId w:val="964578876"/>
        <w:rPr>
          <w:rFonts w:eastAsia="Times New Roman"/>
        </w:rPr>
      </w:pPr>
      <w:r>
        <w:rPr>
          <w:rFonts w:eastAsia="Times New Roman"/>
          <w:color w:val="000000"/>
          <w:sz w:val="18"/>
          <w:szCs w:val="18"/>
        </w:rPr>
        <w:t xml:space="preserve">(1) Benefit base is net of amounts ceded to Venerable during 2021. See Note 1 of the Notes to these Consolidated Financial Statements. </w:t>
      </w:r>
    </w:p>
    <w:p w:rsidR="00000000" w:rsidRDefault="005B0BC3">
      <w:pPr>
        <w:ind w:firstLine="360"/>
        <w:divId w:val="1933322196"/>
        <w:rPr>
          <w:rFonts w:eastAsia="Times New Roman"/>
        </w:rPr>
      </w:pPr>
      <w:r>
        <w:rPr>
          <w:rFonts w:eastAsia="Times New Roman"/>
          <w:color w:val="000000"/>
          <w:sz w:val="20"/>
          <w:szCs w:val="20"/>
        </w:rPr>
        <w:t>The guaranteed benefit received by a policyholder</w:t>
      </w:r>
      <w:r>
        <w:rPr>
          <w:rFonts w:eastAsia="Times New Roman"/>
          <w:color w:val="000000"/>
          <w:sz w:val="20"/>
          <w:szCs w:val="20"/>
        </w:rPr>
        <w:t xml:space="preserve"> pursuant to a GMxB feature is calculated based on the benefit base. The benefit base is defined as a hypothetical amount (</w:t>
      </w:r>
      <w:r>
        <w:rPr>
          <w:rFonts w:eastAsia="Times New Roman"/>
          <w:i/>
          <w:iCs/>
          <w:color w:val="000000"/>
          <w:sz w:val="20"/>
          <w:szCs w:val="20"/>
        </w:rPr>
        <w:t>i.e.</w:t>
      </w:r>
      <w:r>
        <w:rPr>
          <w:rFonts w:eastAsia="Times New Roman"/>
          <w:color w:val="000000"/>
          <w:sz w:val="20"/>
          <w:szCs w:val="20"/>
        </w:rPr>
        <w:t>, not actual cash value) used to calculate the policyholder’</w:t>
      </w:r>
      <w:r>
        <w:rPr>
          <w:rFonts w:eastAsia="Times New Roman"/>
          <w:color w:val="000000"/>
          <w:sz w:val="20"/>
          <w:szCs w:val="20"/>
        </w:rPr>
        <w:t>s optional benefits within a variable annuity. A benefit base cannot be withdrawn for cash and is used solely to calculate the variable annuity’s optional guarantee values. Generally, the benefit base is not subject to a cap on the value. However, the bene</w:t>
      </w:r>
      <w:r>
        <w:rPr>
          <w:rFonts w:eastAsia="Times New Roman"/>
          <w:color w:val="000000"/>
          <w:sz w:val="20"/>
          <w:szCs w:val="20"/>
        </w:rPr>
        <w:t xml:space="preserve">fit base stops increasing after a defined time period or at a maximum age, usually age 85 or 95, as defined in the contract. </w:t>
      </w:r>
    </w:p>
    <w:p w:rsidR="00000000" w:rsidRDefault="005B0BC3">
      <w:pPr>
        <w:ind w:firstLine="360"/>
        <w:divId w:val="77364642"/>
        <w:rPr>
          <w:rFonts w:eastAsia="Times New Roman"/>
        </w:rPr>
      </w:pPr>
      <w:r>
        <w:rPr>
          <w:rFonts w:eastAsia="Times New Roman"/>
          <w:color w:val="000000"/>
          <w:sz w:val="20"/>
          <w:szCs w:val="20"/>
        </w:rPr>
        <w:t>The calculation of the benefit base varies by benefit type and may differ in value from the policyholder’s AV for the following re</w:t>
      </w:r>
      <w:r>
        <w:rPr>
          <w:rFonts w:eastAsia="Times New Roman"/>
          <w:color w:val="000000"/>
          <w:sz w:val="20"/>
          <w:szCs w:val="20"/>
        </w:rPr>
        <w:t xml:space="preserve">asons: </w:t>
      </w:r>
    </w:p>
    <w:p w:rsidR="00000000" w:rsidRDefault="005B0BC3">
      <w:pPr>
        <w:ind w:hanging="360"/>
        <w:jc w:val="both"/>
        <w:divId w:val="1615213129"/>
        <w:rPr>
          <w:rFonts w:eastAsia="Times New Roman"/>
        </w:rPr>
      </w:pPr>
      <w:r>
        <w:rPr>
          <w:rFonts w:eastAsia="Times New Roman"/>
          <w:color w:val="000000"/>
          <w:sz w:val="20"/>
          <w:szCs w:val="20"/>
        </w:rPr>
        <w:t>•The benefit base is defined to exclude the effects of a decline in the market value of the policyholder’s AV. Accordingly, actual claim payments to be made in the future to the policyholder will be determined without giving effect to market declin</w:t>
      </w:r>
      <w:r>
        <w:rPr>
          <w:rFonts w:eastAsia="Times New Roman"/>
          <w:color w:val="000000"/>
          <w:sz w:val="20"/>
          <w:szCs w:val="20"/>
        </w:rPr>
        <w:t xml:space="preserve">es. </w:t>
      </w:r>
    </w:p>
    <w:p w:rsidR="00000000" w:rsidRDefault="005B0BC3">
      <w:pPr>
        <w:ind w:hanging="360"/>
        <w:divId w:val="1118842444"/>
        <w:rPr>
          <w:rFonts w:eastAsia="Times New Roman"/>
        </w:rPr>
      </w:pPr>
      <w:r>
        <w:rPr>
          <w:rFonts w:eastAsia="Times New Roman"/>
          <w:color w:val="000000"/>
          <w:sz w:val="20"/>
          <w:szCs w:val="20"/>
        </w:rPr>
        <w:t xml:space="preserve">•The terms of the benefit base may allow it to increase at a guaranteed rate irrespective of the rate of return on the policyholder’s AV. </w:t>
      </w:r>
    </w:p>
    <w:p w:rsidR="00000000" w:rsidRDefault="005B0BC3">
      <w:pPr>
        <w:ind w:firstLine="360"/>
        <w:divId w:val="572816244"/>
        <w:rPr>
          <w:rFonts w:eastAsia="Times New Roman"/>
        </w:rPr>
      </w:pPr>
      <w:r>
        <w:rPr>
          <w:rFonts w:eastAsia="Times New Roman"/>
          <w:color w:val="000000"/>
          <w:sz w:val="20"/>
          <w:szCs w:val="20"/>
        </w:rPr>
        <w:t xml:space="preserve">We currently offer GMxB riders. Their principal features are as follows: </w:t>
      </w:r>
    </w:p>
    <w:p w:rsidR="00000000" w:rsidRDefault="005B0BC3">
      <w:pPr>
        <w:ind w:hanging="360"/>
        <w:jc w:val="both"/>
        <w:divId w:val="858740387"/>
        <w:rPr>
          <w:rFonts w:eastAsia="Times New Roman"/>
        </w:rPr>
      </w:pPr>
      <w:r>
        <w:rPr>
          <w:rFonts w:eastAsia="Times New Roman"/>
          <w:color w:val="000000"/>
          <w:sz w:val="20"/>
          <w:szCs w:val="20"/>
        </w:rPr>
        <w:t>•GMDBs provide that in the event of th</w:t>
      </w:r>
      <w:r>
        <w:rPr>
          <w:rFonts w:eastAsia="Times New Roman"/>
          <w:color w:val="000000"/>
          <w:sz w:val="20"/>
          <w:szCs w:val="20"/>
        </w:rPr>
        <w:t xml:space="preserve">e death of the policyholder, the beneficiary will receive the higher of the current contract account balance or the benefit base upon the death of the owner (or annuitant). </w:t>
      </w:r>
    </w:p>
    <w:p w:rsidR="00000000" w:rsidRDefault="005B0BC3">
      <w:pPr>
        <w:ind w:hanging="360"/>
        <w:divId w:val="1235821981"/>
        <w:rPr>
          <w:rFonts w:eastAsia="Times New Roman"/>
        </w:rPr>
      </w:pPr>
      <w:r>
        <w:rPr>
          <w:rFonts w:eastAsia="Times New Roman"/>
          <w:color w:val="000000"/>
          <w:sz w:val="20"/>
          <w:szCs w:val="20"/>
        </w:rPr>
        <w:t>•GMIBs provide, if elected by the policyholder after a stipulated waiting period f</w:t>
      </w:r>
      <w:r>
        <w:rPr>
          <w:rFonts w:eastAsia="Times New Roman"/>
          <w:color w:val="000000"/>
          <w:sz w:val="20"/>
          <w:szCs w:val="20"/>
        </w:rPr>
        <w:t>rom contract issuance, guaranteed minimum annual lifetime payments based on predetermined guaranteed annuity purchase factors that may exceed what the contract AV can purchase at then-current annuity purchase rates.</w:t>
      </w:r>
    </w:p>
    <w:p w:rsidR="00000000" w:rsidRDefault="005B0BC3">
      <w:pPr>
        <w:ind w:firstLine="360"/>
        <w:divId w:val="378667933"/>
        <w:rPr>
          <w:rFonts w:eastAsia="Times New Roman"/>
        </w:rPr>
      </w:pPr>
      <w:r>
        <w:rPr>
          <w:rFonts w:eastAsia="Times New Roman"/>
          <w:color w:val="000000"/>
          <w:sz w:val="20"/>
          <w:szCs w:val="20"/>
        </w:rPr>
        <w:t>For a detailed discussion of GMxB riders</w:t>
      </w:r>
      <w:r>
        <w:rPr>
          <w:rFonts w:eastAsia="Times New Roman"/>
          <w:color w:val="000000"/>
          <w:sz w:val="20"/>
          <w:szCs w:val="20"/>
        </w:rPr>
        <w:t xml:space="preserve">, see “—Overview of GMxB Features.” </w:t>
      </w:r>
    </w:p>
    <w:p w:rsidR="00000000" w:rsidRDefault="005B0BC3">
      <w:pPr>
        <w:jc w:val="both"/>
        <w:divId w:val="939414476"/>
        <w:rPr>
          <w:rFonts w:eastAsia="Times New Roman"/>
        </w:rPr>
      </w:pPr>
      <w:r>
        <w:rPr>
          <w:rFonts w:eastAsia="Times New Roman"/>
          <w:b/>
          <w:bCs/>
          <w:i/>
          <w:iCs/>
          <w:color w:val="000000"/>
          <w:sz w:val="20"/>
          <w:szCs w:val="20"/>
        </w:rPr>
        <w:t xml:space="preserve">Markets </w:t>
      </w:r>
    </w:p>
    <w:p w:rsidR="00000000" w:rsidRDefault="005B0BC3">
      <w:pPr>
        <w:ind w:firstLine="360"/>
        <w:divId w:val="1393046122"/>
        <w:rPr>
          <w:rFonts w:eastAsia="Times New Roman"/>
        </w:rPr>
      </w:pPr>
      <w:r>
        <w:rPr>
          <w:rFonts w:eastAsia="Times New Roman"/>
          <w:color w:val="000000"/>
          <w:sz w:val="20"/>
          <w:szCs w:val="20"/>
        </w:rPr>
        <w:t>For our Individual Retirement segment, we target sales of our products to affluent and high net worth individuals and families saving for retirement or seeking retirement income. As the retirement age population in the United States continues to grow and e</w:t>
      </w:r>
      <w:r>
        <w:rPr>
          <w:rFonts w:eastAsia="Times New Roman"/>
          <w:color w:val="000000"/>
          <w:sz w:val="20"/>
          <w:szCs w:val="20"/>
        </w:rPr>
        <w:t xml:space="preserve">mployers continue to shift away from defined benefit plans, we expect the need for these retirement savings and income products to expand. </w:t>
      </w:r>
    </w:p>
    <w:p w:rsidR="00000000" w:rsidRDefault="005B0BC3">
      <w:pPr>
        <w:ind w:firstLine="360"/>
        <w:divId w:val="364790205"/>
        <w:rPr>
          <w:rFonts w:eastAsia="Times New Roman"/>
        </w:rPr>
      </w:pPr>
      <w:r>
        <w:rPr>
          <w:rFonts w:eastAsia="Times New Roman"/>
          <w:color w:val="000000"/>
          <w:sz w:val="20"/>
          <w:szCs w:val="20"/>
        </w:rPr>
        <w:t>Our customers can prioritize certain features based on their life-stage and investment needs. In addition, our produ</w:t>
      </w:r>
      <w:r>
        <w:rPr>
          <w:rFonts w:eastAsia="Times New Roman"/>
          <w:color w:val="000000"/>
          <w:sz w:val="20"/>
          <w:szCs w:val="20"/>
        </w:rPr>
        <w:t>cts offer features designed to serve different market conditions. SCS serves clients with investable assets who want exposure to equity markets, but also want to guard against a market correction. Retirement Cornerstone serves clients who want growth poten</w:t>
      </w:r>
      <w:r>
        <w:rPr>
          <w:rFonts w:eastAsia="Times New Roman"/>
          <w:color w:val="000000"/>
          <w:sz w:val="20"/>
          <w:szCs w:val="20"/>
        </w:rPr>
        <w:t xml:space="preserve">tial </w:t>
      </w:r>
    </w:p>
    <w:p w:rsidR="00000000" w:rsidRDefault="005B0BC3">
      <w:pPr>
        <w:jc w:val="center"/>
        <w:divId w:val="136385488"/>
        <w:rPr>
          <w:rFonts w:eastAsia="Times New Roman"/>
        </w:rPr>
      </w:pPr>
      <w:r>
        <w:rPr>
          <w:rFonts w:eastAsia="Times New Roman"/>
          <w:color w:val="000000"/>
          <w:sz w:val="20"/>
          <w:szCs w:val="20"/>
        </w:rPr>
        <w:t>9</w:t>
      </w:r>
    </w:p>
    <w:p w:rsidR="00000000" w:rsidRDefault="005B0BC3">
      <w:pPr>
        <w:rPr>
          <w:rFonts w:eastAsia="Times New Roman"/>
        </w:rPr>
      </w:pPr>
      <w:r>
        <w:rPr>
          <w:rFonts w:eastAsia="Times New Roman"/>
        </w:rPr>
        <w:pict>
          <v:rect id="_x0000_i1037" style="width:0;height:1.5pt" o:hralign="center" o:hrstd="t" o:hr="t" fillcolor="#a0a0a0" stroked="f"/>
        </w:pict>
      </w:r>
    </w:p>
    <w:p w:rsidR="00000000" w:rsidRDefault="005B0BC3">
      <w:pPr>
        <w:divId w:val="1191069433"/>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divId w:val="1890453095"/>
        <w:rPr>
          <w:rFonts w:eastAsia="Times New Roman"/>
        </w:rPr>
      </w:pPr>
      <w:r>
        <w:rPr>
          <w:rFonts w:eastAsia="Times New Roman"/>
          <w:color w:val="000000"/>
          <w:sz w:val="20"/>
          <w:szCs w:val="20"/>
        </w:rPr>
        <w:t>and guaranteed income with increases in a rising interest rate environment. Investment Edge serves clients concerned about rising taxe</w:t>
      </w:r>
      <w:r>
        <w:rPr>
          <w:rFonts w:eastAsia="Times New Roman"/>
          <w:color w:val="000000"/>
          <w:sz w:val="20"/>
          <w:szCs w:val="20"/>
        </w:rPr>
        <w:t>s.</w:t>
      </w:r>
    </w:p>
    <w:p w:rsidR="00000000" w:rsidRDefault="005B0BC3">
      <w:pPr>
        <w:jc w:val="both"/>
        <w:divId w:val="488717564"/>
        <w:rPr>
          <w:rFonts w:eastAsia="Times New Roman"/>
        </w:rPr>
      </w:pPr>
      <w:r>
        <w:rPr>
          <w:rFonts w:eastAsia="Times New Roman"/>
          <w:b/>
          <w:bCs/>
          <w:i/>
          <w:iCs/>
          <w:color w:val="000000"/>
          <w:sz w:val="20"/>
          <w:szCs w:val="20"/>
        </w:rPr>
        <w:t xml:space="preserve">Distribution </w:t>
      </w:r>
    </w:p>
    <w:p w:rsidR="00000000" w:rsidRDefault="005B0BC3">
      <w:pPr>
        <w:ind w:firstLine="360"/>
        <w:divId w:val="780224514"/>
        <w:rPr>
          <w:rFonts w:eastAsia="Times New Roman"/>
        </w:rPr>
      </w:pPr>
      <w:r>
        <w:rPr>
          <w:rFonts w:eastAsia="Times New Roman"/>
          <w:color w:val="000000"/>
          <w:sz w:val="20"/>
          <w:szCs w:val="20"/>
        </w:rPr>
        <w:t>We distribute our variable annuity products through Equitable Advisors, and through third-party distribution channels. For the year ended December 31, 2021, Equitable Advisors represented 35% of our variable annuity FYP in this segment, wh</w:t>
      </w:r>
      <w:r>
        <w:rPr>
          <w:rFonts w:eastAsia="Times New Roman"/>
          <w:color w:val="000000"/>
          <w:sz w:val="20"/>
          <w:szCs w:val="20"/>
        </w:rPr>
        <w:t xml:space="preserve">ile our third-party distribution channel represented 65% of our variable annuity FYP in this segment. We employ over 150 external and internal wholesalers who distribute our variable annuity products across both channels. </w:t>
      </w:r>
    </w:p>
    <w:p w:rsidR="00000000" w:rsidRDefault="005B0BC3">
      <w:pPr>
        <w:ind w:firstLine="360"/>
        <w:divId w:val="157622519"/>
        <w:rPr>
          <w:rFonts w:eastAsia="Times New Roman"/>
        </w:rPr>
      </w:pPr>
      <w:r>
        <w:rPr>
          <w:rFonts w:eastAsia="Times New Roman"/>
          <w:i/>
          <w:iCs/>
          <w:color w:val="000000"/>
          <w:sz w:val="20"/>
          <w:szCs w:val="20"/>
        </w:rPr>
        <w:t xml:space="preserve">Affiliated Distribution. </w:t>
      </w:r>
      <w:r>
        <w:rPr>
          <w:rFonts w:eastAsia="Times New Roman"/>
          <w:color w:val="000000"/>
          <w:sz w:val="20"/>
          <w:szCs w:val="20"/>
        </w:rPr>
        <w:t>We offer</w:t>
      </w:r>
      <w:r>
        <w:rPr>
          <w:rFonts w:eastAsia="Times New Roman"/>
          <w:color w:val="000000"/>
          <w:sz w:val="20"/>
          <w:szCs w:val="20"/>
        </w:rPr>
        <w:t xml:space="preserve"> our variable annuity products on a retail basis through our affiliated retail sales force of financial professionals, Equitable Advisors. These financial professionals have access to and offer a broad array of variable annuity, life insurance, employee be</w:t>
      </w:r>
      <w:r>
        <w:rPr>
          <w:rFonts w:eastAsia="Times New Roman"/>
          <w:color w:val="000000"/>
          <w:sz w:val="20"/>
          <w:szCs w:val="20"/>
        </w:rPr>
        <w:t xml:space="preserve">nefits and investment products and services from affiliated and unaffiliated insurers and other financial service providers. </w:t>
      </w:r>
    </w:p>
    <w:p w:rsidR="00000000" w:rsidRDefault="005B0BC3">
      <w:pPr>
        <w:ind w:firstLine="360"/>
        <w:divId w:val="1072235024"/>
        <w:rPr>
          <w:rFonts w:eastAsia="Times New Roman"/>
        </w:rPr>
      </w:pPr>
      <w:r>
        <w:rPr>
          <w:rFonts w:eastAsia="Times New Roman"/>
          <w:i/>
          <w:iCs/>
          <w:color w:val="000000"/>
          <w:sz w:val="20"/>
          <w:szCs w:val="20"/>
        </w:rPr>
        <w:t xml:space="preserve">Third-Party Distribution. </w:t>
      </w:r>
      <w:r>
        <w:rPr>
          <w:rFonts w:eastAsia="Times New Roman"/>
          <w:color w:val="000000"/>
          <w:sz w:val="20"/>
          <w:szCs w:val="20"/>
        </w:rPr>
        <w:t>We have shifted the focus of our third-party distribution significantly over the last decade, growing ou</w:t>
      </w:r>
      <w:r>
        <w:rPr>
          <w:rFonts w:eastAsia="Times New Roman"/>
          <w:color w:val="000000"/>
          <w:sz w:val="20"/>
          <w:szCs w:val="20"/>
        </w:rPr>
        <w:t>r distribution in the bank, broker-dealer and insurance partner channels. For example, in 2011, we began distributing our variable annuity products to insurance partners. Today, we work with some of the country’s largest insurance partners and our sales th</w:t>
      </w:r>
      <w:r>
        <w:rPr>
          <w:rFonts w:eastAsia="Times New Roman"/>
          <w:color w:val="000000"/>
          <w:sz w:val="20"/>
          <w:szCs w:val="20"/>
        </w:rPr>
        <w:t xml:space="preserve">rough this channel have grown to comprise 10% of our total FYP for the year ended December 31, 2021. </w:t>
      </w:r>
    </w:p>
    <w:p w:rsidR="00000000" w:rsidRDefault="005B0BC3">
      <w:pPr>
        <w:ind w:firstLine="360"/>
        <w:divId w:val="928928708"/>
        <w:rPr>
          <w:rFonts w:eastAsia="Times New Roman"/>
        </w:rPr>
      </w:pPr>
      <w:r>
        <w:rPr>
          <w:rFonts w:eastAsia="Times New Roman"/>
          <w:color w:val="000000"/>
          <w:sz w:val="20"/>
          <w:szCs w:val="20"/>
        </w:rPr>
        <w:t>The table below presents the contributions to and percentage of FYP of our variable annuity products by distribution channel for the year ended December 3</w:t>
      </w:r>
      <w:r>
        <w:rPr>
          <w:rFonts w:eastAsia="Times New Roman"/>
          <w:color w:val="000000"/>
          <w:sz w:val="20"/>
          <w:szCs w:val="20"/>
        </w:rPr>
        <w:t>1, 2021.</w:t>
      </w:r>
    </w:p>
    <w:tbl>
      <w:tblPr>
        <w:tblW w:w="4970" w:type="pct"/>
        <w:jc w:val="center"/>
        <w:tblCellMar>
          <w:top w:w="15" w:type="dxa"/>
          <w:left w:w="15" w:type="dxa"/>
          <w:bottom w:w="15" w:type="dxa"/>
          <w:right w:w="15" w:type="dxa"/>
        </w:tblCellMar>
        <w:tblLook w:val="04A0" w:firstRow="1" w:lastRow="0" w:firstColumn="1" w:lastColumn="0" w:noHBand="0" w:noVBand="1"/>
      </w:tblPr>
      <w:tblGrid>
        <w:gridCol w:w="69"/>
        <w:gridCol w:w="1546"/>
        <w:gridCol w:w="37"/>
        <w:gridCol w:w="69"/>
        <w:gridCol w:w="1546"/>
        <w:gridCol w:w="36"/>
        <w:gridCol w:w="69"/>
        <w:gridCol w:w="1546"/>
        <w:gridCol w:w="36"/>
        <w:gridCol w:w="69"/>
        <w:gridCol w:w="1546"/>
        <w:gridCol w:w="36"/>
        <w:gridCol w:w="69"/>
        <w:gridCol w:w="1546"/>
        <w:gridCol w:w="36"/>
      </w:tblGrid>
      <w:tr w:rsidR="00000000">
        <w:trPr>
          <w:divId w:val="63070725"/>
          <w:jc w:val="center"/>
        </w:trPr>
        <w:tc>
          <w:tcPr>
            <w:tcW w:w="50" w:type="pct"/>
            <w:vAlign w:val="center"/>
            <w:hideMark/>
          </w:tcPr>
          <w:p w:rsidR="00000000" w:rsidRDefault="005B0BC3">
            <w:pPr>
              <w:ind w:firstLine="360"/>
              <w:rPr>
                <w:rFonts w:eastAsia="Times New Roman"/>
              </w:rPr>
            </w:pPr>
          </w:p>
        </w:tc>
        <w:tc>
          <w:tcPr>
            <w:tcW w:w="94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94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94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94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94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63070725"/>
          <w:jc w:val="center"/>
        </w:trPr>
        <w:tc>
          <w:tcPr>
            <w:tcW w:w="0" w:type="auto"/>
            <w:gridSpan w:val="15"/>
            <w:shd w:val="clear" w:color="auto" w:fill="CCEE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20"/>
                <w:szCs w:val="20"/>
              </w:rPr>
              <w:t>FYP by Distribution</w:t>
            </w:r>
          </w:p>
        </w:tc>
      </w:tr>
    </w:tbl>
    <w:p w:rsidR="00000000" w:rsidRDefault="005B0BC3">
      <w:pPr>
        <w:spacing w:after="180"/>
        <w:jc w:val="center"/>
        <w:divId w:val="295262548"/>
        <w:rPr>
          <w:rFonts w:eastAsia="Times New Roman"/>
        </w:rPr>
      </w:pPr>
      <w:r>
        <w:rPr>
          <w:rFonts w:eastAsia="Times New Roman"/>
          <w:noProof/>
        </w:rPr>
        <w:drawing>
          <wp:inline distT="0" distB="0" distL="0" distR="0">
            <wp:extent cx="304800" cy="304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5B0BC3">
      <w:pPr>
        <w:ind w:firstLine="360"/>
        <w:divId w:val="310523285"/>
        <w:rPr>
          <w:rFonts w:eastAsia="Times New Roman"/>
        </w:rPr>
      </w:pPr>
      <w:r>
        <w:rPr>
          <w:rFonts w:eastAsia="Times New Roman"/>
          <w:color w:val="000000"/>
          <w:sz w:val="20"/>
          <w:szCs w:val="20"/>
        </w:rPr>
        <w:t>Other than Equitabl</w:t>
      </w:r>
      <w:r>
        <w:rPr>
          <w:rFonts w:eastAsia="Times New Roman"/>
          <w:color w:val="000000"/>
          <w:sz w:val="20"/>
          <w:szCs w:val="20"/>
        </w:rPr>
        <w:t>e Advisors, no single distribution firm contributed more than 10% of our sales in 2021.</w:t>
      </w:r>
    </w:p>
    <w:p w:rsidR="00000000" w:rsidRDefault="005B0BC3">
      <w:pPr>
        <w:jc w:val="both"/>
        <w:divId w:val="831877074"/>
        <w:rPr>
          <w:rFonts w:eastAsia="Times New Roman"/>
        </w:rPr>
      </w:pPr>
      <w:r>
        <w:rPr>
          <w:rFonts w:eastAsia="Times New Roman"/>
          <w:b/>
          <w:bCs/>
          <w:i/>
          <w:iCs/>
          <w:color w:val="000000"/>
          <w:sz w:val="20"/>
          <w:szCs w:val="20"/>
        </w:rPr>
        <w:t xml:space="preserve">Competition </w:t>
      </w:r>
    </w:p>
    <w:p w:rsidR="00000000" w:rsidRDefault="005B0BC3">
      <w:pPr>
        <w:divId w:val="1818037304"/>
        <w:rPr>
          <w:rFonts w:eastAsia="Times New Roman"/>
        </w:rPr>
      </w:pPr>
      <w:r>
        <w:rPr>
          <w:rFonts w:eastAsia="Times New Roman"/>
          <w:color w:val="000000"/>
          <w:sz w:val="20"/>
          <w:szCs w:val="20"/>
        </w:rPr>
        <w:t>Our Individual Retirement business competes with traditional life insurers, as well as banks, mutual fund companies and other investment managers. The vari</w:t>
      </w:r>
      <w:r>
        <w:rPr>
          <w:rFonts w:eastAsia="Times New Roman"/>
          <w:color w:val="000000"/>
          <w:sz w:val="20"/>
          <w:szCs w:val="20"/>
        </w:rPr>
        <w:t>able annuities market is highly competitive, with no single provider dominating the market across products. The main factors that distinguish competitors to clients include product features, access to capital, access to diversified sources of distribution,</w:t>
      </w:r>
      <w:r>
        <w:rPr>
          <w:rFonts w:eastAsia="Times New Roman"/>
          <w:color w:val="000000"/>
          <w:sz w:val="20"/>
          <w:szCs w:val="20"/>
        </w:rPr>
        <w:t xml:space="preserve"> financial and claims-paying ratings, investment options, brand recognition, quality of service, technological capabilities and tax-favored status of certain products. It is difficult to provide unique variable annuities products because, once such product</w:t>
      </w:r>
      <w:r>
        <w:rPr>
          <w:rFonts w:eastAsia="Times New Roman"/>
          <w:color w:val="000000"/>
          <w:sz w:val="20"/>
          <w:szCs w:val="20"/>
        </w:rPr>
        <w:t xml:space="preserve">s are made available to the public, they often are reproduced and offered by our competitors. Competition may affect, among other matters, both the growth of our business and the pricing and features of our products. </w:t>
      </w:r>
    </w:p>
    <w:p w:rsidR="00000000" w:rsidRDefault="005B0BC3">
      <w:pPr>
        <w:jc w:val="center"/>
        <w:divId w:val="1055078744"/>
        <w:rPr>
          <w:rFonts w:eastAsia="Times New Roman"/>
        </w:rPr>
      </w:pPr>
      <w:r>
        <w:rPr>
          <w:rFonts w:eastAsia="Times New Roman"/>
          <w:color w:val="000000"/>
          <w:sz w:val="20"/>
          <w:szCs w:val="20"/>
        </w:rPr>
        <w:t>10</w:t>
      </w:r>
    </w:p>
    <w:p w:rsidR="00000000" w:rsidRDefault="005B0BC3">
      <w:pPr>
        <w:rPr>
          <w:rFonts w:eastAsia="Times New Roman"/>
        </w:rPr>
      </w:pPr>
      <w:r>
        <w:rPr>
          <w:rFonts w:eastAsia="Times New Roman"/>
        </w:rPr>
        <w:pict>
          <v:rect id="_x0000_i1039" style="width:0;height:1.5pt" o:hralign="center" o:hrstd="t" o:hr="t" fillcolor="#a0a0a0" stroked="f"/>
        </w:pict>
      </w:r>
    </w:p>
    <w:p w:rsidR="00000000" w:rsidRDefault="005B0BC3">
      <w:pPr>
        <w:divId w:val="1139229226"/>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jc w:val="both"/>
        <w:divId w:val="2049838789"/>
        <w:rPr>
          <w:rFonts w:eastAsia="Times New Roman"/>
        </w:rPr>
      </w:pPr>
      <w:r>
        <w:rPr>
          <w:rFonts w:eastAsia="Times New Roman"/>
          <w:b/>
          <w:bCs/>
          <w:i/>
          <w:iCs/>
          <w:color w:val="000000"/>
          <w:sz w:val="20"/>
          <w:szCs w:val="20"/>
        </w:rPr>
        <w:t xml:space="preserve">Underwriting and Pricing </w:t>
      </w:r>
    </w:p>
    <w:p w:rsidR="00000000" w:rsidRDefault="005B0BC3">
      <w:pPr>
        <w:ind w:firstLine="360"/>
        <w:divId w:val="418134418"/>
        <w:rPr>
          <w:rFonts w:eastAsia="Times New Roman"/>
        </w:rPr>
      </w:pPr>
      <w:r>
        <w:rPr>
          <w:rFonts w:eastAsia="Times New Roman"/>
          <w:color w:val="000000"/>
          <w:sz w:val="20"/>
          <w:szCs w:val="20"/>
        </w:rPr>
        <w:t>We generally do not underwrite our variable annuity products on an individual-by-individual basis. Instead, we price our products based upon our expec</w:t>
      </w:r>
      <w:r>
        <w:rPr>
          <w:rFonts w:eastAsia="Times New Roman"/>
          <w:color w:val="000000"/>
          <w:sz w:val="20"/>
          <w:szCs w:val="20"/>
        </w:rPr>
        <w:t>ted investment returns and assumptions regarding mortality, longevity and persistency for our policyholders collectively, while taking into account historical experience, volatility of expected earnings on our AV, and the expected time to retirement. Our p</w:t>
      </w:r>
      <w:r>
        <w:rPr>
          <w:rFonts w:eastAsia="Times New Roman"/>
          <w:color w:val="000000"/>
          <w:sz w:val="20"/>
          <w:szCs w:val="20"/>
        </w:rPr>
        <w:t xml:space="preserve">roduct pricing models also take into account capital requirements, hedging costs and operating expenses. Investment-oriented products are priced based on various factors, which may include investment return, expenses, persistency and optionality. </w:t>
      </w:r>
    </w:p>
    <w:p w:rsidR="00000000" w:rsidRDefault="005B0BC3">
      <w:pPr>
        <w:ind w:firstLine="360"/>
        <w:divId w:val="974142447"/>
        <w:rPr>
          <w:rFonts w:eastAsia="Times New Roman"/>
        </w:rPr>
      </w:pPr>
      <w:r>
        <w:rPr>
          <w:rFonts w:eastAsia="Times New Roman"/>
          <w:color w:val="000000"/>
          <w:sz w:val="20"/>
          <w:szCs w:val="20"/>
        </w:rPr>
        <w:t>Our vari</w:t>
      </w:r>
      <w:r>
        <w:rPr>
          <w:rFonts w:eastAsia="Times New Roman"/>
          <w:color w:val="000000"/>
          <w:sz w:val="20"/>
          <w:szCs w:val="20"/>
        </w:rPr>
        <w:t xml:space="preserve">able annuity products generally include penalties for early withdrawals. From time to time, we reevaluate the type and level of GMxB and other features we offer. We have previously changed the nature and pricing of the features we offer and will likely do </w:t>
      </w:r>
      <w:r>
        <w:rPr>
          <w:rFonts w:eastAsia="Times New Roman"/>
          <w:color w:val="000000"/>
          <w:sz w:val="20"/>
          <w:szCs w:val="20"/>
        </w:rPr>
        <w:t xml:space="preserve">so from time to time in the future as the needs of our clients, the economic environment and our risk appetite evolve. </w:t>
      </w:r>
    </w:p>
    <w:p w:rsidR="00000000" w:rsidRDefault="005B0BC3">
      <w:pPr>
        <w:jc w:val="both"/>
        <w:divId w:val="1462724860"/>
        <w:rPr>
          <w:rFonts w:eastAsia="Times New Roman"/>
        </w:rPr>
      </w:pPr>
      <w:r>
        <w:rPr>
          <w:rFonts w:eastAsia="Times New Roman"/>
          <w:b/>
          <w:bCs/>
          <w:i/>
          <w:iCs/>
          <w:color w:val="000000"/>
          <w:sz w:val="20"/>
          <w:szCs w:val="20"/>
        </w:rPr>
        <w:t xml:space="preserve">Fees on AV, Fund Assets, Benefit Base and Investment Income </w:t>
      </w:r>
    </w:p>
    <w:p w:rsidR="00000000" w:rsidRDefault="005B0BC3">
      <w:pPr>
        <w:ind w:firstLine="360"/>
        <w:divId w:val="895359287"/>
        <w:rPr>
          <w:rFonts w:eastAsia="Times New Roman"/>
        </w:rPr>
      </w:pPr>
      <w:r>
        <w:rPr>
          <w:rFonts w:eastAsia="Times New Roman"/>
          <w:color w:val="000000"/>
          <w:sz w:val="20"/>
          <w:szCs w:val="20"/>
        </w:rPr>
        <w:t>We earn various types of fee revenue based on AV, fund assets and benefit b</w:t>
      </w:r>
      <w:r>
        <w:rPr>
          <w:rFonts w:eastAsia="Times New Roman"/>
          <w:color w:val="000000"/>
          <w:sz w:val="20"/>
          <w:szCs w:val="20"/>
        </w:rPr>
        <w:t xml:space="preserve">ase. In general, fees from GMxB features that are calculated based on the benefit base are more stable compared to fees calculated based on the AV. </w:t>
      </w:r>
    </w:p>
    <w:p w:rsidR="00000000" w:rsidRDefault="005B0BC3">
      <w:pPr>
        <w:ind w:firstLine="360"/>
        <w:divId w:val="1922711789"/>
        <w:rPr>
          <w:rFonts w:eastAsia="Times New Roman"/>
        </w:rPr>
      </w:pPr>
      <w:r>
        <w:rPr>
          <w:rFonts w:eastAsia="Times New Roman"/>
          <w:i/>
          <w:iCs/>
          <w:color w:val="000000"/>
          <w:sz w:val="20"/>
          <w:szCs w:val="20"/>
        </w:rPr>
        <w:t xml:space="preserve">Mortality &amp; Expense, Administrative Charges and Distribution Charges. </w:t>
      </w:r>
      <w:r>
        <w:rPr>
          <w:rFonts w:eastAsia="Times New Roman"/>
          <w:color w:val="000000"/>
          <w:sz w:val="20"/>
          <w:szCs w:val="20"/>
        </w:rPr>
        <w:t>We deduct a daily charge from the net</w:t>
      </w:r>
      <w:r>
        <w:rPr>
          <w:rFonts w:eastAsia="Times New Roman"/>
          <w:color w:val="000000"/>
          <w:sz w:val="20"/>
          <w:szCs w:val="20"/>
        </w:rPr>
        <w:t xml:space="preserve"> assets in each variable investment option to compensate us for mortality risks, administrative expenses and a portion of our sales expenses under the variable annuity contract. These charges are calculated based on the portion of the policyholder’s AV all</w:t>
      </w:r>
      <w:r>
        <w:rPr>
          <w:rFonts w:eastAsia="Times New Roman"/>
          <w:color w:val="000000"/>
          <w:sz w:val="20"/>
          <w:szCs w:val="20"/>
        </w:rPr>
        <w:t xml:space="preserve">ocated to the Separate Accounts and are expressed as an annual percentage. </w:t>
      </w:r>
    </w:p>
    <w:p w:rsidR="00000000" w:rsidRDefault="005B0BC3">
      <w:pPr>
        <w:ind w:firstLine="360"/>
        <w:divId w:val="1854879106"/>
        <w:rPr>
          <w:rFonts w:eastAsia="Times New Roman"/>
        </w:rPr>
      </w:pPr>
      <w:r>
        <w:rPr>
          <w:rFonts w:eastAsia="Times New Roman"/>
          <w:color w:val="000000"/>
          <w:sz w:val="20"/>
          <w:szCs w:val="20"/>
        </w:rPr>
        <w:t> </w:t>
      </w:r>
      <w:r>
        <w:rPr>
          <w:rFonts w:eastAsia="Times New Roman"/>
          <w:i/>
          <w:iCs/>
          <w:color w:val="000000"/>
          <w:sz w:val="20"/>
          <w:szCs w:val="20"/>
        </w:rPr>
        <w:t>Withdrawal Charges.</w:t>
      </w:r>
      <w:r>
        <w:rPr>
          <w:rFonts w:eastAsia="Times New Roman"/>
          <w:color w:val="000000"/>
          <w:sz w:val="20"/>
          <w:szCs w:val="20"/>
        </w:rPr>
        <w:t xml:space="preserve"> </w:t>
      </w:r>
      <w:r>
        <w:rPr>
          <w:rFonts w:eastAsia="Times New Roman"/>
          <w:color w:val="000000"/>
          <w:sz w:val="20"/>
          <w:szCs w:val="20"/>
        </w:rPr>
        <w:t>Some variable annuity contracts may also impose charges on withdrawals for a period after the purchase, and in certain products for a period after each subsequent contribution, also known as the withdrawal charge period. A withdrawal charge is calculated a</w:t>
      </w:r>
      <w:r>
        <w:rPr>
          <w:rFonts w:eastAsia="Times New Roman"/>
          <w:color w:val="000000"/>
          <w:sz w:val="20"/>
          <w:szCs w:val="20"/>
        </w:rPr>
        <w:t>s a percentage of the contributions withdrawn. The percentage of the withdrawal charge that applies to each contribution depends on how long each contribution had been invested in the contract. Withdrawal charges generally decline gradually over the withdr</w:t>
      </w:r>
      <w:r>
        <w:rPr>
          <w:rFonts w:eastAsia="Times New Roman"/>
          <w:color w:val="000000"/>
          <w:sz w:val="20"/>
          <w:szCs w:val="20"/>
        </w:rPr>
        <w:t xml:space="preserve">awal charge period. Contracts may also specify circumstances when no surrender charges apply (for example, upon payment of a death benefit or due to disability, terminal illness or confinement to a nursing home). </w:t>
      </w:r>
    </w:p>
    <w:p w:rsidR="00000000" w:rsidRDefault="005B0BC3">
      <w:pPr>
        <w:ind w:firstLine="360"/>
        <w:divId w:val="1212614757"/>
        <w:rPr>
          <w:rFonts w:eastAsia="Times New Roman"/>
        </w:rPr>
      </w:pPr>
      <w:r>
        <w:rPr>
          <w:rFonts w:eastAsia="Times New Roman"/>
          <w:i/>
          <w:iCs/>
          <w:color w:val="000000"/>
          <w:sz w:val="20"/>
          <w:szCs w:val="20"/>
        </w:rPr>
        <w:t>Investment Management Fees.</w:t>
      </w:r>
      <w:r>
        <w:rPr>
          <w:rFonts w:eastAsia="Times New Roman"/>
          <w:color w:val="000000"/>
          <w:sz w:val="20"/>
          <w:szCs w:val="20"/>
        </w:rPr>
        <w:t xml:space="preserve"> We charge inve</w:t>
      </w:r>
      <w:r>
        <w:rPr>
          <w:rFonts w:eastAsia="Times New Roman"/>
          <w:color w:val="000000"/>
          <w:sz w:val="20"/>
          <w:szCs w:val="20"/>
        </w:rPr>
        <w:t xml:space="preserve">stment management fees for the proprietary funds managed by EIMG that are offered as investments under the variable annuities. Investment management fees are also paid on the non-proprietary funds managed by investment advisers unaffiliated with us to the </w:t>
      </w:r>
      <w:r>
        <w:rPr>
          <w:rFonts w:eastAsia="Times New Roman"/>
          <w:color w:val="000000"/>
          <w:sz w:val="20"/>
          <w:szCs w:val="20"/>
        </w:rPr>
        <w:t>unaffiliated investment advisers. Investment management fees differ by fund. A portion of the investment management fees charged on funds managed by sub-advisers unaffiliated with us are paid by us to the sub-advisers. Investment management fees reduce the</w:t>
      </w:r>
      <w:r>
        <w:rPr>
          <w:rFonts w:eastAsia="Times New Roman"/>
          <w:color w:val="000000"/>
          <w:sz w:val="20"/>
          <w:szCs w:val="20"/>
        </w:rPr>
        <w:t xml:space="preserve"> net returns on the variable annuity investments. </w:t>
      </w:r>
    </w:p>
    <w:p w:rsidR="00000000" w:rsidRDefault="005B0BC3">
      <w:pPr>
        <w:ind w:firstLine="360"/>
        <w:divId w:val="585190196"/>
        <w:rPr>
          <w:rFonts w:eastAsia="Times New Roman"/>
        </w:rPr>
      </w:pPr>
      <w:r>
        <w:rPr>
          <w:rFonts w:eastAsia="Times New Roman"/>
          <w:i/>
          <w:iCs/>
          <w:color w:val="000000"/>
          <w:sz w:val="20"/>
          <w:szCs w:val="20"/>
        </w:rPr>
        <w:t>12b-1 Fees and Other Revenue.</w:t>
      </w:r>
      <w:r>
        <w:rPr>
          <w:rFonts w:eastAsia="Times New Roman"/>
          <w:color w:val="000000"/>
          <w:sz w:val="20"/>
          <w:szCs w:val="20"/>
        </w:rPr>
        <w:t xml:space="preserve"> 12b-1 fees are paid by the mutual funds which our policyholders choose to invest in and are calculated based on the net assets of the funds allocated to our sub-accounts. Thes</w:t>
      </w:r>
      <w:r>
        <w:rPr>
          <w:rFonts w:eastAsia="Times New Roman"/>
          <w:color w:val="000000"/>
          <w:sz w:val="20"/>
          <w:szCs w:val="20"/>
        </w:rPr>
        <w:t>e fees reduce the returns policyholders earn from these funds. Additionally, mutual fund companies with funds that are available to policyholders through the variable annuity sub-accounts pay us fees consistent with the terms of administrative service agre</w:t>
      </w:r>
      <w:r>
        <w:rPr>
          <w:rFonts w:eastAsia="Times New Roman"/>
          <w:color w:val="000000"/>
          <w:sz w:val="20"/>
          <w:szCs w:val="20"/>
        </w:rPr>
        <w:t xml:space="preserve">ements. These fees are funded from the fund companies’ net revenues. </w:t>
      </w:r>
    </w:p>
    <w:p w:rsidR="00000000" w:rsidRDefault="005B0BC3">
      <w:pPr>
        <w:ind w:firstLine="360"/>
        <w:divId w:val="715666809"/>
        <w:rPr>
          <w:rFonts w:eastAsia="Times New Roman"/>
        </w:rPr>
      </w:pPr>
      <w:r>
        <w:rPr>
          <w:rFonts w:eastAsia="Times New Roman"/>
          <w:i/>
          <w:iCs/>
          <w:color w:val="000000"/>
          <w:sz w:val="20"/>
          <w:szCs w:val="20"/>
        </w:rPr>
        <w:t xml:space="preserve">Death Benefit Rider Charges. </w:t>
      </w:r>
      <w:r>
        <w:rPr>
          <w:rFonts w:eastAsia="Times New Roman"/>
          <w:color w:val="000000"/>
          <w:sz w:val="20"/>
          <w:szCs w:val="20"/>
        </w:rPr>
        <w:t xml:space="preserve">We deduct a charge annually from the policyholders’ AV on each contract date anniversary for most of our optional death benefits. This charge is in addition </w:t>
      </w:r>
      <w:r>
        <w:rPr>
          <w:rFonts w:eastAsia="Times New Roman"/>
          <w:color w:val="000000"/>
          <w:sz w:val="20"/>
          <w:szCs w:val="20"/>
        </w:rPr>
        <w:t>to the base mortality and expense charge for promising to pay the GMDB. The charges earned vary by generation and rider type. For some death benefits, the charges are calculated based on AV, but for enhanced death benefits, the charges are normally calcula</w:t>
      </w:r>
      <w:r>
        <w:rPr>
          <w:rFonts w:eastAsia="Times New Roman"/>
          <w:color w:val="000000"/>
          <w:sz w:val="20"/>
          <w:szCs w:val="20"/>
        </w:rPr>
        <w:t xml:space="preserve">ted based on the benefit base. </w:t>
      </w:r>
    </w:p>
    <w:p w:rsidR="00000000" w:rsidRDefault="005B0BC3">
      <w:pPr>
        <w:ind w:firstLine="360"/>
        <w:divId w:val="2133012435"/>
        <w:rPr>
          <w:rFonts w:eastAsia="Times New Roman"/>
        </w:rPr>
      </w:pPr>
      <w:r>
        <w:rPr>
          <w:rFonts w:eastAsia="Times New Roman"/>
          <w:i/>
          <w:iCs/>
          <w:color w:val="000000"/>
          <w:sz w:val="20"/>
          <w:szCs w:val="20"/>
        </w:rPr>
        <w:t xml:space="preserve">Living Benefit Riders Charges. </w:t>
      </w:r>
      <w:r>
        <w:rPr>
          <w:rFonts w:eastAsia="Times New Roman"/>
          <w:color w:val="000000"/>
          <w:sz w:val="20"/>
          <w:szCs w:val="20"/>
        </w:rPr>
        <w:t>We deduct a charge annually from the policyholders’ AV on each contract date anniversary. We earn these fees for promising to pay guaranteed benefits while the policyholder is alive, such as fo</w:t>
      </w:r>
      <w:r>
        <w:rPr>
          <w:rFonts w:eastAsia="Times New Roman"/>
          <w:color w:val="000000"/>
          <w:sz w:val="20"/>
          <w:szCs w:val="20"/>
        </w:rPr>
        <w:t xml:space="preserve">r any type of GMLB (including GMIB, GWBL, GMWB and GMAB). The fees earned vary by generation and rider type and are calculated based on the benefit base. </w:t>
      </w:r>
    </w:p>
    <w:p w:rsidR="00000000" w:rsidRDefault="005B0BC3">
      <w:pPr>
        <w:ind w:firstLine="360"/>
        <w:divId w:val="1127897587"/>
        <w:rPr>
          <w:rFonts w:eastAsia="Times New Roman"/>
        </w:rPr>
      </w:pPr>
      <w:r>
        <w:rPr>
          <w:rFonts w:eastAsia="Times New Roman"/>
          <w:i/>
          <w:iCs/>
          <w:color w:val="000000"/>
          <w:sz w:val="20"/>
          <w:szCs w:val="20"/>
        </w:rPr>
        <w:t xml:space="preserve">Investment Income. </w:t>
      </w:r>
      <w:r>
        <w:rPr>
          <w:rFonts w:eastAsia="Times New Roman"/>
          <w:color w:val="000000"/>
          <w:sz w:val="20"/>
          <w:szCs w:val="20"/>
        </w:rPr>
        <w:t xml:space="preserve">We earn revenue from investment income on our General Account investments. </w:t>
      </w:r>
    </w:p>
    <w:p w:rsidR="00000000" w:rsidRDefault="005B0BC3">
      <w:pPr>
        <w:jc w:val="center"/>
        <w:divId w:val="1779717191"/>
        <w:rPr>
          <w:rFonts w:eastAsia="Times New Roman"/>
        </w:rPr>
      </w:pPr>
      <w:r>
        <w:rPr>
          <w:rFonts w:eastAsia="Times New Roman"/>
          <w:color w:val="000000"/>
          <w:sz w:val="20"/>
          <w:szCs w:val="20"/>
        </w:rPr>
        <w:t>11</w:t>
      </w:r>
    </w:p>
    <w:p w:rsidR="00000000" w:rsidRDefault="005B0BC3">
      <w:pPr>
        <w:rPr>
          <w:rFonts w:eastAsia="Times New Roman"/>
        </w:rPr>
      </w:pPr>
      <w:r>
        <w:rPr>
          <w:rFonts w:eastAsia="Times New Roman"/>
        </w:rPr>
        <w:pict>
          <v:rect id="_x0000_i1040" style="width:0;height:1.5pt" o:hralign="center" o:hrstd="t" o:hr="t" fillcolor="#a0a0a0" stroked="f"/>
        </w:pict>
      </w:r>
    </w:p>
    <w:p w:rsidR="00000000" w:rsidRDefault="005B0BC3">
      <w:pPr>
        <w:divId w:val="1625426622"/>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jc w:val="both"/>
        <w:divId w:val="276790209"/>
        <w:rPr>
          <w:rFonts w:eastAsia="Times New Roman"/>
        </w:rPr>
      </w:pPr>
      <w:r>
        <w:rPr>
          <w:rFonts w:eastAsia="Times New Roman"/>
          <w:b/>
          <w:bCs/>
          <w:i/>
          <w:iCs/>
          <w:color w:val="000000"/>
          <w:sz w:val="20"/>
          <w:szCs w:val="20"/>
        </w:rPr>
        <w:t xml:space="preserve">Risk Management </w:t>
      </w:r>
    </w:p>
    <w:p w:rsidR="00000000" w:rsidRDefault="005B0BC3">
      <w:pPr>
        <w:ind w:firstLine="360"/>
        <w:divId w:val="1222137801"/>
        <w:rPr>
          <w:rFonts w:eastAsia="Times New Roman"/>
        </w:rPr>
      </w:pPr>
      <w:r>
        <w:rPr>
          <w:rFonts w:eastAsia="Times New Roman"/>
          <w:color w:val="000000"/>
          <w:sz w:val="20"/>
          <w:szCs w:val="20"/>
        </w:rPr>
        <w:t>We approach risk management of our variable annuity products: (i) prospectively, by assessing, and from time to time, modifyi</w:t>
      </w:r>
      <w:r>
        <w:rPr>
          <w:rFonts w:eastAsia="Times New Roman"/>
          <w:color w:val="000000"/>
          <w:sz w:val="20"/>
          <w:szCs w:val="20"/>
        </w:rPr>
        <w:t xml:space="preserve">ng our current product offerings to manage our risk and (ii) retrospectively, by implementing actions to reduce our exposure and manage the risks associated with in-force variable annuity contracts. </w:t>
      </w:r>
    </w:p>
    <w:p w:rsidR="00000000" w:rsidRDefault="005B0BC3">
      <w:pPr>
        <w:divId w:val="1322194824"/>
        <w:rPr>
          <w:rFonts w:eastAsia="Times New Roman"/>
        </w:rPr>
      </w:pPr>
      <w:r>
        <w:rPr>
          <w:rFonts w:eastAsia="Times New Roman"/>
          <w:i/>
          <w:iCs/>
          <w:color w:val="000000"/>
          <w:sz w:val="20"/>
          <w:szCs w:val="20"/>
          <w:u w:val="single"/>
        </w:rPr>
        <w:t xml:space="preserve">Current GMxB Product Strategy </w:t>
      </w:r>
    </w:p>
    <w:p w:rsidR="00000000" w:rsidRDefault="005B0BC3">
      <w:pPr>
        <w:ind w:firstLine="360"/>
        <w:divId w:val="1474329534"/>
        <w:rPr>
          <w:rFonts w:eastAsia="Times New Roman"/>
        </w:rPr>
      </w:pPr>
      <w:r>
        <w:rPr>
          <w:rFonts w:eastAsia="Times New Roman"/>
          <w:color w:val="000000"/>
          <w:sz w:val="20"/>
          <w:szCs w:val="20"/>
        </w:rPr>
        <w:t>Since 2008, we redesigned</w:t>
      </w:r>
      <w:r>
        <w:rPr>
          <w:rFonts w:eastAsia="Times New Roman"/>
          <w:color w:val="000000"/>
          <w:sz w:val="20"/>
          <w:szCs w:val="20"/>
        </w:rPr>
        <w:t xml:space="preserve"> our variable annuity product offering by introducing new variable annuities without GMxB features, discontinuing the offering of certain GMxB features and adding or adjusting other features to better enable us to manage the risk associated with these prod</w:t>
      </w:r>
      <w:r>
        <w:rPr>
          <w:rFonts w:eastAsia="Times New Roman"/>
          <w:color w:val="000000"/>
          <w:sz w:val="20"/>
          <w:szCs w:val="20"/>
        </w:rPr>
        <w:t>ucts. Through the increase in sales of our products without GMxB features, sales of our variable annuity contracts with GMxB features have decreased significantly as a percentage of our total sales. We continue to offer certain GMxB features to meet evolvi</w:t>
      </w:r>
      <w:r>
        <w:rPr>
          <w:rFonts w:eastAsia="Times New Roman"/>
          <w:color w:val="000000"/>
          <w:sz w:val="20"/>
          <w:szCs w:val="20"/>
        </w:rPr>
        <w:t xml:space="preserve">ng consumer demand while maintaining attractive risk-adjusted returns and effectively managing our risk. </w:t>
      </w:r>
    </w:p>
    <w:p w:rsidR="00000000" w:rsidRDefault="005B0BC3">
      <w:pPr>
        <w:ind w:firstLine="360"/>
        <w:divId w:val="1416517502"/>
        <w:rPr>
          <w:rFonts w:eastAsia="Times New Roman"/>
        </w:rPr>
      </w:pPr>
      <w:r>
        <w:rPr>
          <w:rFonts w:eastAsia="Times New Roman"/>
          <w:color w:val="000000"/>
          <w:sz w:val="20"/>
          <w:szCs w:val="20"/>
        </w:rPr>
        <w:t> Some of the features of our GMxB products have been redesigned over the past several years to better manage our risk and to meet customer demand. For</w:t>
      </w:r>
      <w:r>
        <w:rPr>
          <w:rFonts w:eastAsia="Times New Roman"/>
          <w:color w:val="000000"/>
          <w:sz w:val="20"/>
          <w:szCs w:val="20"/>
        </w:rPr>
        <w:t xml:space="preserve"> example: </w:t>
      </w:r>
    </w:p>
    <w:p w:rsidR="00000000" w:rsidRDefault="005B0BC3">
      <w:pPr>
        <w:ind w:hanging="450"/>
        <w:jc w:val="both"/>
        <w:divId w:val="348336488"/>
        <w:rPr>
          <w:rFonts w:eastAsia="Times New Roman"/>
        </w:rPr>
      </w:pPr>
      <w:r>
        <w:rPr>
          <w:rFonts w:eastAsia="Times New Roman"/>
          <w:color w:val="000000"/>
          <w:sz w:val="20"/>
          <w:szCs w:val="20"/>
        </w:rPr>
        <w:t xml:space="preserve">•we primarily offer floating (tied to interest rates), as opposed to fixed, roll-up rates; </w:t>
      </w:r>
    </w:p>
    <w:p w:rsidR="00000000" w:rsidRDefault="005B0BC3">
      <w:pPr>
        <w:ind w:hanging="450"/>
        <w:jc w:val="both"/>
        <w:divId w:val="1963220503"/>
        <w:rPr>
          <w:rFonts w:eastAsia="Times New Roman"/>
        </w:rPr>
      </w:pPr>
      <w:r>
        <w:rPr>
          <w:rFonts w:eastAsia="Times New Roman"/>
          <w:color w:val="000000"/>
          <w:sz w:val="20"/>
          <w:szCs w:val="20"/>
        </w:rPr>
        <w:t>•we offer lower risk investment options, including passive investments and bond funds with reduced credit risk if certain optional guaranteed benefits ar</w:t>
      </w:r>
      <w:r>
        <w:rPr>
          <w:rFonts w:eastAsia="Times New Roman"/>
          <w:color w:val="000000"/>
          <w:sz w:val="20"/>
          <w:szCs w:val="20"/>
        </w:rPr>
        <w:t xml:space="preserve">e elected; and </w:t>
      </w:r>
    </w:p>
    <w:p w:rsidR="00000000" w:rsidRDefault="005B0BC3">
      <w:pPr>
        <w:ind w:hanging="450"/>
        <w:divId w:val="1012534959"/>
        <w:rPr>
          <w:rFonts w:eastAsia="Times New Roman"/>
        </w:rPr>
      </w:pPr>
      <w:r>
        <w:rPr>
          <w:rFonts w:eastAsia="Times New Roman"/>
          <w:color w:val="000000"/>
          <w:sz w:val="20"/>
          <w:szCs w:val="20"/>
        </w:rPr>
        <w:t>•we offer managed volatility funds, which seek to reduce the risk of large, sudden declines in AV during market downturns by managing the volatility or draw-down risk of the underlying fund holdings through re-balancing the fund holdings wi</w:t>
      </w:r>
      <w:r>
        <w:rPr>
          <w:rFonts w:eastAsia="Times New Roman"/>
          <w:color w:val="000000"/>
          <w:sz w:val="20"/>
          <w:szCs w:val="20"/>
        </w:rPr>
        <w:t xml:space="preserve">thin certain guidelines or overlaying hedging strategies at the fund level. </w:t>
      </w:r>
    </w:p>
    <w:p w:rsidR="00000000" w:rsidRDefault="005B0BC3">
      <w:pPr>
        <w:ind w:firstLine="360"/>
        <w:divId w:val="1564754617"/>
        <w:rPr>
          <w:rFonts w:eastAsia="Times New Roman"/>
        </w:rPr>
      </w:pPr>
      <w:r>
        <w:rPr>
          <w:rFonts w:eastAsia="Times New Roman"/>
          <w:color w:val="000000"/>
          <w:sz w:val="20"/>
          <w:szCs w:val="20"/>
        </w:rPr>
        <w:t>To further manage our risk, features in our current GMxB products provide us with the right to make adjustments post-sale, including the ability to increase benefit charges. For m</w:t>
      </w:r>
      <w:r>
        <w:rPr>
          <w:rFonts w:eastAsia="Times New Roman"/>
          <w:color w:val="000000"/>
          <w:sz w:val="20"/>
          <w:szCs w:val="20"/>
        </w:rPr>
        <w:t xml:space="preserve">ore information on GMxB features contained in our current and in-force products, see below “—Overview of GMxB Features.” </w:t>
      </w:r>
    </w:p>
    <w:p w:rsidR="00000000" w:rsidRDefault="005B0BC3">
      <w:pPr>
        <w:divId w:val="1118993169"/>
        <w:rPr>
          <w:rFonts w:eastAsia="Times New Roman"/>
        </w:rPr>
      </w:pPr>
      <w:r>
        <w:rPr>
          <w:rFonts w:eastAsia="Times New Roman"/>
          <w:i/>
          <w:iCs/>
          <w:color w:val="000000"/>
          <w:sz w:val="20"/>
          <w:szCs w:val="20"/>
          <w:u w:val="single"/>
        </w:rPr>
        <w:t>In-force Variable Annuity Management</w:t>
      </w:r>
      <w:r>
        <w:rPr>
          <w:rFonts w:eastAsia="Times New Roman"/>
          <w:i/>
          <w:iCs/>
          <w:color w:val="000000"/>
          <w:sz w:val="20"/>
          <w:szCs w:val="20"/>
        </w:rPr>
        <w:t xml:space="preserve"> </w:t>
      </w:r>
    </w:p>
    <w:p w:rsidR="00000000" w:rsidRDefault="005B0BC3">
      <w:pPr>
        <w:ind w:firstLine="360"/>
        <w:divId w:val="1432895566"/>
        <w:rPr>
          <w:rFonts w:eastAsia="Times New Roman"/>
        </w:rPr>
      </w:pPr>
      <w:r>
        <w:rPr>
          <w:rFonts w:eastAsia="Times New Roman"/>
          <w:color w:val="000000"/>
          <w:sz w:val="20"/>
          <w:szCs w:val="20"/>
        </w:rPr>
        <w:t>Since the financial crisis, we have implemented several actions to reduce our exposure and manag</w:t>
      </w:r>
      <w:r>
        <w:rPr>
          <w:rFonts w:eastAsia="Times New Roman"/>
          <w:color w:val="000000"/>
          <w:sz w:val="20"/>
          <w:szCs w:val="20"/>
        </w:rPr>
        <w:t xml:space="preserve">e the risks associated with in-force variable annuity contracts while ensuring policyholder rights are fully respected. We manage the risks associated with our in-force variable annuity business through our dynamic hedging program, reinsurance and product </w:t>
      </w:r>
      <w:r>
        <w:rPr>
          <w:rFonts w:eastAsia="Times New Roman"/>
          <w:color w:val="000000"/>
          <w:sz w:val="20"/>
          <w:szCs w:val="20"/>
        </w:rPr>
        <w:t>design. The dynamic hedging program was implemented in the early 2000s. In addition, we use reinsurance for the GMxB riders on our older variable annuity products (generally issued 1996-2004). We have also introduced several other risk management programs,</w:t>
      </w:r>
      <w:r>
        <w:rPr>
          <w:rFonts w:eastAsia="Times New Roman"/>
          <w:color w:val="000000"/>
          <w:sz w:val="20"/>
          <w:szCs w:val="20"/>
        </w:rPr>
        <w:t xml:space="preserve"> some of which are described in this section below. </w:t>
      </w:r>
    </w:p>
    <w:p w:rsidR="00000000" w:rsidRDefault="005B0BC3">
      <w:pPr>
        <w:ind w:firstLine="360"/>
        <w:divId w:val="18162644"/>
        <w:rPr>
          <w:rFonts w:eastAsia="Times New Roman"/>
        </w:rPr>
      </w:pPr>
      <w:r>
        <w:rPr>
          <w:rFonts w:eastAsia="Times New Roman"/>
          <w:color w:val="000000"/>
          <w:sz w:val="20"/>
          <w:szCs w:val="20"/>
        </w:rPr>
        <w:t>To actively manage and protect against the economic risks associated with our in-force variable annuity products, our management team has taken a multi-pronged approach. Our in-force variable annuity ris</w:t>
      </w:r>
      <w:r>
        <w:rPr>
          <w:rFonts w:eastAsia="Times New Roman"/>
          <w:color w:val="000000"/>
          <w:sz w:val="20"/>
          <w:szCs w:val="20"/>
        </w:rPr>
        <w:t xml:space="preserve">k management programs include: </w:t>
      </w:r>
    </w:p>
    <w:p w:rsidR="00000000" w:rsidRDefault="005B0BC3">
      <w:pPr>
        <w:divId w:val="2139839877"/>
        <w:rPr>
          <w:rFonts w:eastAsia="Times New Roman"/>
        </w:rPr>
      </w:pPr>
      <w:r>
        <w:rPr>
          <w:rFonts w:eastAsia="Times New Roman"/>
          <w:b/>
          <w:bCs/>
          <w:color w:val="000000"/>
          <w:sz w:val="20"/>
          <w:szCs w:val="20"/>
        </w:rPr>
        <w:t xml:space="preserve">Hedging </w:t>
      </w:r>
    </w:p>
    <w:p w:rsidR="00000000" w:rsidRDefault="005B0BC3">
      <w:pPr>
        <w:ind w:firstLine="360"/>
        <w:divId w:val="1287616763"/>
        <w:rPr>
          <w:rFonts w:eastAsia="Times New Roman"/>
        </w:rPr>
      </w:pPr>
      <w:r>
        <w:rPr>
          <w:rFonts w:eastAsia="Times New Roman"/>
          <w:color w:val="000000"/>
          <w:sz w:val="20"/>
          <w:szCs w:val="20"/>
        </w:rPr>
        <w:t xml:space="preserve">We use a dynamic hedging strategy supplemented by static hedges to offset changes in our economic liability from changes in equity markets and interest rates. In addition to our dynamic hedging strategy, we have static hedge positions to maintain a target </w:t>
      </w:r>
      <w:r>
        <w:rPr>
          <w:rFonts w:eastAsia="Times New Roman"/>
          <w:color w:val="000000"/>
          <w:sz w:val="20"/>
          <w:szCs w:val="20"/>
        </w:rPr>
        <w:t>asset level for all variable annuities. A wide range of derivatives contracts are used in these hedging programs, such as futures and total return swaps (both equity and fixed income), options and variance swaps, as well as, to a lesser extent, bond invest</w:t>
      </w:r>
      <w:r>
        <w:rPr>
          <w:rFonts w:eastAsia="Times New Roman"/>
          <w:color w:val="000000"/>
          <w:sz w:val="20"/>
          <w:szCs w:val="20"/>
        </w:rPr>
        <w:t>ments and repurchase agreements. For GMxB features, we retain certain risks including basis, credit spread, and some volatility risk and risk associated with actual versus expected assumptions for mortality, lapse and surrender, withdrawal and contract-hol</w:t>
      </w:r>
      <w:r>
        <w:rPr>
          <w:rFonts w:eastAsia="Times New Roman"/>
          <w:color w:val="000000"/>
          <w:sz w:val="20"/>
          <w:szCs w:val="20"/>
        </w:rPr>
        <w:t xml:space="preserve">der election rates, among other things. </w:t>
      </w:r>
    </w:p>
    <w:p w:rsidR="00000000" w:rsidRDefault="005B0BC3">
      <w:pPr>
        <w:divId w:val="1678114875"/>
        <w:rPr>
          <w:rFonts w:eastAsia="Times New Roman"/>
        </w:rPr>
      </w:pPr>
      <w:r>
        <w:rPr>
          <w:rFonts w:eastAsia="Times New Roman"/>
          <w:b/>
          <w:bCs/>
          <w:color w:val="000000"/>
          <w:sz w:val="20"/>
          <w:szCs w:val="20"/>
        </w:rPr>
        <w:t xml:space="preserve">Reinsurance </w:t>
      </w:r>
    </w:p>
    <w:p w:rsidR="00000000" w:rsidRDefault="005B0BC3">
      <w:pPr>
        <w:ind w:firstLine="360"/>
        <w:divId w:val="1461414810"/>
        <w:rPr>
          <w:rFonts w:eastAsia="Times New Roman"/>
        </w:rPr>
      </w:pPr>
      <w:r>
        <w:rPr>
          <w:rFonts w:eastAsia="Times New Roman"/>
          <w:color w:val="000000"/>
          <w:sz w:val="20"/>
          <w:szCs w:val="20"/>
        </w:rPr>
        <w:t>We have used reinsurance to mitigate a portion of the risks that we face in certain of our variable annuity products with regard to a portion of the GMxB features. Under our reinsurance arrangements, ot</w:t>
      </w:r>
      <w:r>
        <w:rPr>
          <w:rFonts w:eastAsia="Times New Roman"/>
          <w:color w:val="000000"/>
          <w:sz w:val="20"/>
          <w:szCs w:val="20"/>
        </w:rPr>
        <w:t>her insurers assume a portion of the obligation to pay claims and related expenses to which we are subject. However, we remain liable as the direct insurer on all risks we reinsure and, therefore, are subject to the risk that our reinsurer is unable or unw</w:t>
      </w:r>
      <w:r>
        <w:rPr>
          <w:rFonts w:eastAsia="Times New Roman"/>
          <w:color w:val="000000"/>
          <w:sz w:val="20"/>
          <w:szCs w:val="20"/>
        </w:rPr>
        <w:t>illing to pay or reimburse claims at the time demand is made. We evaluate the financial condition of our reinsurers in an effort to minimize our exposure to significant losses from reinsurer insolvencies. Also, we ensure that we obtain collateral to mitiga</w:t>
      </w:r>
      <w:r>
        <w:rPr>
          <w:rFonts w:eastAsia="Times New Roman"/>
          <w:color w:val="000000"/>
          <w:sz w:val="20"/>
          <w:szCs w:val="20"/>
        </w:rPr>
        <w:t>te our risk of loss.</w:t>
      </w:r>
    </w:p>
    <w:p w:rsidR="00000000" w:rsidRDefault="005B0BC3">
      <w:pPr>
        <w:jc w:val="center"/>
        <w:divId w:val="145364640"/>
        <w:rPr>
          <w:rFonts w:eastAsia="Times New Roman"/>
        </w:rPr>
      </w:pPr>
      <w:r>
        <w:rPr>
          <w:rFonts w:eastAsia="Times New Roman"/>
          <w:color w:val="000000"/>
          <w:sz w:val="20"/>
          <w:szCs w:val="20"/>
        </w:rPr>
        <w:t>12</w:t>
      </w:r>
    </w:p>
    <w:p w:rsidR="00000000" w:rsidRDefault="005B0BC3">
      <w:pPr>
        <w:rPr>
          <w:rFonts w:eastAsia="Times New Roman"/>
        </w:rPr>
      </w:pPr>
      <w:r>
        <w:rPr>
          <w:rFonts w:eastAsia="Times New Roman"/>
        </w:rPr>
        <w:pict>
          <v:rect id="_x0000_i1041" style="width:0;height:1.5pt" o:hralign="center" o:hrstd="t" o:hr="t" fillcolor="#a0a0a0" stroked="f"/>
        </w:pict>
      </w:r>
    </w:p>
    <w:p w:rsidR="00000000" w:rsidRDefault="005B0BC3">
      <w:pPr>
        <w:divId w:val="1454903621"/>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ind w:firstLine="360"/>
        <w:divId w:val="2005818863"/>
        <w:rPr>
          <w:rFonts w:eastAsia="Times New Roman"/>
        </w:rPr>
      </w:pPr>
      <w:r>
        <w:rPr>
          <w:rFonts w:eastAsia="Times New Roman"/>
          <w:i/>
          <w:iCs/>
          <w:color w:val="000000"/>
          <w:sz w:val="20"/>
          <w:szCs w:val="20"/>
        </w:rPr>
        <w:t xml:space="preserve">Non-affiliate Reinsurance. </w:t>
      </w:r>
      <w:r>
        <w:rPr>
          <w:rFonts w:eastAsia="Times New Roman"/>
          <w:color w:val="000000"/>
          <w:sz w:val="20"/>
          <w:szCs w:val="20"/>
        </w:rPr>
        <w:t>We have reinsured to non-affiliated reinsurers a portion of our exposure on variable annuit</w:t>
      </w:r>
      <w:r>
        <w:rPr>
          <w:rFonts w:eastAsia="Times New Roman"/>
          <w:color w:val="000000"/>
          <w:sz w:val="20"/>
          <w:szCs w:val="20"/>
        </w:rPr>
        <w:t xml:space="preserve">y products that offer a GMxB feature issued through February 2005. As of December 31, 2021, we had reinsured to non-affiliated reinsurers, subject to certain maximum amounts or caps in any one period, approximately 59.8% of our NAR resulting from the GMIB </w:t>
      </w:r>
      <w:r>
        <w:rPr>
          <w:rFonts w:eastAsia="Times New Roman"/>
          <w:color w:val="000000"/>
          <w:sz w:val="20"/>
          <w:szCs w:val="20"/>
        </w:rPr>
        <w:t xml:space="preserve">feature and approximately 47.6% of our NAR to the GMDB obligation on variable annuity contracts in force as of December 31, 2021. </w:t>
      </w:r>
    </w:p>
    <w:p w:rsidR="00000000" w:rsidRDefault="005B0BC3">
      <w:pPr>
        <w:divId w:val="1001006920"/>
        <w:rPr>
          <w:rFonts w:eastAsia="Times New Roman"/>
        </w:rPr>
      </w:pPr>
      <w:r>
        <w:rPr>
          <w:rFonts w:eastAsia="Times New Roman"/>
          <w:color w:val="000000"/>
          <w:sz w:val="20"/>
          <w:szCs w:val="20"/>
        </w:rPr>
        <w:t>In June 2021, as part of the Venerable Transaction, Equitable Financial ceded to CS Life on a combined coinsurance and modifi</w:t>
      </w:r>
      <w:r>
        <w:rPr>
          <w:rFonts w:eastAsia="Times New Roman"/>
          <w:color w:val="000000"/>
          <w:sz w:val="20"/>
          <w:szCs w:val="20"/>
        </w:rPr>
        <w:t>ed coinsurance basis, legacy variable annuity policies sold by Equitable Financial between 2006-2008, comprised of non-New York “Accumulator” policies containing fixed rate GMIB and/or GMDB guarantees. For additional information regarding the Venerable Tra</w:t>
      </w:r>
      <w:r>
        <w:rPr>
          <w:rFonts w:eastAsia="Times New Roman"/>
          <w:color w:val="000000"/>
          <w:sz w:val="20"/>
          <w:szCs w:val="20"/>
        </w:rPr>
        <w:t>nsaction, see “—Overview—Venerable Transaction” and Note 1 of the Notes to these Consolidated Financial Statements.</w:t>
      </w:r>
    </w:p>
    <w:p w:rsidR="00000000" w:rsidRDefault="005B0BC3">
      <w:pPr>
        <w:divId w:val="424426631"/>
        <w:rPr>
          <w:rFonts w:eastAsia="Times New Roman"/>
        </w:rPr>
      </w:pPr>
    </w:p>
    <w:p w:rsidR="00000000" w:rsidRDefault="005B0BC3">
      <w:pPr>
        <w:ind w:firstLine="360"/>
        <w:divId w:val="657684924"/>
        <w:rPr>
          <w:rFonts w:eastAsia="Times New Roman"/>
        </w:rPr>
      </w:pPr>
      <w:r>
        <w:rPr>
          <w:rFonts w:eastAsia="Times New Roman"/>
          <w:i/>
          <w:iCs/>
          <w:color w:val="000000"/>
          <w:sz w:val="20"/>
          <w:szCs w:val="20"/>
        </w:rPr>
        <w:t>Captive Reinsurance.</w:t>
      </w:r>
      <w:r>
        <w:rPr>
          <w:rFonts w:eastAsia="Times New Roman"/>
          <w:color w:val="000000"/>
          <w:sz w:val="20"/>
          <w:szCs w:val="20"/>
        </w:rPr>
        <w:t xml:space="preserve"> In addition to non-affiliated reinsurance, Equitable Financial has ceded to its affiliate, EQ AZ Life RE, a captive r</w:t>
      </w:r>
      <w:r>
        <w:rPr>
          <w:rFonts w:eastAsia="Times New Roman"/>
          <w:color w:val="000000"/>
          <w:sz w:val="20"/>
          <w:szCs w:val="20"/>
        </w:rPr>
        <w:t>einsurance company, a 100% quota share of all liabilities for variable annuities with GMIB riders issued on or after May 1, 1999 through August 31, 2005 in excess of the liability assumed by two unaffiliated reinsurers, which are subject to certain maximum</w:t>
      </w:r>
      <w:r>
        <w:rPr>
          <w:rFonts w:eastAsia="Times New Roman"/>
          <w:color w:val="000000"/>
          <w:sz w:val="20"/>
          <w:szCs w:val="20"/>
        </w:rPr>
        <w:t xml:space="preserve"> amounts or limitations on aggregate claims. We use captive reinsurance as part of our capital management strategy. For additional information regarding our use of captives, see “—Regulation—Insurance Regulation—Captive Reinsurance Regulation and Variable </w:t>
      </w:r>
      <w:r>
        <w:rPr>
          <w:rFonts w:eastAsia="Times New Roman"/>
          <w:color w:val="000000"/>
          <w:sz w:val="20"/>
          <w:szCs w:val="20"/>
        </w:rPr>
        <w:t>Annuity Capital Standards”, “Risk Factors—Risks Relating to Our Retirement and Protection Businesses—Risks Relating to Reinsurance and Hedging—Our reinsurance arrangement with an affiliated captive” and “Management’s Discussion and Analysis of Financial Co</w:t>
      </w:r>
      <w:r>
        <w:rPr>
          <w:rFonts w:eastAsia="Times New Roman"/>
          <w:color w:val="000000"/>
          <w:sz w:val="20"/>
          <w:szCs w:val="20"/>
        </w:rPr>
        <w:t>ndition and Results of Operations—Liquidity and Capital Resources—Captive Reinsurance Company.”</w:t>
      </w:r>
    </w:p>
    <w:p w:rsidR="00000000" w:rsidRDefault="005B0BC3">
      <w:pPr>
        <w:divId w:val="1369643133"/>
        <w:rPr>
          <w:rFonts w:eastAsia="Times New Roman"/>
        </w:rPr>
      </w:pPr>
      <w:r>
        <w:rPr>
          <w:rFonts w:eastAsia="Times New Roman"/>
          <w:b/>
          <w:bCs/>
          <w:color w:val="000000"/>
          <w:sz w:val="20"/>
          <w:szCs w:val="20"/>
        </w:rPr>
        <w:t xml:space="preserve">Other Programs </w:t>
      </w:r>
    </w:p>
    <w:p w:rsidR="00000000" w:rsidRDefault="005B0BC3">
      <w:pPr>
        <w:ind w:firstLine="360"/>
        <w:divId w:val="2135175617"/>
        <w:rPr>
          <w:rFonts w:eastAsia="Times New Roman"/>
        </w:rPr>
      </w:pPr>
      <w:r>
        <w:rPr>
          <w:rFonts w:eastAsia="Times New Roman"/>
          <w:color w:val="000000"/>
          <w:sz w:val="20"/>
          <w:szCs w:val="20"/>
        </w:rPr>
        <w:t xml:space="preserve">We have introduced several other programs that reduced gross reserves and reduced the risk in our in-force block and, in many cases, offered a benefit to our clients by offering liquidity or flexibility: </w:t>
      </w:r>
    </w:p>
    <w:p w:rsidR="00000000" w:rsidRDefault="005B0BC3">
      <w:pPr>
        <w:ind w:firstLine="360"/>
        <w:divId w:val="1473257972"/>
        <w:rPr>
          <w:rFonts w:eastAsia="Times New Roman"/>
        </w:rPr>
      </w:pPr>
      <w:r>
        <w:rPr>
          <w:rFonts w:eastAsia="Times New Roman"/>
          <w:i/>
          <w:iCs/>
          <w:color w:val="000000"/>
          <w:sz w:val="20"/>
          <w:szCs w:val="20"/>
        </w:rPr>
        <w:t>Investment Option Changes.</w:t>
      </w:r>
      <w:r>
        <w:rPr>
          <w:rFonts w:eastAsia="Times New Roman"/>
          <w:color w:val="000000"/>
          <w:sz w:val="20"/>
          <w:szCs w:val="20"/>
        </w:rPr>
        <w:t xml:space="preserve"> We made several changes </w:t>
      </w:r>
      <w:r>
        <w:rPr>
          <w:rFonts w:eastAsia="Times New Roman"/>
          <w:color w:val="000000"/>
          <w:sz w:val="20"/>
          <w:szCs w:val="20"/>
        </w:rPr>
        <w:t>to our investment options within our variable annuity products over the years to manage risk, employ more passive strategies and offer our clients attractive risk-adjusted investment returns. To reduce the differential between hedging instruments performan</w:t>
      </w:r>
      <w:r>
        <w:rPr>
          <w:rFonts w:eastAsia="Times New Roman"/>
          <w:color w:val="000000"/>
          <w:sz w:val="20"/>
          <w:szCs w:val="20"/>
        </w:rPr>
        <w:t>ce and fund performance, we added many passive investment strategies and reduced the credit risk of some of the bond portfolios, which is designed to provide a better risk adjusted return to clients. We also introduced managed volatility funds in 2009. Our</w:t>
      </w:r>
      <w:r>
        <w:rPr>
          <w:rFonts w:eastAsia="Times New Roman"/>
          <w:color w:val="000000"/>
          <w:sz w:val="20"/>
          <w:szCs w:val="20"/>
        </w:rPr>
        <w:t xml:space="preserve"> volatility management strategy seeks to reduce the portfolio’s equity exposure during periods when certain market indicators indicate that market volatility is above specific thresholds set for the portfolio. Historically when market volatility is high, e</w:t>
      </w:r>
      <w:r>
        <w:rPr>
          <w:rFonts w:eastAsia="Times New Roman"/>
          <w:color w:val="000000"/>
          <w:sz w:val="20"/>
          <w:szCs w:val="20"/>
        </w:rPr>
        <w:t xml:space="preserve">quity markets generally are trending down, and therefore this strategy is intended to reduce the clients’ overall risk of investing in the portfolio. </w:t>
      </w:r>
    </w:p>
    <w:p w:rsidR="00000000" w:rsidRDefault="005B0BC3">
      <w:pPr>
        <w:ind w:firstLine="360"/>
        <w:divId w:val="450056650"/>
        <w:rPr>
          <w:rFonts w:eastAsia="Times New Roman"/>
        </w:rPr>
      </w:pPr>
      <w:r>
        <w:rPr>
          <w:rFonts w:eastAsia="Times New Roman"/>
          <w:i/>
          <w:iCs/>
          <w:color w:val="000000"/>
          <w:sz w:val="20"/>
          <w:szCs w:val="20"/>
        </w:rPr>
        <w:t xml:space="preserve">Optional Buyouts. </w:t>
      </w:r>
      <w:r>
        <w:rPr>
          <w:rFonts w:eastAsia="Times New Roman"/>
          <w:color w:val="000000"/>
          <w:sz w:val="20"/>
          <w:szCs w:val="20"/>
        </w:rPr>
        <w:t>We have implemented several successful buyout programs on contracts issued between 2002</w:t>
      </w:r>
      <w:r>
        <w:rPr>
          <w:rFonts w:eastAsia="Times New Roman"/>
          <w:color w:val="000000"/>
          <w:sz w:val="20"/>
          <w:szCs w:val="20"/>
        </w:rPr>
        <w:t xml:space="preserve"> and 2009 that benefited clients whose needs had changed since buying the initial contract and reduced our exposure to certain types of GMxB features. </w:t>
      </w:r>
    </w:p>
    <w:p w:rsidR="00000000" w:rsidRDefault="005B0BC3">
      <w:pPr>
        <w:ind w:firstLine="360"/>
        <w:divId w:val="1255817515"/>
        <w:rPr>
          <w:rFonts w:eastAsia="Times New Roman"/>
        </w:rPr>
      </w:pPr>
      <w:r>
        <w:rPr>
          <w:rFonts w:eastAsia="Times New Roman"/>
          <w:i/>
          <w:iCs/>
          <w:color w:val="000000"/>
          <w:sz w:val="20"/>
          <w:szCs w:val="20"/>
        </w:rPr>
        <w:t xml:space="preserve">Premium Suspension Programs. </w:t>
      </w:r>
      <w:r>
        <w:rPr>
          <w:rFonts w:eastAsia="Times New Roman"/>
          <w:color w:val="000000"/>
          <w:sz w:val="20"/>
          <w:szCs w:val="20"/>
        </w:rPr>
        <w:t>We have suspended the acceptance of subsequent premiums to certain GMxB con</w:t>
      </w:r>
      <w:r>
        <w:rPr>
          <w:rFonts w:eastAsia="Times New Roman"/>
          <w:color w:val="000000"/>
          <w:sz w:val="20"/>
          <w:szCs w:val="20"/>
        </w:rPr>
        <w:t xml:space="preserve">tracts. </w:t>
      </w:r>
    </w:p>
    <w:p w:rsidR="00000000" w:rsidRDefault="005B0BC3">
      <w:pPr>
        <w:ind w:firstLine="360"/>
        <w:divId w:val="618343161"/>
        <w:rPr>
          <w:rFonts w:eastAsia="Times New Roman"/>
        </w:rPr>
      </w:pPr>
      <w:r>
        <w:rPr>
          <w:rFonts w:eastAsia="Times New Roman"/>
          <w:i/>
          <w:iCs/>
          <w:color w:val="000000"/>
          <w:sz w:val="20"/>
          <w:szCs w:val="20"/>
        </w:rPr>
        <w:t>Lump Sum Option.</w:t>
      </w:r>
      <w:r>
        <w:rPr>
          <w:rFonts w:eastAsia="Times New Roman"/>
          <w:color w:val="000000"/>
          <w:sz w:val="20"/>
          <w:szCs w:val="20"/>
        </w:rPr>
        <w:t xml:space="preserve"> We have provided certain policyholders with the optional benefit to receive a one-time lump sum payment rather than systematic lifetime payments if their AV falls to zero. This option provides the same advantages as a buyout. Howe</w:t>
      </w:r>
      <w:r>
        <w:rPr>
          <w:rFonts w:eastAsia="Times New Roman"/>
          <w:color w:val="000000"/>
          <w:sz w:val="20"/>
          <w:szCs w:val="20"/>
        </w:rPr>
        <w:t xml:space="preserve">ver, because the availability of this option is contingent on future events, their actual effectiveness will only be known over a long-term horizon. </w:t>
      </w:r>
    </w:p>
    <w:p w:rsidR="00000000" w:rsidRDefault="005B0BC3">
      <w:pPr>
        <w:divId w:val="833687584"/>
        <w:rPr>
          <w:rFonts w:eastAsia="Times New Roman"/>
        </w:rPr>
      </w:pPr>
      <w:r>
        <w:rPr>
          <w:rFonts w:eastAsia="Times New Roman"/>
          <w:b/>
          <w:bCs/>
          <w:color w:val="000000"/>
          <w:sz w:val="20"/>
          <w:szCs w:val="20"/>
        </w:rPr>
        <w:t xml:space="preserve"> Overview of GMxB Features </w:t>
      </w:r>
    </w:p>
    <w:p w:rsidR="00000000" w:rsidRDefault="005B0BC3">
      <w:pPr>
        <w:ind w:firstLine="360"/>
        <w:divId w:val="629213537"/>
        <w:rPr>
          <w:rFonts w:eastAsia="Times New Roman"/>
        </w:rPr>
      </w:pPr>
      <w:r>
        <w:rPr>
          <w:rFonts w:eastAsia="Times New Roman"/>
          <w:color w:val="000000"/>
          <w:sz w:val="20"/>
          <w:szCs w:val="20"/>
        </w:rPr>
        <w:t>We have historically offered a variety of variable annuity benefit features, i</w:t>
      </w:r>
      <w:r>
        <w:rPr>
          <w:rFonts w:eastAsia="Times New Roman"/>
          <w:color w:val="000000"/>
          <w:sz w:val="20"/>
          <w:szCs w:val="20"/>
        </w:rPr>
        <w:t xml:space="preserve">ncluding GMxB features, to our policyholders in our Individual Retirement segment. </w:t>
      </w:r>
    </w:p>
    <w:p w:rsidR="00000000" w:rsidRDefault="005B0BC3">
      <w:pPr>
        <w:jc w:val="both"/>
        <w:divId w:val="1777825896"/>
        <w:rPr>
          <w:rFonts w:eastAsia="Times New Roman"/>
        </w:rPr>
      </w:pPr>
      <w:r>
        <w:rPr>
          <w:rFonts w:eastAsia="Times New Roman"/>
          <w:b/>
          <w:bCs/>
          <w:i/>
          <w:iCs/>
          <w:color w:val="000000"/>
          <w:sz w:val="20"/>
          <w:szCs w:val="20"/>
        </w:rPr>
        <w:t xml:space="preserve">Guaranteed Minimum Death Benefits Summary </w:t>
      </w:r>
    </w:p>
    <w:p w:rsidR="00000000" w:rsidRDefault="005B0BC3">
      <w:pPr>
        <w:ind w:firstLine="360"/>
        <w:divId w:val="1317146058"/>
        <w:rPr>
          <w:rFonts w:eastAsia="Times New Roman"/>
        </w:rPr>
      </w:pPr>
      <w:r>
        <w:rPr>
          <w:rFonts w:eastAsia="Times New Roman"/>
          <w:color w:val="000000"/>
          <w:sz w:val="20"/>
          <w:szCs w:val="20"/>
        </w:rPr>
        <w:t>We have historically offered GMDB features in isolation or together with GMLB features, including the following (with no addition</w:t>
      </w:r>
      <w:r>
        <w:rPr>
          <w:rFonts w:eastAsia="Times New Roman"/>
          <w:color w:val="000000"/>
          <w:sz w:val="20"/>
          <w:szCs w:val="20"/>
        </w:rPr>
        <w:t xml:space="preserve">al charge unless noted): </w:t>
      </w:r>
    </w:p>
    <w:p w:rsidR="00000000" w:rsidRDefault="005B0BC3">
      <w:pPr>
        <w:ind w:hanging="360"/>
        <w:jc w:val="both"/>
        <w:divId w:val="94793825"/>
        <w:rPr>
          <w:rFonts w:eastAsia="Times New Roman"/>
        </w:rPr>
      </w:pPr>
      <w:r>
        <w:rPr>
          <w:rFonts w:eastAsia="Times New Roman"/>
          <w:color w:val="000000"/>
          <w:sz w:val="20"/>
          <w:szCs w:val="20"/>
        </w:rPr>
        <w:t>•</w:t>
      </w:r>
      <w:r>
        <w:rPr>
          <w:rFonts w:eastAsia="Times New Roman"/>
          <w:i/>
          <w:iCs/>
          <w:color w:val="000000"/>
          <w:sz w:val="20"/>
          <w:szCs w:val="20"/>
        </w:rPr>
        <w:t xml:space="preserve">Return of Premium Death Benefit. </w:t>
      </w:r>
      <w:r>
        <w:rPr>
          <w:rFonts w:eastAsia="Times New Roman"/>
          <w:color w:val="000000"/>
          <w:sz w:val="20"/>
          <w:szCs w:val="20"/>
        </w:rPr>
        <w:t xml:space="preserve">This death benefit pays the greater of the AV at the time of a claim following the owner’s death or the total contributions to the contract (subject to adjustment for withdrawals). The charge for </w:t>
      </w:r>
      <w:r>
        <w:rPr>
          <w:rFonts w:eastAsia="Times New Roman"/>
          <w:color w:val="000000"/>
          <w:sz w:val="20"/>
          <w:szCs w:val="20"/>
        </w:rPr>
        <w:t xml:space="preserve">this </w:t>
      </w:r>
    </w:p>
    <w:p w:rsidR="00000000" w:rsidRDefault="005B0BC3">
      <w:pPr>
        <w:jc w:val="center"/>
        <w:divId w:val="1757358909"/>
        <w:rPr>
          <w:rFonts w:eastAsia="Times New Roman"/>
        </w:rPr>
      </w:pPr>
      <w:r>
        <w:rPr>
          <w:rFonts w:eastAsia="Times New Roman"/>
          <w:color w:val="000000"/>
          <w:sz w:val="20"/>
          <w:szCs w:val="20"/>
        </w:rPr>
        <w:t>13</w:t>
      </w:r>
    </w:p>
    <w:p w:rsidR="00000000" w:rsidRDefault="005B0BC3">
      <w:pPr>
        <w:rPr>
          <w:rFonts w:eastAsia="Times New Roman"/>
        </w:rPr>
      </w:pPr>
      <w:r>
        <w:rPr>
          <w:rFonts w:eastAsia="Times New Roman"/>
        </w:rPr>
        <w:pict>
          <v:rect id="_x0000_i1042" style="width:0;height:1.5pt" o:hralign="center" o:hrstd="t" o:hr="t" fillcolor="#a0a0a0" stroked="f"/>
        </w:pict>
      </w:r>
    </w:p>
    <w:p w:rsidR="00000000" w:rsidRDefault="005B0BC3">
      <w:pPr>
        <w:divId w:val="1637224691"/>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jc w:val="both"/>
        <w:divId w:val="1884362125"/>
        <w:rPr>
          <w:rFonts w:eastAsia="Times New Roman"/>
        </w:rPr>
      </w:pPr>
      <w:r>
        <w:rPr>
          <w:rFonts w:eastAsia="Times New Roman"/>
          <w:color w:val="000000"/>
          <w:sz w:val="20"/>
          <w:szCs w:val="20"/>
        </w:rPr>
        <w:t xml:space="preserve">benefit is usually included in the Mortality &amp; Expense charge that is deducted daily from the net assets in each variable investment option. </w:t>
      </w:r>
    </w:p>
    <w:p w:rsidR="00000000" w:rsidRDefault="005B0BC3">
      <w:pPr>
        <w:ind w:hanging="360"/>
        <w:jc w:val="both"/>
        <w:divId w:val="1176968092"/>
        <w:rPr>
          <w:rFonts w:eastAsia="Times New Roman"/>
        </w:rPr>
      </w:pPr>
      <w:r>
        <w:rPr>
          <w:rFonts w:eastAsia="Times New Roman"/>
          <w:color w:val="000000"/>
          <w:sz w:val="20"/>
          <w:szCs w:val="20"/>
        </w:rPr>
        <w:t>•</w:t>
      </w:r>
      <w:r>
        <w:rPr>
          <w:rFonts w:eastAsia="Times New Roman"/>
          <w:i/>
          <w:iCs/>
          <w:color w:val="000000"/>
          <w:sz w:val="20"/>
          <w:szCs w:val="20"/>
        </w:rPr>
        <w:t>RMD Wealthguard Death Benefit.</w:t>
      </w:r>
      <w:r>
        <w:rPr>
          <w:rFonts w:eastAsia="Times New Roman"/>
          <w:color w:val="000000"/>
          <w:sz w:val="20"/>
          <w:szCs w:val="20"/>
        </w:rPr>
        <w:t xml:space="preserve"> This death benefit features a benefit base that does not decrease by the amount of any IRS-mandated withdrawals, or RMD, from the contract. The benefit base automatically increases to equal the highest AV on the current or a</w:t>
      </w:r>
      <w:r>
        <w:rPr>
          <w:rFonts w:eastAsia="Times New Roman"/>
          <w:color w:val="000000"/>
          <w:sz w:val="20"/>
          <w:szCs w:val="20"/>
        </w:rPr>
        <w:t>ny prior contract anniversary until RMD withdrawals begin or until the owner reaches a specified maximum age, even if the AV is reduced by negative investment performance. The charges for this benefit are calculated based on the benefit base value and dedu</w:t>
      </w:r>
      <w:r>
        <w:rPr>
          <w:rFonts w:eastAsia="Times New Roman"/>
          <w:color w:val="000000"/>
          <w:sz w:val="20"/>
          <w:szCs w:val="20"/>
        </w:rPr>
        <w:t xml:space="preserve">cted annually from the AV. </w:t>
      </w:r>
    </w:p>
    <w:p w:rsidR="00000000" w:rsidRDefault="005B0BC3">
      <w:pPr>
        <w:ind w:hanging="360"/>
        <w:jc w:val="both"/>
        <w:divId w:val="1029722991"/>
        <w:rPr>
          <w:rFonts w:eastAsia="Times New Roman"/>
        </w:rPr>
      </w:pPr>
      <w:r>
        <w:rPr>
          <w:rFonts w:eastAsia="Times New Roman"/>
          <w:color w:val="000000"/>
          <w:sz w:val="20"/>
          <w:szCs w:val="20"/>
        </w:rPr>
        <w:t>•</w:t>
      </w:r>
      <w:r>
        <w:rPr>
          <w:rFonts w:eastAsia="Times New Roman"/>
          <w:i/>
          <w:iCs/>
          <w:color w:val="000000"/>
          <w:sz w:val="20"/>
          <w:szCs w:val="20"/>
        </w:rPr>
        <w:t>Annual Ratchet (also referred to as Highest Anniversary Value).</w:t>
      </w:r>
      <w:r>
        <w:rPr>
          <w:rFonts w:eastAsia="Times New Roman"/>
          <w:color w:val="000000"/>
          <w:sz w:val="20"/>
          <w:szCs w:val="20"/>
        </w:rPr>
        <w:t xml:space="preserve"> This death benefit features a benefit base that is reset each year to equal the higher of total contributions to the contract or the highest AV on the current or a</w:t>
      </w:r>
      <w:r>
        <w:rPr>
          <w:rFonts w:eastAsia="Times New Roman"/>
          <w:color w:val="000000"/>
          <w:sz w:val="20"/>
          <w:szCs w:val="20"/>
        </w:rPr>
        <w:t xml:space="preserve">ny prior contract anniversary (subject to adjustment for withdrawals), even if the AV is reduced by negative investment performance. The charge for this benefit is calculated based on the benefit base value and deducted annually from the AV. </w:t>
      </w:r>
    </w:p>
    <w:p w:rsidR="00000000" w:rsidRDefault="005B0BC3">
      <w:pPr>
        <w:ind w:hanging="360"/>
        <w:jc w:val="both"/>
        <w:divId w:val="2061321296"/>
        <w:rPr>
          <w:rFonts w:eastAsia="Times New Roman"/>
        </w:rPr>
      </w:pPr>
      <w:r>
        <w:rPr>
          <w:rFonts w:eastAsia="Times New Roman"/>
          <w:color w:val="000000"/>
          <w:sz w:val="20"/>
          <w:szCs w:val="20"/>
        </w:rPr>
        <w:t>•</w:t>
      </w:r>
      <w:r>
        <w:rPr>
          <w:rFonts w:eastAsia="Times New Roman"/>
          <w:i/>
          <w:iCs/>
          <w:color w:val="000000"/>
          <w:sz w:val="20"/>
          <w:szCs w:val="20"/>
        </w:rPr>
        <w:t>Roll-up Deat</w:t>
      </w:r>
      <w:r>
        <w:rPr>
          <w:rFonts w:eastAsia="Times New Roman"/>
          <w:i/>
          <w:iCs/>
          <w:color w:val="000000"/>
          <w:sz w:val="20"/>
          <w:szCs w:val="20"/>
        </w:rPr>
        <w:t>h Benefit.</w:t>
      </w:r>
      <w:r>
        <w:rPr>
          <w:rFonts w:eastAsia="Times New Roman"/>
          <w:color w:val="000000"/>
          <w:sz w:val="20"/>
          <w:szCs w:val="20"/>
        </w:rPr>
        <w:t xml:space="preserve"> This death benefit features a benefit base that increases (or “rolls up”) at a specified guaranteed annual rate (subject to adjustment for withdrawals), even if the AV is reduced by negative investment performance. The charge for this benefit is</w:t>
      </w:r>
      <w:r>
        <w:rPr>
          <w:rFonts w:eastAsia="Times New Roman"/>
          <w:color w:val="000000"/>
          <w:sz w:val="20"/>
          <w:szCs w:val="20"/>
        </w:rPr>
        <w:t xml:space="preserve"> calculated based on the benefit base value and deducted annually from the AV. This GMxB feature was discontinued in 2003. </w:t>
      </w:r>
    </w:p>
    <w:p w:rsidR="00000000" w:rsidRDefault="005B0BC3">
      <w:pPr>
        <w:ind w:hanging="360"/>
        <w:divId w:val="1595088382"/>
        <w:rPr>
          <w:rFonts w:eastAsia="Times New Roman"/>
        </w:rPr>
      </w:pPr>
      <w:r>
        <w:rPr>
          <w:rFonts w:eastAsia="Times New Roman"/>
          <w:color w:val="000000"/>
          <w:sz w:val="20"/>
          <w:szCs w:val="20"/>
        </w:rPr>
        <w:t>•</w:t>
      </w:r>
      <w:r>
        <w:rPr>
          <w:rFonts w:eastAsia="Times New Roman"/>
          <w:i/>
          <w:iCs/>
          <w:color w:val="000000"/>
          <w:sz w:val="20"/>
          <w:szCs w:val="20"/>
        </w:rPr>
        <w:t>Greater of Roll-up or Annual Ratchet.</w:t>
      </w:r>
      <w:r>
        <w:rPr>
          <w:rFonts w:eastAsia="Times New Roman"/>
          <w:color w:val="000000"/>
          <w:sz w:val="20"/>
          <w:szCs w:val="20"/>
        </w:rPr>
        <w:t xml:space="preserve"> This death benefit features a benefit base that increases each year to equal the higher of th</w:t>
      </w:r>
      <w:r>
        <w:rPr>
          <w:rFonts w:eastAsia="Times New Roman"/>
          <w:color w:val="000000"/>
          <w:sz w:val="20"/>
          <w:szCs w:val="20"/>
        </w:rPr>
        <w:t xml:space="preserve">e initial benefit base accumulated at a specified guaranteed rate or the highest AV on the current or any prior contract anniversary (subject to adjustment for withdrawals), even if the AV is reduced by negative investment performance. The charge for this </w:t>
      </w:r>
      <w:r>
        <w:rPr>
          <w:rFonts w:eastAsia="Times New Roman"/>
          <w:color w:val="000000"/>
          <w:sz w:val="20"/>
          <w:szCs w:val="20"/>
        </w:rPr>
        <w:t xml:space="preserve">benefit is calculated based on the benefit base value and deducted annually from the AV. </w:t>
      </w:r>
    </w:p>
    <w:p w:rsidR="00000000" w:rsidRDefault="005B0BC3">
      <w:pPr>
        <w:ind w:firstLine="360"/>
        <w:divId w:val="475732191"/>
        <w:rPr>
          <w:rFonts w:eastAsia="Times New Roman"/>
        </w:rPr>
      </w:pPr>
      <w:r>
        <w:rPr>
          <w:rFonts w:eastAsia="Times New Roman"/>
          <w:color w:val="000000"/>
          <w:sz w:val="20"/>
          <w:szCs w:val="20"/>
        </w:rPr>
        <w:t xml:space="preserve">In addition, we offered two guaranteed minimum death benefits with our GWBL rider, available at issue. </w:t>
      </w:r>
    </w:p>
    <w:p w:rsidR="00000000" w:rsidRDefault="005B0BC3">
      <w:pPr>
        <w:ind w:hanging="360"/>
        <w:jc w:val="both"/>
        <w:divId w:val="697775313"/>
        <w:rPr>
          <w:rFonts w:eastAsia="Times New Roman"/>
        </w:rPr>
      </w:pPr>
      <w:r>
        <w:rPr>
          <w:rFonts w:eastAsia="Times New Roman"/>
          <w:color w:val="000000"/>
          <w:sz w:val="20"/>
          <w:szCs w:val="20"/>
        </w:rPr>
        <w:t>•</w:t>
      </w:r>
      <w:r>
        <w:rPr>
          <w:rFonts w:eastAsia="Times New Roman"/>
          <w:i/>
          <w:iCs/>
          <w:color w:val="000000"/>
          <w:sz w:val="20"/>
          <w:szCs w:val="20"/>
        </w:rPr>
        <w:t>GWBL Standard Death Benefit.</w:t>
      </w:r>
      <w:r>
        <w:rPr>
          <w:rFonts w:eastAsia="Times New Roman"/>
          <w:color w:val="000000"/>
          <w:sz w:val="20"/>
          <w:szCs w:val="20"/>
        </w:rPr>
        <w:t xml:space="preserve"> This death benefit features a be</w:t>
      </w:r>
      <w:r>
        <w:rPr>
          <w:rFonts w:eastAsia="Times New Roman"/>
          <w:color w:val="000000"/>
          <w:sz w:val="20"/>
          <w:szCs w:val="20"/>
        </w:rPr>
        <w:t xml:space="preserve">nefit base that is equal to total contributions to the contract less a deduction reflecting the amount of any withdrawals made. </w:t>
      </w:r>
    </w:p>
    <w:p w:rsidR="00000000" w:rsidRDefault="005B0BC3">
      <w:pPr>
        <w:ind w:hanging="360"/>
        <w:divId w:val="1138768447"/>
        <w:rPr>
          <w:rFonts w:eastAsia="Times New Roman"/>
        </w:rPr>
      </w:pPr>
      <w:r>
        <w:rPr>
          <w:rFonts w:eastAsia="Times New Roman"/>
          <w:color w:val="000000"/>
          <w:sz w:val="20"/>
          <w:szCs w:val="20"/>
        </w:rPr>
        <w:t>•</w:t>
      </w:r>
      <w:r>
        <w:rPr>
          <w:rFonts w:eastAsia="Times New Roman"/>
          <w:i/>
          <w:iCs/>
          <w:color w:val="000000"/>
          <w:sz w:val="20"/>
          <w:szCs w:val="20"/>
        </w:rPr>
        <w:t>GWBL Enhanced Death Benefit.</w:t>
      </w:r>
      <w:r>
        <w:rPr>
          <w:rFonts w:eastAsia="Times New Roman"/>
          <w:color w:val="000000"/>
          <w:sz w:val="20"/>
          <w:szCs w:val="20"/>
        </w:rPr>
        <w:t xml:space="preserve"> This death benefit features a benefit base that is equal to total contributions to the contract p</w:t>
      </w:r>
      <w:r>
        <w:rPr>
          <w:rFonts w:eastAsia="Times New Roman"/>
          <w:color w:val="000000"/>
          <w:sz w:val="20"/>
          <w:szCs w:val="20"/>
        </w:rPr>
        <w:t xml:space="preserve">lus the amounts of any ratchets and deferral bonus, less a deduction reflecting the amount of any withdrawals made. This benefit was available for an additional fee. </w:t>
      </w:r>
    </w:p>
    <w:p w:rsidR="00000000" w:rsidRDefault="005B0BC3">
      <w:pPr>
        <w:ind w:firstLine="360"/>
        <w:divId w:val="428084688"/>
        <w:rPr>
          <w:rFonts w:eastAsia="Times New Roman"/>
        </w:rPr>
      </w:pPr>
      <w:r>
        <w:rPr>
          <w:rFonts w:eastAsia="Times New Roman"/>
          <w:color w:val="000000"/>
          <w:sz w:val="20"/>
          <w:szCs w:val="20"/>
        </w:rPr>
        <w:t xml:space="preserve">The following table presents the AV and benefit base by type of guaranteed minimum death </w:t>
      </w:r>
      <w:r>
        <w:rPr>
          <w:rFonts w:eastAsia="Times New Roman"/>
          <w:color w:val="000000"/>
          <w:sz w:val="20"/>
          <w:szCs w:val="20"/>
        </w:rPr>
        <w:t>benefit. Because variable annuity contracts with GMDB features may also offer GMLB features, the GMDB amounts listed are not mutually exclusive from the GMLB amounts provided in the table below.</w:t>
      </w:r>
    </w:p>
    <w:tbl>
      <w:tblPr>
        <w:tblW w:w="5000" w:type="pct"/>
        <w:tblCellMar>
          <w:top w:w="15" w:type="dxa"/>
          <w:left w:w="15" w:type="dxa"/>
          <w:bottom w:w="15" w:type="dxa"/>
          <w:right w:w="15" w:type="dxa"/>
        </w:tblCellMar>
        <w:tblLook w:val="04A0" w:firstRow="1" w:lastRow="0" w:firstColumn="1" w:lastColumn="0" w:noHBand="0" w:noVBand="1"/>
      </w:tblPr>
      <w:tblGrid>
        <w:gridCol w:w="39"/>
        <w:gridCol w:w="3153"/>
        <w:gridCol w:w="38"/>
        <w:gridCol w:w="120"/>
        <w:gridCol w:w="600"/>
        <w:gridCol w:w="36"/>
        <w:gridCol w:w="36"/>
        <w:gridCol w:w="36"/>
        <w:gridCol w:w="36"/>
        <w:gridCol w:w="120"/>
        <w:gridCol w:w="600"/>
        <w:gridCol w:w="36"/>
        <w:gridCol w:w="36"/>
        <w:gridCol w:w="36"/>
        <w:gridCol w:w="36"/>
        <w:gridCol w:w="120"/>
        <w:gridCol w:w="600"/>
        <w:gridCol w:w="36"/>
        <w:gridCol w:w="36"/>
        <w:gridCol w:w="36"/>
        <w:gridCol w:w="36"/>
        <w:gridCol w:w="120"/>
        <w:gridCol w:w="600"/>
        <w:gridCol w:w="36"/>
        <w:gridCol w:w="36"/>
        <w:gridCol w:w="36"/>
        <w:gridCol w:w="36"/>
        <w:gridCol w:w="120"/>
        <w:gridCol w:w="600"/>
        <w:gridCol w:w="36"/>
        <w:gridCol w:w="36"/>
        <w:gridCol w:w="36"/>
        <w:gridCol w:w="36"/>
        <w:gridCol w:w="120"/>
        <w:gridCol w:w="600"/>
        <w:gridCol w:w="36"/>
      </w:tblGrid>
      <w:tr w:rsidR="00000000">
        <w:trPr>
          <w:divId w:val="659698962"/>
        </w:trPr>
        <w:tc>
          <w:tcPr>
            <w:tcW w:w="50" w:type="pct"/>
            <w:vAlign w:val="center"/>
            <w:hideMark/>
          </w:tcPr>
          <w:p w:rsidR="00000000" w:rsidRDefault="005B0BC3">
            <w:pPr>
              <w:ind w:firstLine="360"/>
              <w:rPr>
                <w:rFonts w:eastAsia="Times New Roman"/>
              </w:rPr>
            </w:pPr>
          </w:p>
        </w:tc>
        <w:tc>
          <w:tcPr>
            <w:tcW w:w="199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0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0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0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0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0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0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659698962"/>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December 31,</w:t>
            </w:r>
          </w:p>
        </w:tc>
      </w:tr>
      <w:tr w:rsidR="00000000">
        <w:trPr>
          <w:divId w:val="659698962"/>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659698962"/>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Account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Benefit</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Account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Benefit</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Account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Benefit</w:t>
            </w:r>
          </w:p>
        </w:tc>
      </w:tr>
      <w:tr w:rsidR="00000000">
        <w:trPr>
          <w:divId w:val="659698962"/>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Value</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Base</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Value</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Base</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Value</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Base</w:t>
            </w:r>
          </w:p>
        </w:tc>
      </w:tr>
      <w:tr w:rsidR="00000000">
        <w:trPr>
          <w:divId w:val="659698962"/>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659698962"/>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GMDB In-Force (1)</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659698962"/>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ROP Death Benefit Only (3)</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11,437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6,443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10,437 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6,141 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9,620 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6,048 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59698962"/>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Floating Rate GMDB</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659698962"/>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Greater of Ratchet or Roll-up</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7,105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7,867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7,121 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7,995 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7,017 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7,891 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59698962"/>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All Other (2)</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19,381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15,707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18,047 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15,100 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16,874 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14,902 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59698962"/>
        </w:trPr>
        <w:tc>
          <w:tcPr>
            <w:tcW w:w="0" w:type="auto"/>
            <w:gridSpan w:val="3"/>
            <w:shd w:val="clear" w:color="auto" w:fill="CCEEFF"/>
            <w:tcMar>
              <w:top w:w="30" w:type="dxa"/>
              <w:left w:w="51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r>
              <w:rPr>
                <w:rFonts w:eastAsia="Times New Roman"/>
                <w:color w:val="000000"/>
                <w:sz w:val="20"/>
                <w:szCs w:val="20"/>
              </w:rPr>
              <w:t>Total Floating Rate GMDB</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26,486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23,574</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25,168 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23,095 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23,891 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22,793 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59698962"/>
          <w:trHeight w:val="280"/>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659698962"/>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Fixed Rate GMDB</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659698962"/>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Greater of Ratchet or Roll-up (3)</w:t>
            </w: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14,748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21,518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26,800 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42,521 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26,239 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42,896 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59698962"/>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All Other (2) (3)</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15,390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12,689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18,822 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15,507 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18,478 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16,469 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59698962"/>
        </w:trPr>
        <w:tc>
          <w:tcPr>
            <w:tcW w:w="0" w:type="auto"/>
            <w:gridSpan w:val="3"/>
            <w:shd w:val="clear" w:color="auto" w:fill="FFFFFF"/>
            <w:tcMar>
              <w:top w:w="30" w:type="dxa"/>
              <w:left w:w="51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r>
              <w:rPr>
                <w:rFonts w:eastAsia="Times New Roman"/>
                <w:color w:val="000000"/>
                <w:sz w:val="20"/>
                <w:szCs w:val="20"/>
              </w:rPr>
              <w:t>Total Fixed Rate GMDB</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30,138</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34,207</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45,622 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58,028 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44,717 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59,365 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59698962"/>
          <w:trHeight w:val="280"/>
        </w:trPr>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659698962"/>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GMDB</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68,061</w:t>
            </w:r>
            <w:r>
              <w:rPr>
                <w:rFonts w:eastAsia="Times New Roman"/>
                <w:color w:val="000000"/>
                <w:sz w:val="20"/>
                <w:szCs w:val="20"/>
              </w:rPr>
              <w:t>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64,224</w:t>
            </w:r>
            <w:r>
              <w:rPr>
                <w:rFonts w:eastAsia="Times New Roman"/>
                <w:color w:val="000000"/>
                <w:sz w:val="20"/>
                <w:szCs w:val="20"/>
              </w:rPr>
              <w:t>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81,227 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87,264 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78,228 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88,206 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ind w:hanging="360"/>
        <w:divId w:val="37895206"/>
        <w:rPr>
          <w:rFonts w:eastAsia="Times New Roman"/>
        </w:rPr>
      </w:pPr>
      <w:r>
        <w:rPr>
          <w:rFonts w:eastAsia="Times New Roman"/>
          <w:color w:val="000000"/>
          <w:sz w:val="18"/>
          <w:szCs w:val="18"/>
        </w:rPr>
        <w:t>______________</w:t>
      </w:r>
    </w:p>
    <w:p w:rsidR="00000000" w:rsidRDefault="005B0BC3">
      <w:pPr>
        <w:jc w:val="center"/>
        <w:divId w:val="378168522"/>
        <w:rPr>
          <w:rFonts w:eastAsia="Times New Roman"/>
        </w:rPr>
      </w:pPr>
      <w:r>
        <w:rPr>
          <w:rFonts w:eastAsia="Times New Roman"/>
          <w:color w:val="000000"/>
          <w:sz w:val="20"/>
          <w:szCs w:val="20"/>
        </w:rPr>
        <w:t>14</w:t>
      </w:r>
    </w:p>
    <w:p w:rsidR="00000000" w:rsidRDefault="005B0BC3">
      <w:pPr>
        <w:rPr>
          <w:rFonts w:eastAsia="Times New Roman"/>
        </w:rPr>
      </w:pPr>
      <w:r>
        <w:rPr>
          <w:rFonts w:eastAsia="Times New Roman"/>
        </w:rPr>
        <w:pict>
          <v:rect id="_x0000_i1043" style="width:0;height:1.5pt" o:hralign="center" o:hrstd="t" o:hr="t" fillcolor="#a0a0a0" stroked="f"/>
        </w:pict>
      </w:r>
    </w:p>
    <w:p w:rsidR="00000000" w:rsidRDefault="005B0BC3">
      <w:pPr>
        <w:divId w:val="1618944599"/>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ind w:hanging="360"/>
        <w:divId w:val="1474525866"/>
        <w:rPr>
          <w:rFonts w:eastAsia="Times New Roman"/>
        </w:rPr>
      </w:pPr>
      <w:r>
        <w:rPr>
          <w:rFonts w:eastAsia="Times New Roman"/>
          <w:color w:val="000000"/>
          <w:sz w:val="18"/>
          <w:szCs w:val="18"/>
        </w:rPr>
        <w:t>(1)    </w:t>
      </w:r>
      <w:r>
        <w:rPr>
          <w:rFonts w:eastAsia="Times New Roman"/>
          <w:color w:val="000000"/>
          <w:sz w:val="18"/>
          <w:szCs w:val="18"/>
        </w:rPr>
        <w:t xml:space="preserve">See table summarizing the NAR and reserves of policyholders by type of GMxB feature for variable annuity contracts as of December 31, 2021, 2020 and 2019 under “—Net Amount at Risk.” </w:t>
      </w:r>
    </w:p>
    <w:p w:rsidR="00000000" w:rsidRDefault="005B0BC3">
      <w:pPr>
        <w:ind w:hanging="360"/>
        <w:divId w:val="1914779549"/>
        <w:rPr>
          <w:rFonts w:eastAsia="Times New Roman"/>
        </w:rPr>
      </w:pPr>
      <w:r>
        <w:rPr>
          <w:rFonts w:eastAsia="Times New Roman"/>
          <w:color w:val="000000"/>
          <w:sz w:val="18"/>
          <w:szCs w:val="18"/>
        </w:rPr>
        <w:t xml:space="preserve">(2) All Other includes individual variable annuity policies with Annual </w:t>
      </w:r>
      <w:r>
        <w:rPr>
          <w:rFonts w:eastAsia="Times New Roman"/>
          <w:color w:val="000000"/>
          <w:sz w:val="18"/>
          <w:szCs w:val="18"/>
        </w:rPr>
        <w:t>Ratchet or Roll-up GMDB, either stand-alone or in conjunction with a GMLB, or with ROP GMDB in conjunction with a GMLB.</w:t>
      </w:r>
    </w:p>
    <w:p w:rsidR="00000000" w:rsidRDefault="005B0BC3">
      <w:pPr>
        <w:ind w:hanging="360"/>
        <w:divId w:val="342174464"/>
        <w:rPr>
          <w:rFonts w:eastAsia="Times New Roman"/>
        </w:rPr>
      </w:pPr>
      <w:r>
        <w:rPr>
          <w:rFonts w:eastAsia="Times New Roman"/>
          <w:color w:val="000000"/>
          <w:sz w:val="18"/>
          <w:szCs w:val="18"/>
        </w:rPr>
        <w:t>(3)    AV and Benefit base is net of amounts ceded to Venerable during 2021. See Note 1 of the Notes to the Consolidated Financial State</w:t>
      </w:r>
      <w:r>
        <w:rPr>
          <w:rFonts w:eastAsia="Times New Roman"/>
          <w:color w:val="000000"/>
          <w:sz w:val="18"/>
          <w:szCs w:val="18"/>
        </w:rPr>
        <w:t>ments.</w:t>
      </w:r>
    </w:p>
    <w:p w:rsidR="00000000" w:rsidRDefault="005B0BC3">
      <w:pPr>
        <w:jc w:val="both"/>
        <w:divId w:val="1035813188"/>
        <w:rPr>
          <w:rFonts w:eastAsia="Times New Roman"/>
        </w:rPr>
      </w:pPr>
      <w:r>
        <w:rPr>
          <w:rFonts w:eastAsia="Times New Roman"/>
          <w:b/>
          <w:bCs/>
          <w:i/>
          <w:iCs/>
          <w:color w:val="000000"/>
          <w:sz w:val="20"/>
          <w:szCs w:val="20"/>
        </w:rPr>
        <w:t>Guaranteed Living Benefits Summary</w:t>
      </w:r>
    </w:p>
    <w:p w:rsidR="00000000" w:rsidRDefault="005B0BC3">
      <w:pPr>
        <w:ind w:firstLine="360"/>
        <w:divId w:val="1827361729"/>
        <w:rPr>
          <w:rFonts w:eastAsia="Times New Roman"/>
        </w:rPr>
      </w:pPr>
      <w:r>
        <w:rPr>
          <w:rFonts w:eastAsia="Times New Roman"/>
          <w:color w:val="000000"/>
          <w:sz w:val="20"/>
          <w:szCs w:val="20"/>
        </w:rPr>
        <w:t>We have historically offered a variety of guaranteed living benefits to our policyholders in our Individual Retirement segment. Our block of variable annuities includes four types of guaranteed living benefit rider</w:t>
      </w:r>
      <w:r>
        <w:rPr>
          <w:rFonts w:eastAsia="Times New Roman"/>
          <w:color w:val="000000"/>
          <w:sz w:val="20"/>
          <w:szCs w:val="20"/>
        </w:rPr>
        <w:t xml:space="preserve">s: GMIB, GWBL/GMWB, GMAB and GIB. Based on total AV, approximately 51% of our variable annuity block included living benefit guarantees as of December 31, 2021. </w:t>
      </w:r>
    </w:p>
    <w:p w:rsidR="00000000" w:rsidRDefault="005B0BC3">
      <w:pPr>
        <w:ind w:hanging="270"/>
        <w:jc w:val="both"/>
        <w:divId w:val="827597130"/>
        <w:rPr>
          <w:rFonts w:eastAsia="Times New Roman"/>
        </w:rPr>
      </w:pPr>
      <w:r>
        <w:rPr>
          <w:rFonts w:eastAsia="Times New Roman"/>
          <w:i/>
          <w:iCs/>
          <w:color w:val="000000"/>
          <w:sz w:val="20"/>
          <w:szCs w:val="20"/>
        </w:rPr>
        <w:t xml:space="preserve">•GMIB. </w:t>
      </w:r>
      <w:r>
        <w:rPr>
          <w:rFonts w:eastAsia="Times New Roman"/>
          <w:color w:val="000000"/>
          <w:sz w:val="20"/>
          <w:szCs w:val="20"/>
        </w:rPr>
        <w:t>GMIB is our largest block of living benefit guarantees based on in-force AV. Policyhold</w:t>
      </w:r>
      <w:r>
        <w:rPr>
          <w:rFonts w:eastAsia="Times New Roman"/>
          <w:color w:val="000000"/>
          <w:sz w:val="20"/>
          <w:szCs w:val="20"/>
        </w:rPr>
        <w:t xml:space="preserve">ers who purchase the GMIB rider will be eligible, at the end of a defined waiting period, to receive annuity payments for life that will never be less than a guaranteed minimum amount, regardless of the performance of their investment options prior to the </w:t>
      </w:r>
      <w:r>
        <w:rPr>
          <w:rFonts w:eastAsia="Times New Roman"/>
          <w:color w:val="000000"/>
          <w:sz w:val="20"/>
          <w:szCs w:val="20"/>
        </w:rPr>
        <w:t xml:space="preserve">first payment. During this waiting period, which is often referred to as the accumulation phase of the contract, policyholders can invest their contributions in a range of variable and guaranteed investment options to grow their AV on a tax-deferred basis </w:t>
      </w:r>
      <w:r>
        <w:rPr>
          <w:rFonts w:eastAsia="Times New Roman"/>
          <w:color w:val="000000"/>
          <w:sz w:val="20"/>
          <w:szCs w:val="20"/>
        </w:rPr>
        <w:t xml:space="preserve">while increasing the value of the GMIB benefit base that helps determine the minimum annuity payment amount. Policyholders may elect to continue the accumulation phase beyond the waiting period if they wish to maintain the ability to take withdrawals from </w:t>
      </w:r>
      <w:r>
        <w:rPr>
          <w:rFonts w:eastAsia="Times New Roman"/>
          <w:color w:val="000000"/>
          <w:sz w:val="20"/>
          <w:szCs w:val="20"/>
        </w:rPr>
        <w:t xml:space="preserve">their AV or continue to participate in the growth of both their AV and GMIB benefit base. </w:t>
      </w:r>
    </w:p>
    <w:p w:rsidR="00000000" w:rsidRDefault="005B0BC3">
      <w:pPr>
        <w:jc w:val="both"/>
        <w:divId w:val="783811959"/>
        <w:rPr>
          <w:rFonts w:eastAsia="Times New Roman"/>
        </w:rPr>
      </w:pPr>
      <w:r>
        <w:rPr>
          <w:rFonts w:eastAsia="Times New Roman"/>
          <w:color w:val="000000"/>
          <w:sz w:val="20"/>
          <w:szCs w:val="20"/>
        </w:rPr>
        <w:t>The second phase of the contract starts when the policyholder annuitizes the contract, either by exercising the GMIB or through the contract’s standard annuitization</w:t>
      </w:r>
      <w:r>
        <w:rPr>
          <w:rFonts w:eastAsia="Times New Roman"/>
          <w:color w:val="000000"/>
          <w:sz w:val="20"/>
          <w:szCs w:val="20"/>
        </w:rPr>
        <w:t xml:space="preserve"> provisions. Upon exercise of their GMIB, policyholders receive guaranteed lifetime income payments that are calculated as the higher of: (i) application of their GMIB benefit base to the GMIB guaranteed annuity purchase factors specified in the contract; </w:t>
      </w:r>
      <w:r>
        <w:rPr>
          <w:rFonts w:eastAsia="Times New Roman"/>
          <w:color w:val="000000"/>
          <w:sz w:val="20"/>
          <w:szCs w:val="20"/>
        </w:rPr>
        <w:t>or (ii) application of their AV to our then current or guaranteed annuity purchase factors. Beginning in 2005 we started offering a no-lapse guarantee on our GMIB riders that provides for the automatic exercise of the GMIB in the event that the policyholde</w:t>
      </w:r>
      <w:r>
        <w:rPr>
          <w:rFonts w:eastAsia="Times New Roman"/>
          <w:color w:val="000000"/>
          <w:sz w:val="20"/>
          <w:szCs w:val="20"/>
        </w:rPr>
        <w:t xml:space="preserve">r’s AV falls to zero and provided no “excess withdrawals” (as defined in the contract) have been taken. </w:t>
      </w:r>
    </w:p>
    <w:p w:rsidR="00000000" w:rsidRDefault="005B0BC3">
      <w:pPr>
        <w:ind w:hanging="630"/>
        <w:divId w:val="955065253"/>
        <w:rPr>
          <w:rFonts w:eastAsia="Times New Roman"/>
        </w:rPr>
      </w:pPr>
      <w:r>
        <w:rPr>
          <w:rFonts w:eastAsia="Times New Roman"/>
          <w:color w:val="000000"/>
          <w:sz w:val="20"/>
          <w:szCs w:val="20"/>
        </w:rPr>
        <w:t xml:space="preserve">The charge for the GMIB is calculated based on the GMIB benefit base value and deducted annually from the AV. </w:t>
      </w:r>
    </w:p>
    <w:p w:rsidR="00000000" w:rsidRDefault="005B0BC3">
      <w:pPr>
        <w:ind w:hanging="360"/>
        <w:jc w:val="both"/>
        <w:divId w:val="210775518"/>
        <w:rPr>
          <w:rFonts w:eastAsia="Times New Roman"/>
        </w:rPr>
      </w:pPr>
      <w:r>
        <w:rPr>
          <w:rFonts w:eastAsia="Times New Roman"/>
          <w:color w:val="000000"/>
          <w:sz w:val="20"/>
          <w:szCs w:val="20"/>
        </w:rPr>
        <w:t>•</w:t>
      </w:r>
      <w:r>
        <w:rPr>
          <w:rFonts w:eastAsia="Times New Roman"/>
          <w:i/>
          <w:iCs/>
          <w:color w:val="000000"/>
          <w:sz w:val="20"/>
          <w:szCs w:val="20"/>
        </w:rPr>
        <w:t>GWBL</w:t>
      </w:r>
      <w:r>
        <w:rPr>
          <w:rFonts w:eastAsia="Times New Roman"/>
          <w:color w:val="000000"/>
          <w:sz w:val="20"/>
          <w:szCs w:val="20"/>
        </w:rPr>
        <w:t>. This benefit guarantees that a po</w:t>
      </w:r>
      <w:r>
        <w:rPr>
          <w:rFonts w:eastAsia="Times New Roman"/>
          <w:color w:val="000000"/>
          <w:sz w:val="20"/>
          <w:szCs w:val="20"/>
        </w:rPr>
        <w:t xml:space="preserve">licyholder can take lifetime withdrawals from their contract up to a maximum amount per year without reducing their GWBL benefit base. The amount of each guaranteed annual withdrawal is based on the value of the GWBL benefit base. The GWBL benefit base is </w:t>
      </w:r>
      <w:r>
        <w:rPr>
          <w:rFonts w:eastAsia="Times New Roman"/>
          <w:color w:val="000000"/>
          <w:sz w:val="20"/>
          <w:szCs w:val="20"/>
        </w:rPr>
        <w:t>equal to the total initial contributions to the contract and will increase by subsequent contributions (where permitted), ratchets or deferral bonuses (if applicable), and will be reduced by any “excess withdrawals,” which are withdrawals that exceed the g</w:t>
      </w:r>
      <w:r>
        <w:rPr>
          <w:rFonts w:eastAsia="Times New Roman"/>
          <w:color w:val="000000"/>
          <w:sz w:val="20"/>
          <w:szCs w:val="20"/>
        </w:rPr>
        <w:t>uaranteed annual withdrawal amount. The policyholder may elect one of our automated withdrawal plans or take ad hoc withdrawals. This benefit can be purchased on a single life or joint life basis. The charge for the GWBL is calculated based on the GWBL ben</w:t>
      </w:r>
      <w:r>
        <w:rPr>
          <w:rFonts w:eastAsia="Times New Roman"/>
          <w:color w:val="000000"/>
          <w:sz w:val="20"/>
          <w:szCs w:val="20"/>
        </w:rPr>
        <w:t xml:space="preserve">efit base value and deducted annually from the AV. </w:t>
      </w:r>
    </w:p>
    <w:p w:rsidR="00000000" w:rsidRDefault="005B0BC3">
      <w:pPr>
        <w:ind w:hanging="360"/>
        <w:jc w:val="both"/>
        <w:divId w:val="1154030888"/>
        <w:rPr>
          <w:rFonts w:eastAsia="Times New Roman"/>
        </w:rPr>
      </w:pPr>
      <w:r>
        <w:rPr>
          <w:rFonts w:eastAsia="Times New Roman"/>
          <w:color w:val="000000"/>
          <w:sz w:val="20"/>
          <w:szCs w:val="20"/>
        </w:rPr>
        <w:t>•</w:t>
      </w:r>
      <w:r>
        <w:rPr>
          <w:rFonts w:eastAsia="Times New Roman"/>
          <w:i/>
          <w:iCs/>
          <w:color w:val="000000"/>
          <w:sz w:val="20"/>
          <w:szCs w:val="20"/>
        </w:rPr>
        <w:t>GMWB</w:t>
      </w:r>
      <w:r>
        <w:rPr>
          <w:rFonts w:eastAsia="Times New Roman"/>
          <w:color w:val="000000"/>
          <w:sz w:val="20"/>
          <w:szCs w:val="20"/>
        </w:rPr>
        <w:t>. This benefit guarantees that the policyholder can take withdrawals from their contract up to the amount of their total contributions, even if the AV subsequently falls to zero, provided that during</w:t>
      </w:r>
      <w:r>
        <w:rPr>
          <w:rFonts w:eastAsia="Times New Roman"/>
          <w:color w:val="000000"/>
          <w:sz w:val="20"/>
          <w:szCs w:val="20"/>
        </w:rPr>
        <w:t xml:space="preserve"> each contract year total withdrawals do not exceed annual GMWB withdrawal amount that is calculated under the terms of the contract. The policyholder may choose either a 5% GMWB Annual withdrawal option or a 7% GMWB Annual withdrawal option. Annual withdr</w:t>
      </w:r>
      <w:r>
        <w:rPr>
          <w:rFonts w:eastAsia="Times New Roman"/>
          <w:color w:val="000000"/>
          <w:sz w:val="20"/>
          <w:szCs w:val="20"/>
        </w:rPr>
        <w:t xml:space="preserve">awal amounts are not cumulative year over year. The charge for the GMWB is calculated based on the GMWB benefit base value and deducted annually from the AV. We ceased offering GMWB riders in 2008. </w:t>
      </w:r>
    </w:p>
    <w:p w:rsidR="00000000" w:rsidRDefault="005B0BC3">
      <w:pPr>
        <w:ind w:hanging="360"/>
        <w:jc w:val="both"/>
        <w:divId w:val="107162824"/>
        <w:rPr>
          <w:rFonts w:eastAsia="Times New Roman"/>
        </w:rPr>
      </w:pPr>
      <w:r>
        <w:rPr>
          <w:rFonts w:eastAsia="Times New Roman"/>
          <w:color w:val="000000"/>
          <w:sz w:val="20"/>
          <w:szCs w:val="20"/>
        </w:rPr>
        <w:t>•</w:t>
      </w:r>
      <w:r>
        <w:rPr>
          <w:rFonts w:eastAsia="Times New Roman"/>
          <w:i/>
          <w:iCs/>
          <w:color w:val="000000"/>
          <w:sz w:val="20"/>
          <w:szCs w:val="20"/>
        </w:rPr>
        <w:t>GMAB</w:t>
      </w:r>
      <w:r>
        <w:rPr>
          <w:rFonts w:eastAsia="Times New Roman"/>
          <w:color w:val="000000"/>
          <w:sz w:val="20"/>
          <w:szCs w:val="20"/>
        </w:rPr>
        <w:t>. This benefit guarantees that the AV can never fall</w:t>
      </w:r>
      <w:r>
        <w:rPr>
          <w:rFonts w:eastAsia="Times New Roman"/>
          <w:color w:val="000000"/>
          <w:sz w:val="20"/>
          <w:szCs w:val="20"/>
        </w:rPr>
        <w:t xml:space="preserve"> below a minimum amount for a set period, which can also include locking in capital market gains. This rider protects the policyholder from market fluctuations. Two options we offered were a 100% principal guarantee and a 125% principal guarantee. Each opt</w:t>
      </w:r>
      <w:r>
        <w:rPr>
          <w:rFonts w:eastAsia="Times New Roman"/>
          <w:color w:val="000000"/>
          <w:sz w:val="20"/>
          <w:szCs w:val="20"/>
        </w:rPr>
        <w:t xml:space="preserve">ion limited the policyholder to specified investment options. The charge for the GMAB is calculated based on the GMAB benefit base value and deducted annually from the AV. We ceased offering GMAB riders in 2008. </w:t>
      </w:r>
    </w:p>
    <w:p w:rsidR="00000000" w:rsidRDefault="005B0BC3">
      <w:pPr>
        <w:ind w:hanging="360"/>
        <w:divId w:val="249197564"/>
        <w:rPr>
          <w:rFonts w:eastAsia="Times New Roman"/>
        </w:rPr>
      </w:pPr>
      <w:r>
        <w:rPr>
          <w:rFonts w:eastAsia="Times New Roman"/>
          <w:color w:val="000000"/>
          <w:sz w:val="20"/>
          <w:szCs w:val="20"/>
        </w:rPr>
        <w:t>•</w:t>
      </w:r>
      <w:r>
        <w:rPr>
          <w:rFonts w:eastAsia="Times New Roman"/>
          <w:i/>
          <w:iCs/>
          <w:color w:val="000000"/>
          <w:sz w:val="20"/>
          <w:szCs w:val="20"/>
        </w:rPr>
        <w:t>GIB.</w:t>
      </w:r>
      <w:r>
        <w:rPr>
          <w:rFonts w:eastAsia="Times New Roman"/>
          <w:color w:val="000000"/>
          <w:sz w:val="20"/>
          <w:szCs w:val="20"/>
        </w:rPr>
        <w:t xml:space="preserve"> This benefit provides the policyholde</w:t>
      </w:r>
      <w:r>
        <w:rPr>
          <w:rFonts w:eastAsia="Times New Roman"/>
          <w:color w:val="000000"/>
          <w:sz w:val="20"/>
          <w:szCs w:val="20"/>
        </w:rPr>
        <w:t>r with a guaranteed lifetime annuity based on predetermined annuity purchase rates applied to a GIB benefit base, with annuitization automatically triggered if and when the contract AV falls to zero. The charge for the GIB is calculated based on the GIB be</w:t>
      </w:r>
      <w:r>
        <w:rPr>
          <w:rFonts w:eastAsia="Times New Roman"/>
          <w:color w:val="000000"/>
          <w:sz w:val="20"/>
          <w:szCs w:val="20"/>
        </w:rPr>
        <w:t xml:space="preserve">nefit base value and deducted annually from the AV. We ceased offering the GIB in 2012. </w:t>
      </w:r>
    </w:p>
    <w:p w:rsidR="00000000" w:rsidRDefault="005B0BC3">
      <w:pPr>
        <w:ind w:firstLine="360"/>
        <w:divId w:val="655110416"/>
        <w:rPr>
          <w:rFonts w:eastAsia="Times New Roman"/>
        </w:rPr>
      </w:pPr>
      <w:r>
        <w:rPr>
          <w:rFonts w:eastAsia="Times New Roman"/>
          <w:color w:val="000000"/>
          <w:sz w:val="20"/>
          <w:szCs w:val="20"/>
        </w:rPr>
        <w:t xml:space="preserve">Below are examples of policyholder benefit utilization choices that can affect benefit payment patterns and reserves: </w:t>
      </w:r>
    </w:p>
    <w:p w:rsidR="00000000" w:rsidRDefault="005B0BC3">
      <w:pPr>
        <w:jc w:val="center"/>
        <w:divId w:val="1396276271"/>
        <w:rPr>
          <w:rFonts w:eastAsia="Times New Roman"/>
        </w:rPr>
      </w:pPr>
      <w:r>
        <w:rPr>
          <w:rFonts w:eastAsia="Times New Roman"/>
          <w:color w:val="000000"/>
          <w:sz w:val="20"/>
          <w:szCs w:val="20"/>
        </w:rPr>
        <w:t>15</w:t>
      </w:r>
    </w:p>
    <w:p w:rsidR="00000000" w:rsidRDefault="005B0BC3">
      <w:pPr>
        <w:rPr>
          <w:rFonts w:eastAsia="Times New Roman"/>
        </w:rPr>
      </w:pPr>
      <w:r>
        <w:rPr>
          <w:rFonts w:eastAsia="Times New Roman"/>
        </w:rPr>
        <w:pict>
          <v:rect id="_x0000_i1044" style="width:0;height:1.5pt" o:hralign="center" o:hrstd="t" o:hr="t" fillcolor="#a0a0a0" stroked="f"/>
        </w:pict>
      </w:r>
    </w:p>
    <w:p w:rsidR="00000000" w:rsidRDefault="005B0BC3">
      <w:pPr>
        <w:divId w:val="1795054790"/>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ind w:hanging="360"/>
        <w:jc w:val="both"/>
        <w:divId w:val="1610314353"/>
        <w:rPr>
          <w:rFonts w:eastAsia="Times New Roman"/>
        </w:rPr>
      </w:pPr>
      <w:r>
        <w:rPr>
          <w:rFonts w:eastAsia="Times New Roman"/>
          <w:color w:val="000000"/>
          <w:sz w:val="20"/>
          <w:szCs w:val="20"/>
        </w:rPr>
        <w:t>•</w:t>
      </w:r>
      <w:r>
        <w:rPr>
          <w:rFonts w:eastAsia="Times New Roman"/>
          <w:i/>
          <w:iCs/>
          <w:color w:val="000000"/>
          <w:sz w:val="20"/>
          <w:szCs w:val="20"/>
        </w:rPr>
        <w:t>Lapse.</w:t>
      </w:r>
      <w:r>
        <w:rPr>
          <w:rFonts w:eastAsia="Times New Roman"/>
          <w:color w:val="000000"/>
          <w:sz w:val="20"/>
          <w:szCs w:val="20"/>
        </w:rPr>
        <w:t xml:space="preserve"> The policyholder may lapse or exit the contract, at which time the GMIB and any other GMxB guarantees are terminated. If the policyholder partially exits, the GMIB benefit base a</w:t>
      </w:r>
      <w:r>
        <w:rPr>
          <w:rFonts w:eastAsia="Times New Roman"/>
          <w:color w:val="000000"/>
          <w:sz w:val="20"/>
          <w:szCs w:val="20"/>
        </w:rPr>
        <w:t xml:space="preserve">nd any other GMxB benefit bases will be reduced in accordance with the contract terms. </w:t>
      </w:r>
    </w:p>
    <w:p w:rsidR="00000000" w:rsidRDefault="005B0BC3">
      <w:pPr>
        <w:ind w:hanging="360"/>
        <w:jc w:val="both"/>
        <w:divId w:val="149059244"/>
        <w:rPr>
          <w:rFonts w:eastAsia="Times New Roman"/>
        </w:rPr>
      </w:pPr>
      <w:r>
        <w:rPr>
          <w:rFonts w:eastAsia="Times New Roman"/>
          <w:color w:val="000000"/>
          <w:sz w:val="20"/>
          <w:szCs w:val="20"/>
        </w:rPr>
        <w:t>•</w:t>
      </w:r>
      <w:r>
        <w:rPr>
          <w:rFonts w:eastAsia="Times New Roman"/>
          <w:i/>
          <w:iCs/>
          <w:color w:val="000000"/>
          <w:sz w:val="20"/>
          <w:szCs w:val="20"/>
        </w:rPr>
        <w:t>Dollar-for-Dollar Withdrawals.</w:t>
      </w:r>
      <w:r>
        <w:rPr>
          <w:rFonts w:eastAsia="Times New Roman"/>
          <w:color w:val="000000"/>
          <w:sz w:val="20"/>
          <w:szCs w:val="20"/>
        </w:rPr>
        <w:t xml:space="preserve"> A policyholder may request a onetime withdrawal or take systematic withdrawals from his or her contract at any time. All withdrawals red</w:t>
      </w:r>
      <w:r>
        <w:rPr>
          <w:rFonts w:eastAsia="Times New Roman"/>
          <w:color w:val="000000"/>
          <w:sz w:val="20"/>
          <w:szCs w:val="20"/>
        </w:rPr>
        <w:t>uce a contract’s AV by the dollar amount of a withdrawal. However, the impact of withdrawals on the GMIB and any other guaranteed benefit bases may vary depending on the terms of the contract. Withdrawals will reduce guaranteed benefit bases on a dollar-fo</w:t>
      </w:r>
      <w:r>
        <w:rPr>
          <w:rFonts w:eastAsia="Times New Roman"/>
          <w:color w:val="000000"/>
          <w:sz w:val="20"/>
          <w:szCs w:val="20"/>
        </w:rPr>
        <w:t>r-dollar basis as long as the sum of withdrawals in a contract year is equal to or less than the dollar-for-dollar withdrawal threshold defined in the contract, beyond which all withdrawals are considered “excess withdrawals.” An excess withdrawal may redu</w:t>
      </w:r>
      <w:r>
        <w:rPr>
          <w:rFonts w:eastAsia="Times New Roman"/>
          <w:color w:val="000000"/>
          <w:sz w:val="20"/>
          <w:szCs w:val="20"/>
        </w:rPr>
        <w:t>ce the guaranteed benefit bases on a pro rata basis, which can have a significantly adverse effect on their values. A policyholder wishing to take the maximum amount of dollar-for-dollar withdrawals on a systematic basis may sign up for our dollar-for-doll</w:t>
      </w:r>
      <w:r>
        <w:rPr>
          <w:rFonts w:eastAsia="Times New Roman"/>
          <w:color w:val="000000"/>
          <w:sz w:val="20"/>
          <w:szCs w:val="20"/>
        </w:rPr>
        <w:t>ar withdrawal service at no additional charge. Withdrawals under this automated service will never result in a pro rata reduction of the guaranteed benefit bases, provided that no withdrawals are made outside the service. If making dollar-for-dollar withdr</w:t>
      </w:r>
      <w:r>
        <w:rPr>
          <w:rFonts w:eastAsia="Times New Roman"/>
          <w:color w:val="000000"/>
          <w:sz w:val="20"/>
          <w:szCs w:val="20"/>
        </w:rPr>
        <w:t xml:space="preserve">awals in combination with negative investment reduces the AV to zero, the contract may have a no-lapse guarantee that triggers the automatic exercise of the GMIB, providing the policyholder with a stream of lifetime annuity payments determined by the GMIB </w:t>
      </w:r>
      <w:r>
        <w:rPr>
          <w:rFonts w:eastAsia="Times New Roman"/>
          <w:color w:val="000000"/>
          <w:sz w:val="20"/>
          <w:szCs w:val="20"/>
        </w:rPr>
        <w:t xml:space="preserve">benefit base value, the age and gender of the annuitant and predetermined annuity purchase factors. </w:t>
      </w:r>
    </w:p>
    <w:p w:rsidR="00000000" w:rsidRDefault="005B0BC3">
      <w:pPr>
        <w:ind w:hanging="360"/>
        <w:jc w:val="both"/>
        <w:divId w:val="1612786657"/>
        <w:rPr>
          <w:rFonts w:eastAsia="Times New Roman"/>
        </w:rPr>
      </w:pPr>
      <w:r>
        <w:rPr>
          <w:rFonts w:eastAsia="Times New Roman"/>
          <w:color w:val="000000"/>
          <w:sz w:val="20"/>
          <w:szCs w:val="20"/>
        </w:rPr>
        <w:t>•</w:t>
      </w:r>
      <w:r>
        <w:rPr>
          <w:rFonts w:eastAsia="Times New Roman"/>
          <w:i/>
          <w:iCs/>
          <w:color w:val="000000"/>
          <w:sz w:val="20"/>
          <w:szCs w:val="20"/>
        </w:rPr>
        <w:t xml:space="preserve">Voluntary Annuitization. </w:t>
      </w:r>
      <w:r>
        <w:rPr>
          <w:rFonts w:eastAsia="Times New Roman"/>
          <w:color w:val="000000"/>
          <w:sz w:val="20"/>
          <w:szCs w:val="20"/>
        </w:rPr>
        <w:t>The policyholder may choose to annuitize their AV or exercise their GMIB (if eligible). GMIB annuitization entitles the policyhol</w:t>
      </w:r>
      <w:r>
        <w:rPr>
          <w:rFonts w:eastAsia="Times New Roman"/>
          <w:color w:val="000000"/>
          <w:sz w:val="20"/>
          <w:szCs w:val="20"/>
        </w:rPr>
        <w:t>der to receive a stream of lifetime (with or without period certain) annuity payments determined by the GMIB benefit base value, the age and gender of the annuitant and predetermined annuity purchase factors. GMIB annuitization cannot be elected past the m</w:t>
      </w:r>
      <w:r>
        <w:rPr>
          <w:rFonts w:eastAsia="Times New Roman"/>
          <w:color w:val="000000"/>
          <w:sz w:val="20"/>
          <w:szCs w:val="20"/>
        </w:rPr>
        <w:t xml:space="preserve">aximum GMIB exercise age as stated in the contract, generally age 85 or 95. The policyholder may otherwise annuitize the AV and choose one of several payout options. </w:t>
      </w:r>
    </w:p>
    <w:p w:rsidR="00000000" w:rsidRDefault="005B0BC3">
      <w:pPr>
        <w:ind w:hanging="360"/>
        <w:jc w:val="both"/>
        <w:divId w:val="1720013357"/>
        <w:rPr>
          <w:rFonts w:eastAsia="Times New Roman"/>
        </w:rPr>
      </w:pPr>
      <w:r>
        <w:rPr>
          <w:rFonts w:eastAsia="Times New Roman"/>
          <w:color w:val="000000"/>
          <w:sz w:val="20"/>
          <w:szCs w:val="20"/>
        </w:rPr>
        <w:t>•</w:t>
      </w:r>
      <w:r>
        <w:rPr>
          <w:rFonts w:eastAsia="Times New Roman"/>
          <w:i/>
          <w:iCs/>
          <w:color w:val="000000"/>
          <w:sz w:val="20"/>
          <w:szCs w:val="20"/>
        </w:rPr>
        <w:t>Convert to a GWBL.</w:t>
      </w:r>
      <w:r>
        <w:rPr>
          <w:rFonts w:eastAsia="Times New Roman"/>
          <w:color w:val="000000"/>
          <w:sz w:val="20"/>
          <w:szCs w:val="20"/>
        </w:rPr>
        <w:t xml:space="preserve"> </w:t>
      </w:r>
      <w:r>
        <w:rPr>
          <w:rFonts w:eastAsia="Times New Roman"/>
          <w:color w:val="000000"/>
          <w:sz w:val="20"/>
          <w:szCs w:val="20"/>
        </w:rPr>
        <w:t>In some products, policyholders have the option to convert their GMIB into a GWBL to receive guaranteed income through a lifetime withdrawal feature. This choice can be made as an alternative to electing to annuitize at the maximum GMIB exercise age and ma</w:t>
      </w:r>
      <w:r>
        <w:rPr>
          <w:rFonts w:eastAsia="Times New Roman"/>
          <w:color w:val="000000"/>
          <w:sz w:val="20"/>
          <w:szCs w:val="20"/>
        </w:rPr>
        <w:t xml:space="preserve">y be appealing to policyholders who would prefer the ability to withdraw higher annual dollar-for-dollar amounts from their contract than permitted under the GMIB, for as long as their AV remains greater than zero. </w:t>
      </w:r>
    </w:p>
    <w:p w:rsidR="00000000" w:rsidRDefault="005B0BC3">
      <w:pPr>
        <w:ind w:hanging="360"/>
        <w:divId w:val="972562442"/>
        <w:rPr>
          <w:rFonts w:eastAsia="Times New Roman"/>
        </w:rPr>
      </w:pPr>
      <w:r>
        <w:rPr>
          <w:rFonts w:eastAsia="Times New Roman"/>
          <w:color w:val="000000"/>
          <w:sz w:val="20"/>
          <w:szCs w:val="20"/>
        </w:rPr>
        <w:t>•</w:t>
      </w:r>
      <w:r>
        <w:rPr>
          <w:rFonts w:eastAsia="Times New Roman"/>
          <w:i/>
          <w:iCs/>
          <w:color w:val="000000"/>
          <w:sz w:val="20"/>
          <w:szCs w:val="20"/>
        </w:rPr>
        <w:t>Remain in Accumulation Phase.</w:t>
      </w:r>
      <w:r>
        <w:rPr>
          <w:rFonts w:eastAsia="Times New Roman"/>
          <w:color w:val="000000"/>
          <w:sz w:val="20"/>
          <w:szCs w:val="20"/>
        </w:rPr>
        <w:t xml:space="preserve"> If the po</w:t>
      </w:r>
      <w:r>
        <w:rPr>
          <w:rFonts w:eastAsia="Times New Roman"/>
          <w:color w:val="000000"/>
          <w:sz w:val="20"/>
          <w:szCs w:val="20"/>
        </w:rPr>
        <w:t xml:space="preserve">licyholder chooses to remain in the contract’s accumulation phase past the maximum GMIB exercise age—that is, by not electing annuitization or converting to a GWBL—and as long as the AV has not fallen to zero, then the GMIB will terminate and the contract </w:t>
      </w:r>
      <w:r>
        <w:rPr>
          <w:rFonts w:eastAsia="Times New Roman"/>
          <w:color w:val="000000"/>
          <w:sz w:val="20"/>
          <w:szCs w:val="20"/>
        </w:rPr>
        <w:t>will continue until the contractual maturity date. In these circumstances, depending on the GMDB elected at issue (if any) and the terms of the contract, the benefit base for the GMDB may be equal to the GMIB benefit base at the time the GMIB was terminate</w:t>
      </w:r>
      <w:r>
        <w:rPr>
          <w:rFonts w:eastAsia="Times New Roman"/>
          <w:color w:val="000000"/>
          <w:sz w:val="20"/>
          <w:szCs w:val="20"/>
        </w:rPr>
        <w:t xml:space="preserve">d, may no longer increase and will be reduced by future withdrawals. </w:t>
      </w:r>
    </w:p>
    <w:p w:rsidR="00000000" w:rsidRDefault="005B0BC3">
      <w:pPr>
        <w:ind w:firstLine="360"/>
        <w:divId w:val="972979611"/>
        <w:rPr>
          <w:rFonts w:eastAsia="Times New Roman"/>
        </w:rPr>
      </w:pPr>
      <w:r>
        <w:rPr>
          <w:rFonts w:eastAsia="Times New Roman"/>
          <w:color w:val="000000"/>
          <w:sz w:val="20"/>
          <w:szCs w:val="20"/>
        </w:rPr>
        <w:t>The likelihood of a policyholder choosing a particular option cannot be predicted with certainty at the time of contract issuance. Accordingly, we make assumptions as to policyholder ben</w:t>
      </w:r>
      <w:r>
        <w:rPr>
          <w:rFonts w:eastAsia="Times New Roman"/>
          <w:color w:val="000000"/>
          <w:sz w:val="20"/>
          <w:szCs w:val="20"/>
        </w:rPr>
        <w:t>efit elections and resulting benefit payments at the time of issuance and while it is in-force based on our experience. The incidents and timing of benefit elections and the amounts of resulting benefit payments may materially differ from those we anticipa</w:t>
      </w:r>
      <w:r>
        <w:rPr>
          <w:rFonts w:eastAsia="Times New Roman"/>
          <w:color w:val="000000"/>
          <w:sz w:val="20"/>
          <w:szCs w:val="20"/>
        </w:rPr>
        <w:t>te at that time. As we observe actual policyholder behavior, we update our assumptions at least annually with respect to future policyholder activity and take appropriate action with respect to the amount of the reserves we establish for the future payment</w:t>
      </w:r>
      <w:r>
        <w:rPr>
          <w:rFonts w:eastAsia="Times New Roman"/>
          <w:color w:val="000000"/>
          <w:sz w:val="20"/>
          <w:szCs w:val="20"/>
        </w:rPr>
        <w:t xml:space="preserve"> of such benefits. Additionally, upon the death of a policyholder (or annuitant), if the sole beneficiary is a surviving spouse, they can choose to continue the contract and benefits subject to age restrictions. </w:t>
      </w:r>
    </w:p>
    <w:p w:rsidR="00000000" w:rsidRDefault="005B0BC3">
      <w:pPr>
        <w:ind w:firstLine="360"/>
        <w:divId w:val="1317496957"/>
        <w:rPr>
          <w:rFonts w:eastAsia="Times New Roman"/>
        </w:rPr>
      </w:pPr>
      <w:r>
        <w:rPr>
          <w:rFonts w:eastAsia="Times New Roman"/>
          <w:color w:val="000000"/>
          <w:sz w:val="20"/>
          <w:szCs w:val="20"/>
        </w:rPr>
        <w:t>The following table presents the AV and ben</w:t>
      </w:r>
      <w:r>
        <w:rPr>
          <w:rFonts w:eastAsia="Times New Roman"/>
          <w:color w:val="000000"/>
          <w:sz w:val="20"/>
          <w:szCs w:val="20"/>
        </w:rPr>
        <w:t>efit base by type of guaranteed living benefit. Because variable annuity contracts with GMLB features may also offer GMDB features, the GMLB amounts listed are not mutually exclusive from the GMDB amounts provided in the table above.</w:t>
      </w:r>
    </w:p>
    <w:p w:rsidR="00000000" w:rsidRDefault="005B0BC3">
      <w:pPr>
        <w:jc w:val="center"/>
        <w:divId w:val="753014214"/>
        <w:rPr>
          <w:rFonts w:eastAsia="Times New Roman"/>
        </w:rPr>
      </w:pPr>
      <w:r>
        <w:rPr>
          <w:rFonts w:eastAsia="Times New Roman"/>
          <w:color w:val="000000"/>
          <w:sz w:val="20"/>
          <w:szCs w:val="20"/>
        </w:rPr>
        <w:t>16</w:t>
      </w:r>
    </w:p>
    <w:p w:rsidR="00000000" w:rsidRDefault="005B0BC3">
      <w:pPr>
        <w:rPr>
          <w:rFonts w:eastAsia="Times New Roman"/>
        </w:rPr>
      </w:pPr>
      <w:r>
        <w:rPr>
          <w:rFonts w:eastAsia="Times New Roman"/>
        </w:rPr>
        <w:pict>
          <v:rect id="_x0000_i1045" style="width:0;height:1.5pt" o:hralign="center" o:hrstd="t" o:hr="t" fillcolor="#a0a0a0" stroked="f"/>
        </w:pict>
      </w:r>
    </w:p>
    <w:p w:rsidR="00000000" w:rsidRDefault="005B0BC3">
      <w:pPr>
        <w:divId w:val="1567957831"/>
        <w:rPr>
          <w:rFonts w:eastAsia="Times New Roman"/>
        </w:rPr>
      </w:pPr>
      <w:hyperlink w:anchor="i2ac35847634046b3a89f93d9b422e8f5_421" w:history="1">
        <w:r>
          <w:rPr>
            <w:rStyle w:val="a3"/>
            <w:rFonts w:eastAsia="Times New Roman"/>
            <w:b/>
            <w:bCs/>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9"/>
        <w:gridCol w:w="3153"/>
        <w:gridCol w:w="38"/>
        <w:gridCol w:w="120"/>
        <w:gridCol w:w="600"/>
        <w:gridCol w:w="36"/>
        <w:gridCol w:w="36"/>
        <w:gridCol w:w="36"/>
        <w:gridCol w:w="36"/>
        <w:gridCol w:w="120"/>
        <w:gridCol w:w="600"/>
        <w:gridCol w:w="36"/>
        <w:gridCol w:w="36"/>
        <w:gridCol w:w="36"/>
        <w:gridCol w:w="36"/>
        <w:gridCol w:w="120"/>
        <w:gridCol w:w="600"/>
        <w:gridCol w:w="36"/>
        <w:gridCol w:w="36"/>
        <w:gridCol w:w="36"/>
        <w:gridCol w:w="36"/>
        <w:gridCol w:w="120"/>
        <w:gridCol w:w="600"/>
        <w:gridCol w:w="36"/>
        <w:gridCol w:w="36"/>
        <w:gridCol w:w="36"/>
        <w:gridCol w:w="36"/>
        <w:gridCol w:w="120"/>
        <w:gridCol w:w="600"/>
        <w:gridCol w:w="36"/>
        <w:gridCol w:w="36"/>
        <w:gridCol w:w="36"/>
        <w:gridCol w:w="36"/>
        <w:gridCol w:w="120"/>
        <w:gridCol w:w="600"/>
        <w:gridCol w:w="36"/>
      </w:tblGrid>
      <w:tr w:rsidR="00000000">
        <w:trPr>
          <w:divId w:val="919339179"/>
        </w:trPr>
        <w:tc>
          <w:tcPr>
            <w:tcW w:w="50" w:type="pct"/>
            <w:vAlign w:val="center"/>
            <w:hideMark/>
          </w:tcPr>
          <w:p w:rsidR="00000000" w:rsidRDefault="005B0BC3">
            <w:pPr>
              <w:rPr>
                <w:rFonts w:eastAsia="Times New Roman"/>
              </w:rPr>
            </w:pPr>
          </w:p>
        </w:tc>
        <w:tc>
          <w:tcPr>
            <w:tcW w:w="226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6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6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6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6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6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6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919339179"/>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December 31,</w:t>
            </w:r>
          </w:p>
        </w:tc>
      </w:tr>
      <w:tr w:rsidR="00000000">
        <w:trPr>
          <w:divId w:val="919339179"/>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919339179"/>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Account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Benefit</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Account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Benefit</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Account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Benefit</w:t>
            </w:r>
          </w:p>
        </w:tc>
      </w:tr>
      <w:tr w:rsidR="00000000">
        <w:trPr>
          <w:divId w:val="919339179"/>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Value</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Base</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Value</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Base</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Value</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Base</w:t>
            </w:r>
          </w:p>
        </w:tc>
      </w:tr>
      <w:tr w:rsidR="00000000">
        <w:trPr>
          <w:divId w:val="919339179"/>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919339179"/>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GMLB In-Force (1)</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919339179"/>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Floating Rate GMLB</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919339179"/>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GMIB</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23,435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24,123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22,002 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23,029 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20,699 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22,108 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919339179"/>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Other (GIB)</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2,623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2,796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2,762 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2,978 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2,812 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3,128 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919339179"/>
        </w:trPr>
        <w:tc>
          <w:tcPr>
            <w:tcW w:w="0" w:type="auto"/>
            <w:gridSpan w:val="3"/>
            <w:shd w:val="clear" w:color="auto" w:fill="CCEEFF"/>
            <w:tcMar>
              <w:top w:w="30" w:type="dxa"/>
              <w:left w:w="51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Floating Rate GMLB</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26,058</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26,919</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24,764 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26,007 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23,511 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25,236 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919339179"/>
          <w:trHeight w:val="280"/>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919339179"/>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Fixed Rate GMLB</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919339179"/>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GMIB</w:t>
            </w: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40,065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59,341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39,369 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60,695 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38,846 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61,775 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919339179"/>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All Other (e.g., GWBL / GMWB, GMAB, other) (2)</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846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830 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1,165 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806 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1,175 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919339179"/>
        </w:trPr>
        <w:tc>
          <w:tcPr>
            <w:tcW w:w="0" w:type="auto"/>
            <w:gridSpan w:val="3"/>
            <w:shd w:val="clear" w:color="auto" w:fill="FFFFFF"/>
            <w:tcMar>
              <w:top w:w="30" w:type="dxa"/>
              <w:left w:w="51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Fixed Rate GMLB</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40,911</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60,494</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40,199 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61,860 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39,652 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62,950 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919339179"/>
          <w:trHeight w:val="280"/>
        </w:trPr>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919339179"/>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GMLB</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66,969</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87,413</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64,963 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87,867 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63,163 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88,186 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ind w:hanging="360"/>
        <w:divId w:val="738403936"/>
        <w:rPr>
          <w:rFonts w:eastAsia="Times New Roman"/>
        </w:rPr>
      </w:pPr>
      <w:r>
        <w:rPr>
          <w:rFonts w:eastAsia="Times New Roman"/>
          <w:color w:val="000000"/>
          <w:sz w:val="18"/>
          <w:szCs w:val="18"/>
        </w:rPr>
        <w:t>______________</w:t>
      </w:r>
    </w:p>
    <w:p w:rsidR="00000000" w:rsidRDefault="005B0BC3">
      <w:pPr>
        <w:ind w:hanging="360"/>
        <w:divId w:val="1389911916"/>
        <w:rPr>
          <w:rFonts w:eastAsia="Times New Roman"/>
        </w:rPr>
      </w:pPr>
      <w:r>
        <w:rPr>
          <w:rFonts w:eastAsia="Times New Roman"/>
          <w:color w:val="000000"/>
          <w:sz w:val="18"/>
          <w:szCs w:val="18"/>
        </w:rPr>
        <w:t>(1)</w:t>
      </w:r>
      <w:r>
        <w:rPr>
          <w:rFonts w:eastAsia="Times New Roman"/>
          <w:color w:val="000000"/>
          <w:sz w:val="18"/>
          <w:szCs w:val="18"/>
        </w:rPr>
        <w:t>See table summarizing the NAR and reserves of policyholders by type of GMxB feature for variable annuity contracts as of December 31, 2021, 2020 and 2019 under “—Net Amount at Risk.”</w:t>
      </w:r>
    </w:p>
    <w:p w:rsidR="00000000" w:rsidRDefault="005B0BC3">
      <w:pPr>
        <w:ind w:hanging="360"/>
        <w:divId w:val="1253078336"/>
        <w:rPr>
          <w:rFonts w:eastAsia="Times New Roman"/>
        </w:rPr>
      </w:pPr>
      <w:r>
        <w:rPr>
          <w:rFonts w:eastAsia="Times New Roman"/>
          <w:color w:val="000000"/>
          <w:sz w:val="18"/>
          <w:szCs w:val="18"/>
        </w:rPr>
        <w:t>(2)    All Other includes individual variable annuity policies with stand</w:t>
      </w:r>
      <w:r>
        <w:rPr>
          <w:rFonts w:eastAsia="Times New Roman"/>
          <w:color w:val="000000"/>
          <w:sz w:val="18"/>
          <w:szCs w:val="18"/>
        </w:rPr>
        <w:t xml:space="preserve">-alone Annual Ratchet or stand-alone Roll-up GMDB. </w:t>
      </w:r>
    </w:p>
    <w:p w:rsidR="00000000" w:rsidRDefault="005B0BC3">
      <w:pPr>
        <w:jc w:val="both"/>
        <w:divId w:val="1139419091"/>
        <w:rPr>
          <w:rFonts w:eastAsia="Times New Roman"/>
        </w:rPr>
      </w:pPr>
      <w:r>
        <w:rPr>
          <w:rFonts w:eastAsia="Times New Roman"/>
          <w:b/>
          <w:bCs/>
          <w:i/>
          <w:iCs/>
          <w:color w:val="000000"/>
          <w:sz w:val="20"/>
          <w:szCs w:val="20"/>
        </w:rPr>
        <w:t xml:space="preserve">Net Amount at Risk </w:t>
      </w:r>
    </w:p>
    <w:p w:rsidR="00000000" w:rsidRDefault="005B0BC3">
      <w:pPr>
        <w:ind w:firstLine="360"/>
        <w:divId w:val="1802531424"/>
        <w:rPr>
          <w:rFonts w:eastAsia="Times New Roman"/>
        </w:rPr>
      </w:pPr>
      <w:r>
        <w:rPr>
          <w:rFonts w:eastAsia="Times New Roman"/>
          <w:color w:val="000000"/>
          <w:sz w:val="20"/>
          <w:szCs w:val="20"/>
        </w:rPr>
        <w:t>The NAR for the GMDB is the amount of death benefits payable in excess of the total AV (if any) as of the balance sheet date, net of reinsurance. It represents the amount of the claim we would incur if death claims were made on all contracts with a GMDB on</w:t>
      </w:r>
      <w:r>
        <w:rPr>
          <w:rFonts w:eastAsia="Times New Roman"/>
          <w:color w:val="000000"/>
          <w:sz w:val="20"/>
          <w:szCs w:val="20"/>
        </w:rPr>
        <w:t xml:space="preserve"> the balance sheet date and includes any additional contractual claims associated with riders purchased to assist with covering income taxes payable upon death. </w:t>
      </w:r>
    </w:p>
    <w:p w:rsidR="00000000" w:rsidRDefault="005B0BC3">
      <w:pPr>
        <w:ind w:firstLine="360"/>
        <w:divId w:val="2051605724"/>
        <w:rPr>
          <w:rFonts w:eastAsia="Times New Roman"/>
        </w:rPr>
      </w:pPr>
      <w:r>
        <w:rPr>
          <w:rFonts w:eastAsia="Times New Roman"/>
          <w:color w:val="000000"/>
          <w:sz w:val="20"/>
          <w:szCs w:val="20"/>
        </w:rPr>
        <w:t>The NAR for the GMIB is the amount (if any) that would be required to be added to the total AV</w:t>
      </w:r>
      <w:r>
        <w:rPr>
          <w:rFonts w:eastAsia="Times New Roman"/>
          <w:color w:val="000000"/>
          <w:sz w:val="20"/>
          <w:szCs w:val="20"/>
        </w:rPr>
        <w:t xml:space="preserve"> to purchase a lifetime income stream, based on current annuity rates, equal to the minimum amount provided under the GMIB. This amount represents our potential economic exposure to such guarantees in the event all policyholders were to annuitize on the ba</w:t>
      </w:r>
      <w:r>
        <w:rPr>
          <w:rFonts w:eastAsia="Times New Roman"/>
          <w:color w:val="000000"/>
          <w:sz w:val="20"/>
          <w:szCs w:val="20"/>
        </w:rPr>
        <w:t xml:space="preserve">lance sheet date, even though the guaranteed amount under the contracts may not be annuitized until after the waiting period of the contract. </w:t>
      </w:r>
    </w:p>
    <w:p w:rsidR="00000000" w:rsidRDefault="005B0BC3">
      <w:pPr>
        <w:ind w:firstLine="360"/>
        <w:divId w:val="63916110"/>
        <w:rPr>
          <w:rFonts w:eastAsia="Times New Roman"/>
        </w:rPr>
      </w:pPr>
      <w:r>
        <w:rPr>
          <w:rFonts w:eastAsia="Times New Roman"/>
          <w:color w:val="000000"/>
          <w:sz w:val="20"/>
          <w:szCs w:val="20"/>
        </w:rPr>
        <w:t>The NAR for the GWBL, GMWB and GMAB is the actuarial present value in excess of the AVs (if any) as of the balanc</w:t>
      </w:r>
      <w:r>
        <w:rPr>
          <w:rFonts w:eastAsia="Times New Roman"/>
          <w:color w:val="000000"/>
          <w:sz w:val="20"/>
          <w:szCs w:val="20"/>
        </w:rPr>
        <w:t>e sheet date. The NAR assumes utilization of benefits by all policyholders as of the balance sheet date. For the GMWB and GWBL benefits, only a small portion of the benefit base is available for withdrawal on an annual basis. For the GMAB, the NAR would no</w:t>
      </w:r>
      <w:r>
        <w:rPr>
          <w:rFonts w:eastAsia="Times New Roman"/>
          <w:color w:val="000000"/>
          <w:sz w:val="20"/>
          <w:szCs w:val="20"/>
        </w:rPr>
        <w:t xml:space="preserve">t be available until the GMAB maturity date. </w:t>
      </w:r>
    </w:p>
    <w:p w:rsidR="00000000" w:rsidRDefault="005B0BC3">
      <w:pPr>
        <w:ind w:firstLine="360"/>
        <w:divId w:val="2033456551"/>
        <w:rPr>
          <w:rFonts w:eastAsia="Times New Roman"/>
        </w:rPr>
      </w:pPr>
      <w:r>
        <w:rPr>
          <w:rFonts w:eastAsia="Times New Roman"/>
          <w:color w:val="000000"/>
          <w:sz w:val="20"/>
          <w:szCs w:val="20"/>
        </w:rPr>
        <w:t>NAR reflects the difference between the benefit base (as adjusted, in some cases, as described above) and the AV. We believe that NAR alone provides an inadequate presentation of the risk exposure of our in-for</w:t>
      </w:r>
      <w:r>
        <w:rPr>
          <w:rFonts w:eastAsia="Times New Roman"/>
          <w:color w:val="000000"/>
          <w:sz w:val="20"/>
          <w:szCs w:val="20"/>
        </w:rPr>
        <w:t xml:space="preserve">ce variable annuity portfolio. NAR does not take into consideration the aggregate amount of reserves and capital that we hold against our variable annuity portfolio. </w:t>
      </w:r>
    </w:p>
    <w:p w:rsidR="00000000" w:rsidRDefault="005B0BC3">
      <w:pPr>
        <w:ind w:firstLine="360"/>
        <w:divId w:val="1096436580"/>
        <w:rPr>
          <w:rFonts w:eastAsia="Times New Roman"/>
        </w:rPr>
      </w:pPr>
      <w:r>
        <w:rPr>
          <w:rFonts w:eastAsia="Times New Roman"/>
          <w:color w:val="000000"/>
          <w:sz w:val="20"/>
          <w:szCs w:val="20"/>
        </w:rPr>
        <w:t>The NAR and reserves of contract owners by type of GMxB feature for variable annuity cont</w:t>
      </w:r>
      <w:r>
        <w:rPr>
          <w:rFonts w:eastAsia="Times New Roman"/>
          <w:color w:val="000000"/>
          <w:sz w:val="20"/>
          <w:szCs w:val="20"/>
        </w:rPr>
        <w:t>racts are summarized below as of December 31, 2021, 2020 and 2019. Many of our variable annuity contracts offer more than one type of guarantee such that the GMIB amounts are not mutually exclusive to the amounts in the GMDB table.</w:t>
      </w:r>
    </w:p>
    <w:p w:rsidR="00000000" w:rsidRDefault="005B0BC3">
      <w:pPr>
        <w:jc w:val="center"/>
        <w:divId w:val="1573000611"/>
        <w:rPr>
          <w:rFonts w:eastAsia="Times New Roman"/>
        </w:rPr>
      </w:pPr>
      <w:r>
        <w:rPr>
          <w:rFonts w:eastAsia="Times New Roman"/>
          <w:color w:val="000000"/>
          <w:sz w:val="20"/>
          <w:szCs w:val="20"/>
        </w:rPr>
        <w:t>17</w:t>
      </w:r>
    </w:p>
    <w:p w:rsidR="00000000" w:rsidRDefault="005B0BC3">
      <w:pPr>
        <w:rPr>
          <w:rFonts w:eastAsia="Times New Roman"/>
        </w:rPr>
      </w:pPr>
      <w:r>
        <w:rPr>
          <w:rFonts w:eastAsia="Times New Roman"/>
        </w:rPr>
        <w:pict>
          <v:rect id="_x0000_i1046" style="width:0;height:1.5pt" o:hralign="center" o:hrstd="t" o:hr="t" fillcolor="#a0a0a0" stroked="f"/>
        </w:pict>
      </w:r>
    </w:p>
    <w:p w:rsidR="00000000" w:rsidRDefault="005B0BC3">
      <w:pPr>
        <w:divId w:val="291836458"/>
        <w:rPr>
          <w:rFonts w:eastAsia="Times New Roman"/>
        </w:rPr>
      </w:pPr>
      <w:hyperlink w:anchor="i2ac35847634046b3a89f93d9b422e8f5_421" w:history="1">
        <w:r>
          <w:rPr>
            <w:rStyle w:val="a3"/>
            <w:rFonts w:eastAsia="Times New Roman"/>
            <w:b/>
            <w:bCs/>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7"/>
        <w:gridCol w:w="3264"/>
        <w:gridCol w:w="36"/>
        <w:gridCol w:w="120"/>
        <w:gridCol w:w="620"/>
        <w:gridCol w:w="36"/>
        <w:gridCol w:w="36"/>
        <w:gridCol w:w="36"/>
        <w:gridCol w:w="36"/>
        <w:gridCol w:w="120"/>
        <w:gridCol w:w="574"/>
        <w:gridCol w:w="36"/>
        <w:gridCol w:w="36"/>
        <w:gridCol w:w="36"/>
        <w:gridCol w:w="36"/>
        <w:gridCol w:w="120"/>
        <w:gridCol w:w="600"/>
        <w:gridCol w:w="36"/>
        <w:gridCol w:w="36"/>
        <w:gridCol w:w="36"/>
        <w:gridCol w:w="36"/>
        <w:gridCol w:w="120"/>
        <w:gridCol w:w="548"/>
        <w:gridCol w:w="36"/>
        <w:gridCol w:w="36"/>
        <w:gridCol w:w="36"/>
        <w:gridCol w:w="36"/>
        <w:gridCol w:w="120"/>
        <w:gridCol w:w="600"/>
        <w:gridCol w:w="36"/>
        <w:gridCol w:w="36"/>
        <w:gridCol w:w="36"/>
        <w:gridCol w:w="36"/>
        <w:gridCol w:w="120"/>
        <w:gridCol w:w="551"/>
        <w:gridCol w:w="36"/>
      </w:tblGrid>
      <w:tr w:rsidR="00000000">
        <w:trPr>
          <w:divId w:val="1131249161"/>
        </w:trPr>
        <w:tc>
          <w:tcPr>
            <w:tcW w:w="50" w:type="pct"/>
            <w:vAlign w:val="center"/>
            <w:hideMark/>
          </w:tcPr>
          <w:p w:rsidR="00000000" w:rsidRDefault="005B0BC3">
            <w:pPr>
              <w:rPr>
                <w:rFonts w:eastAsia="Times New Roman"/>
              </w:rPr>
            </w:pPr>
          </w:p>
        </w:tc>
        <w:tc>
          <w:tcPr>
            <w:tcW w:w="199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0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0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0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0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0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0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131249161"/>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December 31,</w:t>
            </w:r>
          </w:p>
        </w:tc>
      </w:tr>
      <w:tr w:rsidR="00000000">
        <w:trPr>
          <w:divId w:val="1131249161"/>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1131249161"/>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NAR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Reserves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NAR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Reserves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NAR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Reserves</w:t>
            </w:r>
          </w:p>
        </w:tc>
      </w:tr>
      <w:tr w:rsidR="00000000">
        <w:trPr>
          <w:divId w:val="1131249161"/>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1131249161"/>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GMDB</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131249161"/>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ROP Death Benefit Only (1) (2)</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N/A</w:t>
            </w:r>
          </w:p>
        </w:tc>
      </w:tr>
      <w:tr w:rsidR="00000000">
        <w:trPr>
          <w:divId w:val="1131249161"/>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Floating Rate GMDB</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943 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332 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904 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272 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131249161"/>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Fixed Rate GMDB (2)</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8,061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2,360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17,244 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4,674 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18,123 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4,402 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131249161"/>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8,987</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2,737</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18,271 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5,006 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19,122 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4,674 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3320"/>
        <w:gridCol w:w="144"/>
        <w:gridCol w:w="144"/>
        <w:gridCol w:w="672"/>
        <w:gridCol w:w="144"/>
        <w:gridCol w:w="144"/>
        <w:gridCol w:w="144"/>
        <w:gridCol w:w="144"/>
        <w:gridCol w:w="144"/>
        <w:gridCol w:w="672"/>
        <w:gridCol w:w="144"/>
        <w:gridCol w:w="144"/>
        <w:gridCol w:w="144"/>
        <w:gridCol w:w="144"/>
        <w:gridCol w:w="144"/>
        <w:gridCol w:w="672"/>
        <w:gridCol w:w="144"/>
        <w:gridCol w:w="144"/>
        <w:gridCol w:w="144"/>
        <w:gridCol w:w="144"/>
        <w:gridCol w:w="144"/>
        <w:gridCol w:w="672"/>
        <w:gridCol w:w="144"/>
        <w:gridCol w:w="144"/>
        <w:gridCol w:w="144"/>
        <w:gridCol w:w="144"/>
        <w:gridCol w:w="144"/>
        <w:gridCol w:w="672"/>
        <w:gridCol w:w="144"/>
        <w:gridCol w:w="144"/>
        <w:gridCol w:w="144"/>
        <w:gridCol w:w="144"/>
        <w:gridCol w:w="144"/>
        <w:gridCol w:w="672"/>
        <w:gridCol w:w="144"/>
      </w:tblGrid>
      <w:tr w:rsidR="00000000">
        <w:tc>
          <w:tcPr>
            <w:tcW w:w="50" w:type="pct"/>
            <w:vAlign w:val="center"/>
            <w:hideMark/>
          </w:tcPr>
          <w:p w:rsidR="00000000" w:rsidRDefault="005B0BC3">
            <w:pPr>
              <w:rPr>
                <w:rFonts w:eastAsia="Times New Roman"/>
              </w:rPr>
            </w:pPr>
          </w:p>
        </w:tc>
        <w:tc>
          <w:tcPr>
            <w:tcW w:w="199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0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0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0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0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0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0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December 31,</w:t>
            </w:r>
          </w:p>
        </w:tc>
      </w:tr>
      <w:tr w:rsidR="00000000">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NAR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Reserves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NAR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Reserves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NAR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Reserves</w:t>
            </w:r>
          </w:p>
        </w:tc>
      </w:tr>
      <w:tr w:rsidR="00000000">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GMIB</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Floating Rate GMIB</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Fixed Rate GMIB (2)</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3,910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4,441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10,461 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14,110 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8,746 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10,573 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3,910</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4,613</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10,461 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14,246 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8,746 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10,664 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divId w:val="10887249"/>
        <w:rPr>
          <w:rFonts w:eastAsia="Times New Roman"/>
        </w:rPr>
      </w:pPr>
      <w:r>
        <w:rPr>
          <w:rFonts w:eastAsia="Times New Roman"/>
          <w:color w:val="000000"/>
          <w:sz w:val="18"/>
          <w:szCs w:val="18"/>
        </w:rPr>
        <w:t>______________</w:t>
      </w:r>
    </w:p>
    <w:p w:rsidR="00000000" w:rsidRDefault="005B0BC3">
      <w:pPr>
        <w:ind w:hanging="360"/>
        <w:divId w:val="1663773527"/>
        <w:rPr>
          <w:rFonts w:eastAsia="Times New Roman"/>
        </w:rPr>
      </w:pPr>
      <w:r>
        <w:rPr>
          <w:rFonts w:eastAsia="Times New Roman"/>
          <w:color w:val="000000"/>
          <w:sz w:val="18"/>
          <w:szCs w:val="18"/>
        </w:rPr>
        <w:t>(1)    U.S. GAAP reserves for ROP death benefit only are not available, as U.S. GAAP reserve valuation basis applies on policy contracts grouped by issue year.</w:t>
      </w:r>
    </w:p>
    <w:p w:rsidR="00000000" w:rsidRDefault="005B0BC3">
      <w:pPr>
        <w:ind w:hanging="360"/>
        <w:divId w:val="863325674"/>
        <w:rPr>
          <w:rFonts w:eastAsia="Times New Roman"/>
        </w:rPr>
      </w:pPr>
      <w:r>
        <w:rPr>
          <w:rFonts w:eastAsia="Times New Roman"/>
          <w:color w:val="000000"/>
          <w:sz w:val="18"/>
          <w:szCs w:val="18"/>
        </w:rPr>
        <w:t>(2) NAR is net of amounts ced</w:t>
      </w:r>
      <w:r>
        <w:rPr>
          <w:rFonts w:eastAsia="Times New Roman"/>
          <w:color w:val="000000"/>
          <w:sz w:val="18"/>
          <w:szCs w:val="18"/>
        </w:rPr>
        <w:t>ed to Venerable during 2021. See Note 1 of the Notes to these Consolidated Financial Statements for details of the Venerable Transaction.</w:t>
      </w:r>
    </w:p>
    <w:p w:rsidR="00000000" w:rsidRDefault="005B0BC3">
      <w:pPr>
        <w:jc w:val="center"/>
        <w:divId w:val="1007559029"/>
        <w:rPr>
          <w:rFonts w:eastAsia="Times New Roman"/>
        </w:rPr>
      </w:pPr>
      <w:r>
        <w:rPr>
          <w:rFonts w:eastAsia="Times New Roman"/>
          <w:color w:val="000000"/>
          <w:sz w:val="20"/>
          <w:szCs w:val="20"/>
        </w:rPr>
        <w:t>18</w:t>
      </w:r>
    </w:p>
    <w:p w:rsidR="00000000" w:rsidRDefault="005B0BC3">
      <w:pPr>
        <w:rPr>
          <w:rFonts w:eastAsia="Times New Roman"/>
        </w:rPr>
      </w:pPr>
      <w:r>
        <w:rPr>
          <w:rFonts w:eastAsia="Times New Roman"/>
        </w:rPr>
        <w:pict>
          <v:rect id="_x0000_i1047" style="width:0;height:1.5pt" o:hralign="center" o:hrstd="t" o:hr="t" fillcolor="#a0a0a0" stroked="f"/>
        </w:pict>
      </w:r>
    </w:p>
    <w:p w:rsidR="00000000" w:rsidRDefault="005B0BC3">
      <w:pPr>
        <w:divId w:val="1883247943"/>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divId w:val="1982226920"/>
        <w:rPr>
          <w:rFonts w:eastAsia="Times New Roman"/>
        </w:rPr>
      </w:pPr>
      <w:r>
        <w:rPr>
          <w:rFonts w:eastAsia="Times New Roman"/>
          <w:b/>
          <w:bCs/>
          <w:color w:val="000000"/>
          <w:sz w:val="20"/>
          <w:szCs w:val="20"/>
        </w:rPr>
        <w:t xml:space="preserve">Group Retirement </w:t>
      </w:r>
    </w:p>
    <w:p w:rsidR="00000000" w:rsidRDefault="005B0BC3">
      <w:pPr>
        <w:ind w:firstLine="360"/>
        <w:divId w:val="577178455"/>
        <w:rPr>
          <w:rFonts w:eastAsia="Times New Roman"/>
        </w:rPr>
      </w:pPr>
      <w:r>
        <w:rPr>
          <w:rFonts w:eastAsia="Times New Roman"/>
          <w:color w:val="000000"/>
          <w:sz w:val="20"/>
          <w:szCs w:val="20"/>
        </w:rPr>
        <w:t>Our Group Retirement segment offers tax-deferred investment and retirement services or products to plans sponsored by educational entities, municipalities and not-for-profit entities, as well as small and medium-sized businesses. We opera</w:t>
      </w:r>
      <w:r>
        <w:rPr>
          <w:rFonts w:eastAsia="Times New Roman"/>
          <w:color w:val="000000"/>
          <w:sz w:val="20"/>
          <w:szCs w:val="20"/>
        </w:rPr>
        <w:t>te in the 403(b), 457(b) and 401(k) markets where we sell variable annuity and mutual fund-based products. RBG, is the primary distributor of our products and related solutions to individuals in the K-12 education market with more than 1,000 advisors dedic</w:t>
      </w:r>
      <w:r>
        <w:rPr>
          <w:rFonts w:eastAsia="Times New Roman"/>
          <w:color w:val="000000"/>
          <w:sz w:val="20"/>
          <w:szCs w:val="20"/>
        </w:rPr>
        <w:t xml:space="preserve">ated to helping educators prepare for retirement as of December 31, 2021. </w:t>
      </w:r>
    </w:p>
    <w:p w:rsidR="00000000" w:rsidRDefault="005B0BC3">
      <w:pPr>
        <w:ind w:firstLine="360"/>
        <w:divId w:val="384137942"/>
        <w:rPr>
          <w:rFonts w:eastAsia="Times New Roman"/>
        </w:rPr>
      </w:pPr>
      <w:r>
        <w:rPr>
          <w:rFonts w:eastAsia="Times New Roman"/>
          <w:color w:val="000000"/>
          <w:sz w:val="20"/>
          <w:szCs w:val="20"/>
        </w:rPr>
        <w:t>The tax-exempt 403(b)/457(b) market, which includes our 403(b) K–12 education market business, accounted for 71% of sales within the Group Retirement business for the year ended Dec</w:t>
      </w:r>
      <w:r>
        <w:rPr>
          <w:rFonts w:eastAsia="Times New Roman"/>
          <w:color w:val="000000"/>
          <w:sz w:val="20"/>
          <w:szCs w:val="20"/>
        </w:rPr>
        <w:t xml:space="preserve">ember 31, 2021. The corporate 401(k) market accounts for 22% and the remaining 7% is Other as of December 31, 2021. </w:t>
      </w:r>
    </w:p>
    <w:p w:rsidR="00000000" w:rsidRDefault="005B0BC3">
      <w:pPr>
        <w:ind w:firstLine="360"/>
        <w:divId w:val="264844432"/>
        <w:rPr>
          <w:rFonts w:eastAsia="Times New Roman"/>
        </w:rPr>
      </w:pPr>
      <w:r>
        <w:rPr>
          <w:rFonts w:eastAsia="Times New Roman"/>
          <w:color w:val="000000"/>
          <w:sz w:val="20"/>
          <w:szCs w:val="20"/>
        </w:rPr>
        <w:t xml:space="preserve">The recurring nature of the revenues from our Group Retirement business makes this segment an important and stable contributor of earnings </w:t>
      </w:r>
      <w:r>
        <w:rPr>
          <w:rFonts w:eastAsia="Times New Roman"/>
          <w:color w:val="000000"/>
          <w:sz w:val="20"/>
          <w:szCs w:val="20"/>
        </w:rPr>
        <w:t xml:space="preserve">and cash flow to our business. The primary sources of revenue for the Group Retirement business include fee revenue and investment income. </w:t>
      </w:r>
    </w:p>
    <w:p w:rsidR="00000000" w:rsidRDefault="005B0BC3">
      <w:pPr>
        <w:jc w:val="both"/>
        <w:divId w:val="129520356"/>
        <w:rPr>
          <w:rFonts w:eastAsia="Times New Roman"/>
        </w:rPr>
      </w:pPr>
      <w:r>
        <w:rPr>
          <w:rFonts w:eastAsia="Times New Roman"/>
          <w:b/>
          <w:bCs/>
          <w:i/>
          <w:iCs/>
          <w:color w:val="000000"/>
          <w:sz w:val="20"/>
          <w:szCs w:val="20"/>
        </w:rPr>
        <w:t xml:space="preserve">Products </w:t>
      </w:r>
    </w:p>
    <w:p w:rsidR="00000000" w:rsidRDefault="005B0BC3">
      <w:pPr>
        <w:ind w:firstLine="360"/>
        <w:divId w:val="433937983"/>
        <w:rPr>
          <w:rFonts w:eastAsia="Times New Roman"/>
        </w:rPr>
      </w:pPr>
      <w:r>
        <w:rPr>
          <w:rFonts w:eastAsia="Times New Roman"/>
          <w:color w:val="000000"/>
          <w:sz w:val="20"/>
          <w:szCs w:val="20"/>
        </w:rPr>
        <w:t>Our products offer educators, municipal employees and corporate employees a savings opportunity that provides tax-deferred wealth accumulation. Our innovative product offerings address all retirement phases with diverse investment options.</w:t>
      </w:r>
    </w:p>
    <w:p w:rsidR="00000000" w:rsidRDefault="005B0BC3">
      <w:pPr>
        <w:divId w:val="1241910149"/>
        <w:rPr>
          <w:rFonts w:eastAsia="Times New Roman"/>
        </w:rPr>
      </w:pPr>
      <w:r>
        <w:rPr>
          <w:rFonts w:eastAsia="Times New Roman"/>
          <w:i/>
          <w:iCs/>
          <w:color w:val="000000"/>
          <w:sz w:val="20"/>
          <w:szCs w:val="20"/>
          <w:u w:val="single"/>
        </w:rPr>
        <w:t>Variable Annuiti</w:t>
      </w:r>
      <w:r>
        <w:rPr>
          <w:rFonts w:eastAsia="Times New Roman"/>
          <w:i/>
          <w:iCs/>
          <w:color w:val="000000"/>
          <w:sz w:val="20"/>
          <w:szCs w:val="20"/>
          <w:u w:val="single"/>
        </w:rPr>
        <w:t>es</w:t>
      </w:r>
      <w:r>
        <w:rPr>
          <w:rFonts w:eastAsia="Times New Roman"/>
          <w:i/>
          <w:iCs/>
          <w:color w:val="000000"/>
          <w:sz w:val="20"/>
          <w:szCs w:val="20"/>
        </w:rPr>
        <w:t xml:space="preserve"> </w:t>
      </w:r>
    </w:p>
    <w:p w:rsidR="00000000" w:rsidRDefault="005B0BC3">
      <w:pPr>
        <w:ind w:firstLine="360"/>
        <w:divId w:val="1926255561"/>
        <w:rPr>
          <w:rFonts w:eastAsia="Times New Roman"/>
        </w:rPr>
      </w:pPr>
      <w:r>
        <w:rPr>
          <w:rFonts w:eastAsia="Times New Roman"/>
          <w:color w:val="000000"/>
          <w:sz w:val="20"/>
          <w:szCs w:val="20"/>
        </w:rPr>
        <w:t xml:space="preserve">Our variable annuities offer defined contribution plan record-keeping, as well as administrative and participant services combined with a variety of proprietary and non-proprietary investment options. Our variable annuity investment lineup mostly consists </w:t>
      </w:r>
      <w:r>
        <w:rPr>
          <w:rFonts w:eastAsia="Times New Roman"/>
          <w:color w:val="000000"/>
          <w:sz w:val="20"/>
          <w:szCs w:val="20"/>
        </w:rPr>
        <w:t>of proprietary variable investment options that are managed by EIMG, which provides discretionary investment management services for these investment options that include developing and executing asset allocation strategies and providing rigorous oversight</w:t>
      </w:r>
      <w:r>
        <w:rPr>
          <w:rFonts w:eastAsia="Times New Roman"/>
          <w:color w:val="000000"/>
          <w:sz w:val="20"/>
          <w:szCs w:val="20"/>
        </w:rPr>
        <w:t xml:space="preserve"> of sub-advisors for the investment options. This helps to ensure that we retain high quality managers and that we leverage our scale across both the Individual Retirement and Group Retirement products. In addition, our variable annuity products offer the </w:t>
      </w:r>
      <w:r>
        <w:rPr>
          <w:rFonts w:eastAsia="Times New Roman"/>
          <w:color w:val="000000"/>
          <w:sz w:val="20"/>
          <w:szCs w:val="20"/>
        </w:rPr>
        <w:t xml:space="preserve">following features: </w:t>
      </w:r>
    </w:p>
    <w:p w:rsidR="00000000" w:rsidRDefault="005B0BC3">
      <w:pPr>
        <w:ind w:hanging="360"/>
        <w:jc w:val="both"/>
        <w:divId w:val="1594850762"/>
        <w:rPr>
          <w:rFonts w:eastAsia="Times New Roman"/>
        </w:rPr>
      </w:pPr>
      <w:r>
        <w:rPr>
          <w:rFonts w:eastAsia="Times New Roman"/>
          <w:color w:val="000000"/>
          <w:sz w:val="20"/>
          <w:szCs w:val="20"/>
        </w:rPr>
        <w:t>•Guaranteed Investment Option (GIO) —Provides a fixed interest rate and guarantee of principal.</w:t>
      </w:r>
    </w:p>
    <w:p w:rsidR="00000000" w:rsidRDefault="005B0BC3">
      <w:pPr>
        <w:ind w:hanging="360"/>
        <w:jc w:val="both"/>
        <w:divId w:val="1584417675"/>
        <w:rPr>
          <w:rFonts w:eastAsia="Times New Roman"/>
        </w:rPr>
      </w:pPr>
      <w:r>
        <w:rPr>
          <w:rFonts w:eastAsia="Times New Roman"/>
          <w:color w:val="000000"/>
          <w:sz w:val="20"/>
          <w:szCs w:val="20"/>
        </w:rPr>
        <w:t>•Structured Investment Option (SIO) —Provides upside market participation that tracks either the S&amp;P 500, Russell 2000 or the MSCI EAFE ind</w:t>
      </w:r>
      <w:r>
        <w:rPr>
          <w:rFonts w:eastAsia="Times New Roman"/>
          <w:color w:val="000000"/>
          <w:sz w:val="20"/>
          <w:szCs w:val="20"/>
        </w:rPr>
        <w:t>ex subject to a performance cap, with a downside buffer that limits losses in the investment over a one, three or five-year period. This option leverages our innovative SCS individual annuity offering, and we believe that we are the only provider that offe</w:t>
      </w:r>
      <w:r>
        <w:rPr>
          <w:rFonts w:eastAsia="Times New Roman"/>
          <w:color w:val="000000"/>
          <w:sz w:val="20"/>
          <w:szCs w:val="20"/>
        </w:rPr>
        <w:t>rs this type of offering combined in a variable annuity offering in the defined contribution market today.</w:t>
      </w:r>
    </w:p>
    <w:p w:rsidR="00000000" w:rsidRDefault="005B0BC3">
      <w:pPr>
        <w:ind w:hanging="360"/>
        <w:divId w:val="926155210"/>
        <w:rPr>
          <w:rFonts w:eastAsia="Times New Roman"/>
        </w:rPr>
      </w:pPr>
      <w:r>
        <w:rPr>
          <w:rFonts w:eastAsia="Times New Roman"/>
          <w:color w:val="000000"/>
          <w:sz w:val="20"/>
          <w:szCs w:val="20"/>
        </w:rPr>
        <w:t>•Personal Income Benefit—An optional GMxB feature that enables participants to obtain a guaranteed withdrawal benefit for life for an additional fee.</w:t>
      </w:r>
    </w:p>
    <w:p w:rsidR="00000000" w:rsidRDefault="005B0BC3">
      <w:pPr>
        <w:ind w:firstLine="360"/>
        <w:divId w:val="840464822"/>
        <w:rPr>
          <w:rFonts w:eastAsia="Times New Roman"/>
        </w:rPr>
      </w:pPr>
      <w:r>
        <w:rPr>
          <w:rFonts w:eastAsia="Times New Roman"/>
          <w:color w:val="000000"/>
          <w:sz w:val="20"/>
          <w:szCs w:val="20"/>
        </w:rPr>
        <w:t>While GMxB features provide differentiation in the market, only approximately $9 million, or 0.02%, of our total AV is invested in products with GMxB features (other than ROP death benefits) as of December 31, 2021, and based on current utilization, we do</w:t>
      </w:r>
      <w:r>
        <w:rPr>
          <w:rFonts w:eastAsia="Times New Roman"/>
          <w:color w:val="000000"/>
          <w:sz w:val="20"/>
          <w:szCs w:val="20"/>
        </w:rPr>
        <w:t xml:space="preserve"> not expect significant flows into these types of GMxB features. </w:t>
      </w:r>
    </w:p>
    <w:p w:rsidR="00000000" w:rsidRDefault="005B0BC3">
      <w:pPr>
        <w:divId w:val="1474710901"/>
        <w:rPr>
          <w:rFonts w:eastAsia="Times New Roman"/>
        </w:rPr>
      </w:pPr>
      <w:r>
        <w:rPr>
          <w:rFonts w:eastAsia="Times New Roman"/>
          <w:i/>
          <w:iCs/>
          <w:color w:val="000000"/>
          <w:sz w:val="20"/>
          <w:szCs w:val="20"/>
          <w:u w:val="single"/>
        </w:rPr>
        <w:t>Open Architecture Mutual Fund Platform</w:t>
      </w:r>
    </w:p>
    <w:p w:rsidR="00000000" w:rsidRDefault="005B0BC3">
      <w:pPr>
        <w:ind w:firstLine="360"/>
        <w:divId w:val="520360896"/>
        <w:rPr>
          <w:rFonts w:eastAsia="Times New Roman"/>
        </w:rPr>
      </w:pPr>
      <w:r>
        <w:rPr>
          <w:rFonts w:eastAsia="Times New Roman"/>
          <w:color w:val="000000"/>
          <w:sz w:val="20"/>
          <w:szCs w:val="20"/>
        </w:rPr>
        <w:t>We also offer a mutual fund-based product to complement our variable annuity products. This platform provides a similar service offering to our variabl</w:t>
      </w:r>
      <w:r>
        <w:rPr>
          <w:rFonts w:eastAsia="Times New Roman"/>
          <w:color w:val="000000"/>
          <w:sz w:val="20"/>
          <w:szCs w:val="20"/>
        </w:rPr>
        <w:t>e annuities. The program allows plan sponsors to select from thousands of mutual funds. The platform also offers a group fixed annuity that operates very similarly to the GIO as an available investment option on this platform. In January 2021 we launched t</w:t>
      </w:r>
      <w:r>
        <w:rPr>
          <w:rFonts w:eastAsia="Times New Roman"/>
          <w:color w:val="000000"/>
          <w:sz w:val="20"/>
          <w:szCs w:val="20"/>
        </w:rPr>
        <w:t>he successor product to our existing mutual fund based product.</w:t>
      </w:r>
    </w:p>
    <w:p w:rsidR="00000000" w:rsidRDefault="005B0BC3">
      <w:pPr>
        <w:divId w:val="940727099"/>
        <w:rPr>
          <w:rFonts w:eastAsia="Times New Roman"/>
        </w:rPr>
      </w:pPr>
      <w:r>
        <w:rPr>
          <w:rFonts w:eastAsia="Times New Roman"/>
          <w:i/>
          <w:iCs/>
          <w:color w:val="000000"/>
          <w:sz w:val="20"/>
          <w:szCs w:val="20"/>
          <w:u w:val="single"/>
        </w:rPr>
        <w:t>Services</w:t>
      </w:r>
    </w:p>
    <w:p w:rsidR="00000000" w:rsidRDefault="005B0BC3">
      <w:pPr>
        <w:ind w:firstLine="360"/>
        <w:divId w:val="126359963"/>
        <w:rPr>
          <w:rFonts w:eastAsia="Times New Roman"/>
        </w:rPr>
      </w:pPr>
      <w:r>
        <w:rPr>
          <w:rFonts w:eastAsia="Times New Roman"/>
          <w:color w:val="000000"/>
          <w:sz w:val="20"/>
          <w:szCs w:val="20"/>
        </w:rPr>
        <w:t>Both our variable annuity and open architecture mutual fund products offer a suite of tools and services to enable plan participants to obtain education and guidance on their contribu</w:t>
      </w:r>
      <w:r>
        <w:rPr>
          <w:rFonts w:eastAsia="Times New Roman"/>
          <w:color w:val="000000"/>
          <w:sz w:val="20"/>
          <w:szCs w:val="20"/>
        </w:rPr>
        <w:t>tions and investment decisions and plan fiduciary services. Education and guidance are available online or in person from a team of plan relationship and enrollment specialists and/or the advisor that sold the product. Our clients’ retirement contributions</w:t>
      </w:r>
      <w:r>
        <w:rPr>
          <w:rFonts w:eastAsia="Times New Roman"/>
          <w:color w:val="000000"/>
          <w:sz w:val="20"/>
          <w:szCs w:val="20"/>
        </w:rPr>
        <w:t xml:space="preserve"> come through payroll deductions, which contribute significantly to stable and recurring sources of renewals. </w:t>
      </w:r>
    </w:p>
    <w:p w:rsidR="00000000" w:rsidRDefault="005B0BC3">
      <w:pPr>
        <w:jc w:val="center"/>
        <w:divId w:val="1836190869"/>
        <w:rPr>
          <w:rFonts w:eastAsia="Times New Roman"/>
        </w:rPr>
      </w:pPr>
      <w:r>
        <w:rPr>
          <w:rFonts w:eastAsia="Times New Roman"/>
          <w:color w:val="000000"/>
          <w:sz w:val="20"/>
          <w:szCs w:val="20"/>
        </w:rPr>
        <w:t>19</w:t>
      </w:r>
    </w:p>
    <w:p w:rsidR="00000000" w:rsidRDefault="005B0BC3">
      <w:pPr>
        <w:rPr>
          <w:rFonts w:eastAsia="Times New Roman"/>
        </w:rPr>
      </w:pPr>
      <w:r>
        <w:rPr>
          <w:rFonts w:eastAsia="Times New Roman"/>
        </w:rPr>
        <w:pict>
          <v:rect id="_x0000_i1048" style="width:0;height:1.5pt" o:hralign="center" o:hrstd="t" o:hr="t" fillcolor="#a0a0a0" stroked="f"/>
        </w:pict>
      </w:r>
    </w:p>
    <w:p w:rsidR="00000000" w:rsidRDefault="005B0BC3">
      <w:pPr>
        <w:divId w:val="1620181473"/>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ind w:firstLine="360"/>
        <w:divId w:val="1573858052"/>
        <w:rPr>
          <w:rFonts w:eastAsia="Times New Roman"/>
        </w:rPr>
      </w:pPr>
      <w:r>
        <w:rPr>
          <w:rFonts w:eastAsia="Times New Roman"/>
          <w:color w:val="000000"/>
          <w:sz w:val="20"/>
          <w:szCs w:val="20"/>
        </w:rPr>
        <w:t xml:space="preserve">The chart below illustrates </w:t>
      </w:r>
      <w:r>
        <w:rPr>
          <w:rFonts w:eastAsia="Times New Roman"/>
          <w:color w:val="000000"/>
          <w:sz w:val="20"/>
          <w:szCs w:val="20"/>
        </w:rPr>
        <w:t>our net flows for the years ended December 31, 2021, 2020 and 2019.</w:t>
      </w:r>
    </w:p>
    <w:tbl>
      <w:tblPr>
        <w:tblW w:w="5000" w:type="pct"/>
        <w:tblCellMar>
          <w:top w:w="15" w:type="dxa"/>
          <w:left w:w="15" w:type="dxa"/>
          <w:bottom w:w="15" w:type="dxa"/>
          <w:right w:w="15" w:type="dxa"/>
        </w:tblCellMar>
        <w:tblLook w:val="04A0" w:firstRow="1" w:lastRow="0" w:firstColumn="1" w:lastColumn="0" w:noHBand="0" w:noVBand="1"/>
      </w:tblPr>
      <w:tblGrid>
        <w:gridCol w:w="42"/>
        <w:gridCol w:w="4653"/>
        <w:gridCol w:w="37"/>
        <w:gridCol w:w="120"/>
        <w:gridCol w:w="989"/>
        <w:gridCol w:w="36"/>
        <w:gridCol w:w="36"/>
        <w:gridCol w:w="36"/>
        <w:gridCol w:w="36"/>
        <w:gridCol w:w="120"/>
        <w:gridCol w:w="950"/>
        <w:gridCol w:w="36"/>
        <w:gridCol w:w="36"/>
        <w:gridCol w:w="36"/>
        <w:gridCol w:w="36"/>
        <w:gridCol w:w="120"/>
        <w:gridCol w:w="951"/>
        <w:gridCol w:w="36"/>
      </w:tblGrid>
      <w:tr w:rsidR="00000000">
        <w:trPr>
          <w:divId w:val="768306712"/>
        </w:trPr>
        <w:tc>
          <w:tcPr>
            <w:tcW w:w="50" w:type="pct"/>
            <w:vAlign w:val="center"/>
            <w:hideMark/>
          </w:tcPr>
          <w:p w:rsidR="00000000" w:rsidRDefault="005B0BC3">
            <w:pPr>
              <w:ind w:firstLine="360"/>
              <w:rPr>
                <w:rFonts w:eastAsia="Times New Roman"/>
              </w:rPr>
            </w:pPr>
          </w:p>
        </w:tc>
        <w:tc>
          <w:tcPr>
            <w:tcW w:w="283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768306712"/>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r>
      <w:tr w:rsidR="00000000">
        <w:trPr>
          <w:divId w:val="768306712"/>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768306712"/>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768306712"/>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Net Flows</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768306712"/>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Gross Premiums</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3,623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3,343 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3,533 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768306712"/>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Surrenders, Withdrawals and Benefits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(3,929)</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(3,047)</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(3,266)</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768306712"/>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Net Flows</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(306)</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296 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267 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ind w:firstLine="360"/>
        <w:divId w:val="853416554"/>
        <w:rPr>
          <w:rFonts w:eastAsia="Times New Roman"/>
        </w:rPr>
      </w:pPr>
      <w:r>
        <w:rPr>
          <w:rFonts w:eastAsia="Times New Roman"/>
          <w:color w:val="000000"/>
          <w:sz w:val="20"/>
          <w:szCs w:val="20"/>
        </w:rPr>
        <w:t xml:space="preserve">The following table presents the gross premiums for each of our markets for the periods specified. </w:t>
      </w:r>
    </w:p>
    <w:tbl>
      <w:tblPr>
        <w:tblW w:w="5000" w:type="pct"/>
        <w:tblCellMar>
          <w:top w:w="15" w:type="dxa"/>
          <w:left w:w="15" w:type="dxa"/>
          <w:bottom w:w="15" w:type="dxa"/>
          <w:right w:w="15" w:type="dxa"/>
        </w:tblCellMar>
        <w:tblLook w:val="04A0" w:firstRow="1" w:lastRow="0" w:firstColumn="1" w:lastColumn="0" w:noHBand="0" w:noVBand="1"/>
      </w:tblPr>
      <w:tblGrid>
        <w:gridCol w:w="37"/>
        <w:gridCol w:w="4658"/>
        <w:gridCol w:w="36"/>
        <w:gridCol w:w="120"/>
        <w:gridCol w:w="990"/>
        <w:gridCol w:w="36"/>
        <w:gridCol w:w="36"/>
        <w:gridCol w:w="36"/>
        <w:gridCol w:w="36"/>
        <w:gridCol w:w="120"/>
        <w:gridCol w:w="950"/>
        <w:gridCol w:w="36"/>
        <w:gridCol w:w="36"/>
        <w:gridCol w:w="36"/>
        <w:gridCol w:w="36"/>
        <w:gridCol w:w="120"/>
        <w:gridCol w:w="951"/>
        <w:gridCol w:w="36"/>
      </w:tblGrid>
      <w:tr w:rsidR="00000000">
        <w:trPr>
          <w:divId w:val="1527719399"/>
        </w:trPr>
        <w:tc>
          <w:tcPr>
            <w:tcW w:w="50" w:type="pct"/>
            <w:vAlign w:val="center"/>
            <w:hideMark/>
          </w:tcPr>
          <w:p w:rsidR="00000000" w:rsidRDefault="005B0BC3">
            <w:pPr>
              <w:ind w:firstLine="360"/>
              <w:rPr>
                <w:rFonts w:eastAsia="Times New Roman"/>
              </w:rPr>
            </w:pPr>
          </w:p>
        </w:tc>
        <w:tc>
          <w:tcPr>
            <w:tcW w:w="283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527719399"/>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r>
      <w:tr w:rsidR="00000000">
        <w:trPr>
          <w:divId w:val="1527719399"/>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1527719399"/>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1527719399"/>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Gross Premiums by Market</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527719399"/>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Tax-Exempt</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724 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902 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527719399"/>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Corporate</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392 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537 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527719399"/>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527719399"/>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FYP</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1,306</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1,176 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1,488 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527719399"/>
        </w:trPr>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527719399"/>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Tax-Exempt</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1,757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1,632 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1,531 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527719399"/>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Corporate</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342 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330 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527719399"/>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191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193 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184 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527719399"/>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Renewal Premiums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2,317</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2,167 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2,045 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527719399"/>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Gross Premiums</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3,623</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3,343 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3,533 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jc w:val="both"/>
        <w:divId w:val="637686171"/>
        <w:rPr>
          <w:rFonts w:eastAsia="Times New Roman"/>
        </w:rPr>
      </w:pPr>
      <w:r>
        <w:rPr>
          <w:rFonts w:eastAsia="Times New Roman"/>
          <w:b/>
          <w:bCs/>
          <w:i/>
          <w:iCs/>
          <w:color w:val="000000"/>
          <w:sz w:val="20"/>
          <w:szCs w:val="20"/>
        </w:rPr>
        <w:t xml:space="preserve">Markets </w:t>
      </w:r>
    </w:p>
    <w:p w:rsidR="00000000" w:rsidRDefault="005B0BC3">
      <w:pPr>
        <w:ind w:firstLine="360"/>
        <w:divId w:val="1206677202"/>
        <w:rPr>
          <w:rFonts w:eastAsia="Times New Roman"/>
        </w:rPr>
      </w:pPr>
      <w:r>
        <w:rPr>
          <w:rFonts w:eastAsia="Times New Roman"/>
          <w:color w:val="000000"/>
          <w:sz w:val="20"/>
          <w:szCs w:val="20"/>
        </w:rPr>
        <w:t xml:space="preserve">We primarily operate in the tax-exempt 403(b)/457(b), corporate 401(k) and other markets. </w:t>
      </w:r>
    </w:p>
    <w:p w:rsidR="00000000" w:rsidRDefault="005B0BC3">
      <w:pPr>
        <w:ind w:hanging="360"/>
        <w:jc w:val="both"/>
        <w:divId w:val="307514266"/>
        <w:rPr>
          <w:rFonts w:eastAsia="Times New Roman"/>
        </w:rPr>
      </w:pPr>
      <w:r>
        <w:rPr>
          <w:rFonts w:eastAsia="Times New Roman"/>
          <w:color w:val="000000"/>
          <w:sz w:val="20"/>
          <w:szCs w:val="20"/>
        </w:rPr>
        <w:t>•</w:t>
      </w:r>
      <w:r>
        <w:rPr>
          <w:rFonts w:eastAsia="Times New Roman"/>
          <w:i/>
          <w:iCs/>
          <w:color w:val="000000"/>
          <w:sz w:val="20"/>
          <w:szCs w:val="20"/>
        </w:rPr>
        <w:t>Tax-exempt 403(b)/457(b)</w:t>
      </w:r>
      <w:r>
        <w:rPr>
          <w:rFonts w:eastAsia="Times New Roman"/>
          <w:color w:val="000000"/>
          <w:sz w:val="20"/>
          <w:szCs w:val="20"/>
        </w:rPr>
        <w:t xml:space="preserve">. We primarily serve individual employees of public school </w:t>
      </w:r>
      <w:r>
        <w:rPr>
          <w:rFonts w:eastAsia="Times New Roman"/>
          <w:color w:val="000000"/>
          <w:sz w:val="20"/>
          <w:szCs w:val="20"/>
        </w:rPr>
        <w:t xml:space="preserve">systems. To a lesser extent, we also market to government entities that sponsor 457(b) plans. </w:t>
      </w:r>
    </w:p>
    <w:p w:rsidR="00000000" w:rsidRDefault="005B0BC3">
      <w:pPr>
        <w:jc w:val="both"/>
        <w:divId w:val="20862756"/>
        <w:rPr>
          <w:rFonts w:eastAsia="Times New Roman"/>
        </w:rPr>
      </w:pPr>
      <w:r>
        <w:rPr>
          <w:rFonts w:eastAsia="Times New Roman"/>
          <w:color w:val="000000"/>
          <w:sz w:val="20"/>
          <w:szCs w:val="20"/>
        </w:rPr>
        <w:t>Overall, the 403(b) and 457(b) markets represent 62% of FYP in the Group Retirement segment for the year ended December 31, 2021. We seek to grow in these market</w:t>
      </w:r>
      <w:r>
        <w:rPr>
          <w:rFonts w:eastAsia="Times New Roman"/>
          <w:color w:val="000000"/>
          <w:sz w:val="20"/>
          <w:szCs w:val="20"/>
        </w:rPr>
        <w:t xml:space="preserve">s by increasing our presence in the school districts where we currently operate and also by potentially growing our presence in school districts where we currently do not have access. </w:t>
      </w:r>
    </w:p>
    <w:p w:rsidR="00000000" w:rsidRDefault="005B0BC3">
      <w:pPr>
        <w:ind w:hanging="360"/>
        <w:jc w:val="both"/>
        <w:divId w:val="669866580"/>
        <w:rPr>
          <w:rFonts w:eastAsia="Times New Roman"/>
        </w:rPr>
      </w:pPr>
      <w:r>
        <w:rPr>
          <w:rFonts w:eastAsia="Times New Roman"/>
          <w:color w:val="000000"/>
          <w:sz w:val="20"/>
          <w:szCs w:val="20"/>
        </w:rPr>
        <w:t>•</w:t>
      </w:r>
      <w:r>
        <w:rPr>
          <w:rFonts w:eastAsia="Times New Roman"/>
          <w:i/>
          <w:iCs/>
          <w:color w:val="000000"/>
          <w:sz w:val="20"/>
          <w:szCs w:val="20"/>
        </w:rPr>
        <w:t xml:space="preserve">Corporate 401(k). </w:t>
      </w:r>
      <w:r>
        <w:rPr>
          <w:rFonts w:eastAsia="Times New Roman"/>
          <w:color w:val="000000"/>
          <w:sz w:val="20"/>
          <w:szCs w:val="20"/>
        </w:rPr>
        <w:t>We target small and medium-sized businesses with 401</w:t>
      </w:r>
      <w:r>
        <w:rPr>
          <w:rFonts w:eastAsia="Times New Roman"/>
          <w:color w:val="000000"/>
          <w:sz w:val="20"/>
          <w:szCs w:val="20"/>
        </w:rPr>
        <w:t>(k) plans that generally have under $20 million in assets. Our product offerings accommodate start up plans and plans with accumulated assets. Typically, our products appeal to companies with strong contribution flows and a smaller number of participants w</w:t>
      </w:r>
      <w:r>
        <w:rPr>
          <w:rFonts w:eastAsia="Times New Roman"/>
          <w:color w:val="000000"/>
          <w:sz w:val="20"/>
          <w:szCs w:val="20"/>
        </w:rPr>
        <w:t>ith relatively high average participant balances. The under $20 million asset plan market is well aligned with our advisor distribution, which has a strong presence in the small and medium-sized business market, and complements our other products focused o</w:t>
      </w:r>
      <w:r>
        <w:rPr>
          <w:rFonts w:eastAsia="Times New Roman"/>
          <w:color w:val="000000"/>
          <w:sz w:val="20"/>
          <w:szCs w:val="20"/>
        </w:rPr>
        <w:t xml:space="preserve">n this market (such as life insurance and employee benefits products aimed at this market). </w:t>
      </w:r>
    </w:p>
    <w:p w:rsidR="00000000" w:rsidRDefault="005B0BC3">
      <w:pPr>
        <w:ind w:hanging="360"/>
        <w:divId w:val="1634404285"/>
        <w:rPr>
          <w:rFonts w:eastAsia="Times New Roman"/>
        </w:rPr>
      </w:pPr>
      <w:r>
        <w:rPr>
          <w:rFonts w:eastAsia="Times New Roman"/>
          <w:color w:val="000000"/>
          <w:sz w:val="20"/>
          <w:szCs w:val="20"/>
        </w:rPr>
        <w:t>•</w:t>
      </w:r>
      <w:r>
        <w:rPr>
          <w:rFonts w:eastAsia="Times New Roman"/>
          <w:i/>
          <w:iCs/>
          <w:color w:val="000000"/>
          <w:sz w:val="20"/>
          <w:szCs w:val="20"/>
        </w:rPr>
        <w:t xml:space="preserve">Other. </w:t>
      </w:r>
      <w:r>
        <w:rPr>
          <w:rFonts w:eastAsia="Times New Roman"/>
          <w:color w:val="000000"/>
          <w:sz w:val="20"/>
          <w:szCs w:val="20"/>
        </w:rPr>
        <w:t>Our other business includes an affinity-based direct marketing program where we offer retirement and individual products to employers that are members of i</w:t>
      </w:r>
      <w:r>
        <w:rPr>
          <w:rFonts w:eastAsia="Times New Roman"/>
          <w:color w:val="000000"/>
          <w:sz w:val="20"/>
          <w:szCs w:val="20"/>
        </w:rPr>
        <w:t>ndustry or trade associations and various other sole proprietor and small business retirement accounts.</w:t>
      </w:r>
    </w:p>
    <w:p w:rsidR="00000000" w:rsidRDefault="005B0BC3">
      <w:pPr>
        <w:ind w:firstLine="360"/>
        <w:divId w:val="1808889412"/>
        <w:rPr>
          <w:rFonts w:eastAsia="Times New Roman"/>
        </w:rPr>
      </w:pPr>
      <w:r>
        <w:rPr>
          <w:rFonts w:eastAsia="Times New Roman"/>
          <w:color w:val="000000"/>
          <w:sz w:val="20"/>
          <w:szCs w:val="20"/>
        </w:rPr>
        <w:t>The following table presents the relative contribution of each of our markets to AV as of the dates indicated.</w:t>
      </w:r>
    </w:p>
    <w:p w:rsidR="00000000" w:rsidRDefault="005B0BC3">
      <w:pPr>
        <w:jc w:val="center"/>
        <w:divId w:val="1003435913"/>
        <w:rPr>
          <w:rFonts w:eastAsia="Times New Roman"/>
        </w:rPr>
      </w:pPr>
      <w:r>
        <w:rPr>
          <w:rFonts w:eastAsia="Times New Roman"/>
          <w:color w:val="000000"/>
          <w:sz w:val="20"/>
          <w:szCs w:val="20"/>
        </w:rPr>
        <w:t>20</w:t>
      </w:r>
    </w:p>
    <w:p w:rsidR="00000000" w:rsidRDefault="005B0BC3">
      <w:pPr>
        <w:rPr>
          <w:rFonts w:eastAsia="Times New Roman"/>
        </w:rPr>
      </w:pPr>
      <w:r>
        <w:rPr>
          <w:rFonts w:eastAsia="Times New Roman"/>
        </w:rPr>
        <w:pict>
          <v:rect id="_x0000_i1049" style="width:0;height:1.5pt" o:hralign="center" o:hrstd="t" o:hr="t" fillcolor="#a0a0a0" stroked="f"/>
        </w:pict>
      </w:r>
    </w:p>
    <w:p w:rsidR="00000000" w:rsidRDefault="005B0BC3">
      <w:pPr>
        <w:divId w:val="1573278080"/>
        <w:rPr>
          <w:rFonts w:eastAsia="Times New Roman"/>
        </w:rPr>
      </w:pPr>
      <w:hyperlink w:anchor="i2ac35847634046b3a89f93d9b422e8f5_421" w:history="1">
        <w:r>
          <w:rPr>
            <w:rStyle w:val="a3"/>
            <w:rFonts w:eastAsia="Times New Roman"/>
            <w:b/>
            <w:bCs/>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8"/>
        <w:gridCol w:w="4657"/>
        <w:gridCol w:w="37"/>
        <w:gridCol w:w="120"/>
        <w:gridCol w:w="989"/>
        <w:gridCol w:w="36"/>
        <w:gridCol w:w="36"/>
        <w:gridCol w:w="36"/>
        <w:gridCol w:w="36"/>
        <w:gridCol w:w="120"/>
        <w:gridCol w:w="950"/>
        <w:gridCol w:w="36"/>
        <w:gridCol w:w="36"/>
        <w:gridCol w:w="36"/>
        <w:gridCol w:w="36"/>
        <w:gridCol w:w="120"/>
        <w:gridCol w:w="951"/>
        <w:gridCol w:w="36"/>
      </w:tblGrid>
      <w:tr w:rsidR="00000000">
        <w:trPr>
          <w:divId w:val="490217884"/>
        </w:trPr>
        <w:tc>
          <w:tcPr>
            <w:tcW w:w="50" w:type="pct"/>
            <w:vAlign w:val="center"/>
            <w:hideMark/>
          </w:tcPr>
          <w:p w:rsidR="00000000" w:rsidRDefault="005B0BC3">
            <w:pPr>
              <w:rPr>
                <w:rFonts w:eastAsia="Times New Roman"/>
              </w:rPr>
            </w:pPr>
          </w:p>
        </w:tc>
        <w:tc>
          <w:tcPr>
            <w:tcW w:w="283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490217884"/>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December 31,</w:t>
            </w:r>
          </w:p>
        </w:tc>
      </w:tr>
      <w:tr w:rsidR="00000000">
        <w:trPr>
          <w:divId w:val="490217884"/>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490217884"/>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490217884"/>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AV by Market</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490217884"/>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Tax-Exempt</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37,072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32,586 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28,895 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490217884"/>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Corporate</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5,367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4,920 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4,387 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490217884"/>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4,914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4,953 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4,598 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490217884"/>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AV</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47,353</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42,459 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37,880 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jc w:val="both"/>
        <w:divId w:val="37900634"/>
        <w:rPr>
          <w:rFonts w:eastAsia="Times New Roman"/>
        </w:rPr>
      </w:pPr>
      <w:r>
        <w:rPr>
          <w:rFonts w:eastAsia="Times New Roman"/>
          <w:b/>
          <w:bCs/>
          <w:i/>
          <w:iCs/>
          <w:color w:val="000000"/>
          <w:sz w:val="20"/>
          <w:szCs w:val="20"/>
        </w:rPr>
        <w:t xml:space="preserve">Distribution </w:t>
      </w:r>
    </w:p>
    <w:p w:rsidR="00000000" w:rsidRDefault="005B0BC3">
      <w:pPr>
        <w:ind w:firstLine="360"/>
        <w:divId w:val="2059014480"/>
        <w:rPr>
          <w:rFonts w:eastAsia="Times New Roman"/>
        </w:rPr>
      </w:pPr>
      <w:r>
        <w:rPr>
          <w:rFonts w:eastAsia="Times New Roman"/>
          <w:color w:val="000000"/>
          <w:sz w:val="20"/>
          <w:szCs w:val="20"/>
        </w:rPr>
        <w:t>We primarily distribute our products and services to this market through Equitable Advisors and third-party distribution firms. For the year ended December 31, 2021, these channels represented approximately 88% and 12% of our sales, respectively. We also d</w:t>
      </w:r>
      <w:r>
        <w:rPr>
          <w:rFonts w:eastAsia="Times New Roman"/>
          <w:color w:val="000000"/>
          <w:sz w:val="20"/>
          <w:szCs w:val="20"/>
        </w:rPr>
        <w:t xml:space="preserve">istribute through direct online sales. We employ internal and external wholesalers to exclusively market our products through Equitable Advisors and third-party firms that are licensed to sell our products. </w:t>
      </w:r>
    </w:p>
    <w:p w:rsidR="00000000" w:rsidRDefault="005B0BC3">
      <w:pPr>
        <w:ind w:firstLine="360"/>
        <w:divId w:val="1104959125"/>
        <w:rPr>
          <w:rFonts w:eastAsia="Times New Roman"/>
        </w:rPr>
      </w:pPr>
      <w:r>
        <w:rPr>
          <w:rFonts w:eastAsia="Times New Roman"/>
          <w:color w:val="000000"/>
          <w:sz w:val="20"/>
          <w:szCs w:val="20"/>
        </w:rPr>
        <w:t xml:space="preserve">Equitable Advisors, through RBG, is the primary </w:t>
      </w:r>
      <w:r>
        <w:rPr>
          <w:rFonts w:eastAsia="Times New Roman"/>
          <w:color w:val="000000"/>
          <w:sz w:val="20"/>
          <w:szCs w:val="20"/>
        </w:rPr>
        <w:t>distribution channel for our products. The cornerstone of the RBG model is a repeatable and scalable advisor recruiting and training model that we believe is more effective than the overall industry model. RBG advisors complete several levels of training t</w:t>
      </w:r>
      <w:r>
        <w:rPr>
          <w:rFonts w:eastAsia="Times New Roman"/>
          <w:color w:val="000000"/>
          <w:sz w:val="20"/>
          <w:szCs w:val="20"/>
        </w:rPr>
        <w:t xml:space="preserve">hat are specific to the education market and give them the requisite skills to assess the educators’ retirement needs and how our products can help to address those needs. Equitable Advisors also accounted for 98% of our 403(b) sales in 2021. </w:t>
      </w:r>
    </w:p>
    <w:p w:rsidR="00000000" w:rsidRDefault="005B0BC3">
      <w:pPr>
        <w:ind w:firstLine="360"/>
        <w:divId w:val="1163281793"/>
        <w:rPr>
          <w:rFonts w:eastAsia="Times New Roman"/>
        </w:rPr>
      </w:pPr>
      <w:r>
        <w:rPr>
          <w:rFonts w:eastAsia="Times New Roman"/>
          <w:color w:val="000000"/>
          <w:sz w:val="20"/>
          <w:szCs w:val="20"/>
        </w:rPr>
        <w:t>Group Retire</w:t>
      </w:r>
      <w:r>
        <w:rPr>
          <w:rFonts w:eastAsia="Times New Roman"/>
          <w:color w:val="000000"/>
          <w:sz w:val="20"/>
          <w:szCs w:val="20"/>
        </w:rPr>
        <w:t>ment products are also distributed through third-party firms and directly to customers online. We have a digital engagement strategy to supplement our traditional advisor-based model. This includes engaging existing clients to increase contributions online</w:t>
      </w:r>
      <w:r>
        <w:rPr>
          <w:rFonts w:eastAsia="Times New Roman"/>
          <w:color w:val="000000"/>
          <w:sz w:val="20"/>
          <w:szCs w:val="20"/>
        </w:rPr>
        <w:t>. The program uses data analysis combined with digital media to engage educators, teach them about their retirement needs and increase awareness of our products and services. Due to effects of the COVID-19 pandemic, we accelerated our digital adoption prog</w:t>
      </w:r>
      <w:r>
        <w:rPr>
          <w:rFonts w:eastAsia="Times New Roman"/>
          <w:color w:val="000000"/>
          <w:sz w:val="20"/>
          <w:szCs w:val="20"/>
        </w:rPr>
        <w:t>rams, leading to improved outcomes for clients, advisors, and the Company. We developed digital tools and enhanced our remote engagement with our educator clients, which is resulting in improved retention and increases in retirement plan contributions.</w:t>
      </w:r>
    </w:p>
    <w:p w:rsidR="00000000" w:rsidRDefault="005B0BC3">
      <w:pPr>
        <w:ind w:firstLine="360"/>
        <w:divId w:val="252670826"/>
        <w:rPr>
          <w:rFonts w:eastAsia="Times New Roman"/>
        </w:rPr>
      </w:pPr>
      <w:r>
        <w:rPr>
          <w:rFonts w:eastAsia="Times New Roman"/>
          <w:color w:val="000000"/>
          <w:sz w:val="20"/>
          <w:szCs w:val="20"/>
        </w:rPr>
        <w:t>The</w:t>
      </w:r>
      <w:r>
        <w:rPr>
          <w:rFonts w:eastAsia="Times New Roman"/>
          <w:color w:val="000000"/>
          <w:sz w:val="20"/>
          <w:szCs w:val="20"/>
        </w:rPr>
        <w:t xml:space="preserve"> following table presents first year premium by distribution channel for the periods indicated: </w:t>
      </w:r>
    </w:p>
    <w:tbl>
      <w:tblPr>
        <w:tblW w:w="5000" w:type="pct"/>
        <w:tblCellMar>
          <w:top w:w="15" w:type="dxa"/>
          <w:left w:w="15" w:type="dxa"/>
          <w:bottom w:w="15" w:type="dxa"/>
          <w:right w:w="15" w:type="dxa"/>
        </w:tblCellMar>
        <w:tblLook w:val="04A0" w:firstRow="1" w:lastRow="0" w:firstColumn="1" w:lastColumn="0" w:noHBand="0" w:noVBand="1"/>
      </w:tblPr>
      <w:tblGrid>
        <w:gridCol w:w="37"/>
        <w:gridCol w:w="4658"/>
        <w:gridCol w:w="36"/>
        <w:gridCol w:w="120"/>
        <w:gridCol w:w="990"/>
        <w:gridCol w:w="36"/>
        <w:gridCol w:w="36"/>
        <w:gridCol w:w="36"/>
        <w:gridCol w:w="36"/>
        <w:gridCol w:w="120"/>
        <w:gridCol w:w="950"/>
        <w:gridCol w:w="36"/>
        <w:gridCol w:w="36"/>
        <w:gridCol w:w="36"/>
        <w:gridCol w:w="36"/>
        <w:gridCol w:w="120"/>
        <w:gridCol w:w="951"/>
        <w:gridCol w:w="36"/>
      </w:tblGrid>
      <w:tr w:rsidR="00000000">
        <w:trPr>
          <w:divId w:val="1837721900"/>
        </w:trPr>
        <w:tc>
          <w:tcPr>
            <w:tcW w:w="50" w:type="pct"/>
            <w:vAlign w:val="center"/>
            <w:hideMark/>
          </w:tcPr>
          <w:p w:rsidR="00000000" w:rsidRDefault="005B0BC3">
            <w:pPr>
              <w:ind w:firstLine="360"/>
              <w:rPr>
                <w:rFonts w:eastAsia="Times New Roman"/>
              </w:rPr>
            </w:pPr>
          </w:p>
        </w:tc>
        <w:tc>
          <w:tcPr>
            <w:tcW w:w="283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837721900"/>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r>
      <w:tr w:rsidR="00000000">
        <w:trPr>
          <w:divId w:val="1837721900"/>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1837721900"/>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1837721900"/>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FYP by Distribution</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837721900"/>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divId w:val="1522162637"/>
              <w:rPr>
                <w:rFonts w:eastAsia="Times New Roman"/>
              </w:rPr>
            </w:pPr>
            <w:r>
              <w:rPr>
                <w:rFonts w:eastAsia="Times New Roman"/>
                <w:color w:val="000000"/>
                <w:sz w:val="20"/>
                <w:szCs w:val="20"/>
              </w:rPr>
              <w:t>Equitable Advisors</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1,155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1,078 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1,341 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837721900"/>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Third-Party</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837721900"/>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1,306</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1,176 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1,488 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jc w:val="both"/>
        <w:divId w:val="1983002738"/>
        <w:rPr>
          <w:rFonts w:eastAsia="Times New Roman"/>
        </w:rPr>
      </w:pPr>
      <w:r>
        <w:rPr>
          <w:rFonts w:eastAsia="Times New Roman"/>
          <w:b/>
          <w:bCs/>
          <w:i/>
          <w:iCs/>
          <w:color w:val="000000"/>
          <w:sz w:val="20"/>
          <w:szCs w:val="20"/>
        </w:rPr>
        <w:t>Competition</w:t>
      </w:r>
      <w:r>
        <w:rPr>
          <w:rFonts w:eastAsia="Times New Roman"/>
          <w:b/>
          <w:bCs/>
          <w:color w:val="000000"/>
          <w:sz w:val="20"/>
          <w:szCs w:val="20"/>
        </w:rPr>
        <w:t xml:space="preserve"> </w:t>
      </w:r>
    </w:p>
    <w:p w:rsidR="00000000" w:rsidRDefault="005B0BC3">
      <w:pPr>
        <w:ind w:firstLine="360"/>
        <w:divId w:val="153764048"/>
        <w:rPr>
          <w:rFonts w:eastAsia="Times New Roman"/>
        </w:rPr>
      </w:pPr>
      <w:r>
        <w:rPr>
          <w:rFonts w:eastAsia="Times New Roman"/>
          <w:color w:val="000000"/>
          <w:sz w:val="20"/>
          <w:szCs w:val="20"/>
        </w:rPr>
        <w:t>We compete with select insurance companies, asset managers, record keepers and diversified financial institutions that target similar market segments. Competition varies in all market segments with no one company dominating. In the K–12 public education ma</w:t>
      </w:r>
      <w:r>
        <w:rPr>
          <w:rFonts w:eastAsia="Times New Roman"/>
          <w:color w:val="000000"/>
          <w:sz w:val="20"/>
          <w:szCs w:val="20"/>
        </w:rPr>
        <w:t>rket, competitors are primarily insurance-based providers that focus on school districts. In the small and medium-sized business market, the primary competitors are insurance-based providers and mutual fund companies. The main features that distinguish our</w:t>
      </w:r>
      <w:r>
        <w:rPr>
          <w:rFonts w:eastAsia="Times New Roman"/>
          <w:color w:val="000000"/>
          <w:sz w:val="20"/>
          <w:szCs w:val="20"/>
        </w:rPr>
        <w:t xml:space="preserve"> offering to clients include our RBG distribution model, the product features we offer to clients, including guarantees, and our financial strength. </w:t>
      </w:r>
    </w:p>
    <w:p w:rsidR="00000000" w:rsidRDefault="005B0BC3">
      <w:pPr>
        <w:jc w:val="both"/>
        <w:divId w:val="234632797"/>
        <w:rPr>
          <w:rFonts w:eastAsia="Times New Roman"/>
        </w:rPr>
      </w:pPr>
      <w:r>
        <w:rPr>
          <w:rFonts w:eastAsia="Times New Roman"/>
          <w:b/>
          <w:bCs/>
          <w:i/>
          <w:iCs/>
          <w:color w:val="000000"/>
          <w:sz w:val="20"/>
          <w:szCs w:val="20"/>
        </w:rPr>
        <w:t xml:space="preserve">Underwriting and Pricing </w:t>
      </w:r>
    </w:p>
    <w:p w:rsidR="00000000" w:rsidRDefault="005B0BC3">
      <w:pPr>
        <w:ind w:firstLine="360"/>
        <w:divId w:val="379786334"/>
        <w:rPr>
          <w:rFonts w:eastAsia="Times New Roman"/>
        </w:rPr>
      </w:pPr>
      <w:r>
        <w:rPr>
          <w:rFonts w:eastAsia="Times New Roman"/>
          <w:color w:val="000000"/>
          <w:sz w:val="20"/>
          <w:szCs w:val="20"/>
        </w:rPr>
        <w:t>We generally do not underwrite our annuity products on an individual-by-individu</w:t>
      </w:r>
      <w:r>
        <w:rPr>
          <w:rFonts w:eastAsia="Times New Roman"/>
          <w:color w:val="000000"/>
          <w:sz w:val="20"/>
          <w:szCs w:val="20"/>
        </w:rPr>
        <w:t>al basis. Instead, we price our products based upon our expected investment returns and assumptions regarding mortality, longevity and persistency for our policyholders collectively, while taking into account historical experience, volatility of expected e</w:t>
      </w:r>
      <w:r>
        <w:rPr>
          <w:rFonts w:eastAsia="Times New Roman"/>
          <w:color w:val="000000"/>
          <w:sz w:val="20"/>
          <w:szCs w:val="20"/>
        </w:rPr>
        <w:t>arnings on our AV, and the expected time to retirement. Our product pricing models also take into account capital requirements, hedging costs and operating expenses. Investment-oriented products are priced based on various factors, which may include invest</w:t>
      </w:r>
      <w:r>
        <w:rPr>
          <w:rFonts w:eastAsia="Times New Roman"/>
          <w:color w:val="000000"/>
          <w:sz w:val="20"/>
          <w:szCs w:val="20"/>
        </w:rPr>
        <w:t xml:space="preserve">ment return, expenses, persistency and optionality. </w:t>
      </w:r>
    </w:p>
    <w:p w:rsidR="00000000" w:rsidRDefault="005B0BC3">
      <w:pPr>
        <w:jc w:val="center"/>
        <w:divId w:val="1574048724"/>
        <w:rPr>
          <w:rFonts w:eastAsia="Times New Roman"/>
        </w:rPr>
      </w:pPr>
      <w:r>
        <w:rPr>
          <w:rFonts w:eastAsia="Times New Roman"/>
          <w:color w:val="000000"/>
          <w:sz w:val="20"/>
          <w:szCs w:val="20"/>
        </w:rPr>
        <w:t>21</w:t>
      </w:r>
    </w:p>
    <w:p w:rsidR="00000000" w:rsidRDefault="005B0BC3">
      <w:pPr>
        <w:rPr>
          <w:rFonts w:eastAsia="Times New Roman"/>
        </w:rPr>
      </w:pPr>
      <w:r>
        <w:rPr>
          <w:rFonts w:eastAsia="Times New Roman"/>
        </w:rPr>
        <w:pict>
          <v:rect id="_x0000_i1050" style="width:0;height:1.5pt" o:hralign="center" o:hrstd="t" o:hr="t" fillcolor="#a0a0a0" stroked="f"/>
        </w:pict>
      </w:r>
    </w:p>
    <w:p w:rsidR="00000000" w:rsidRDefault="005B0BC3">
      <w:pPr>
        <w:divId w:val="876045156"/>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ind w:firstLine="360"/>
        <w:divId w:val="1374422308"/>
        <w:rPr>
          <w:rFonts w:eastAsia="Times New Roman"/>
        </w:rPr>
      </w:pPr>
      <w:r>
        <w:rPr>
          <w:rFonts w:eastAsia="Times New Roman"/>
          <w:color w:val="000000"/>
          <w:sz w:val="20"/>
          <w:szCs w:val="20"/>
        </w:rPr>
        <w:t>Our variable annuity products generally include penalties for early withdrawals. From time to time, we reevaluate the type and level of guarantees and other features we offer. We have previously changed the nature and pricing of the features we offer and w</w:t>
      </w:r>
      <w:r>
        <w:rPr>
          <w:rFonts w:eastAsia="Times New Roman"/>
          <w:color w:val="000000"/>
          <w:sz w:val="20"/>
          <w:szCs w:val="20"/>
        </w:rPr>
        <w:t xml:space="preserve">ill likely do so from time to time in the future as the needs of our clients, the economic environment and our risk appetite evolve. </w:t>
      </w:r>
    </w:p>
    <w:p w:rsidR="00000000" w:rsidRDefault="005B0BC3">
      <w:pPr>
        <w:jc w:val="both"/>
        <w:divId w:val="1283607167"/>
        <w:rPr>
          <w:rFonts w:eastAsia="Times New Roman"/>
        </w:rPr>
      </w:pPr>
      <w:r>
        <w:rPr>
          <w:rFonts w:eastAsia="Times New Roman"/>
          <w:b/>
          <w:bCs/>
          <w:i/>
          <w:iCs/>
          <w:color w:val="000000"/>
          <w:sz w:val="20"/>
          <w:szCs w:val="20"/>
        </w:rPr>
        <w:t xml:space="preserve">Fees </w:t>
      </w:r>
    </w:p>
    <w:p w:rsidR="00000000" w:rsidRDefault="005B0BC3">
      <w:pPr>
        <w:ind w:firstLine="360"/>
        <w:divId w:val="7029222"/>
        <w:rPr>
          <w:rFonts w:eastAsia="Times New Roman"/>
        </w:rPr>
      </w:pPr>
      <w:r>
        <w:rPr>
          <w:rFonts w:eastAsia="Times New Roman"/>
          <w:color w:val="000000"/>
          <w:sz w:val="20"/>
          <w:szCs w:val="20"/>
        </w:rPr>
        <w:t>We earn various types of fee revenue based on AV, fund assets and benefit base. Fees that we collect include mortali</w:t>
      </w:r>
      <w:r>
        <w:rPr>
          <w:rFonts w:eastAsia="Times New Roman"/>
          <w:color w:val="000000"/>
          <w:sz w:val="20"/>
          <w:szCs w:val="20"/>
        </w:rPr>
        <w:t>ty &amp; expense, administrative charges and distribution charges; withdrawal charges; investment management fees, 12b-1 fees, death benefit rider charges, and living benefit riders charges. For a more detailed description of these types of fees, see “—Individ</w:t>
      </w:r>
      <w:r>
        <w:rPr>
          <w:rFonts w:eastAsia="Times New Roman"/>
          <w:color w:val="000000"/>
          <w:sz w:val="20"/>
          <w:szCs w:val="20"/>
        </w:rPr>
        <w:t xml:space="preserve">ual Retirement—Fees on AV, Fund Assets, Benefit Base and Investment Income.” </w:t>
      </w:r>
    </w:p>
    <w:p w:rsidR="00000000" w:rsidRDefault="005B0BC3">
      <w:pPr>
        <w:jc w:val="both"/>
        <w:divId w:val="769357478"/>
        <w:rPr>
          <w:rFonts w:eastAsia="Times New Roman"/>
        </w:rPr>
      </w:pPr>
      <w:r>
        <w:rPr>
          <w:rFonts w:eastAsia="Times New Roman"/>
          <w:b/>
          <w:bCs/>
          <w:i/>
          <w:iCs/>
          <w:color w:val="000000"/>
          <w:sz w:val="20"/>
          <w:szCs w:val="20"/>
        </w:rPr>
        <w:t>Risk Management</w:t>
      </w:r>
      <w:r>
        <w:rPr>
          <w:rFonts w:eastAsia="Times New Roman"/>
          <w:b/>
          <w:bCs/>
          <w:color w:val="000000"/>
          <w:sz w:val="20"/>
          <w:szCs w:val="20"/>
        </w:rPr>
        <w:t xml:space="preserve"> </w:t>
      </w:r>
    </w:p>
    <w:p w:rsidR="00000000" w:rsidRDefault="005B0BC3">
      <w:pPr>
        <w:ind w:firstLine="360"/>
        <w:divId w:val="1947736950"/>
        <w:rPr>
          <w:rFonts w:eastAsia="Times New Roman"/>
        </w:rPr>
      </w:pPr>
      <w:r>
        <w:rPr>
          <w:rFonts w:eastAsia="Times New Roman"/>
          <w:color w:val="000000"/>
          <w:sz w:val="20"/>
          <w:szCs w:val="20"/>
        </w:rPr>
        <w:t>We design our Group Retirement products with the goal of providing attractive features to clients that also minimize risks to us. To mitigate risks to our Genera</w:t>
      </w:r>
      <w:r>
        <w:rPr>
          <w:rFonts w:eastAsia="Times New Roman"/>
          <w:color w:val="000000"/>
          <w:sz w:val="20"/>
          <w:szCs w:val="20"/>
        </w:rPr>
        <w:t>l Account from fluctuations in interest rates, we apply a variety of techniques that align well with a given product type. We designed our GIO to comply with the NAIC minimum rate (1.0% for new issues), and our 403(b) products that we currently sell includ</w:t>
      </w:r>
      <w:r>
        <w:rPr>
          <w:rFonts w:eastAsia="Times New Roman"/>
          <w:color w:val="000000"/>
          <w:sz w:val="20"/>
          <w:szCs w:val="20"/>
        </w:rPr>
        <w:t>e a contractual provision that enables us to limit transfers into the GIO. As most defined contribution plans allow participants to borrow against their accounts, we have made changes to our loan repayment processes to minimize participant loan defaults an</w:t>
      </w:r>
      <w:r>
        <w:rPr>
          <w:rFonts w:eastAsia="Times New Roman"/>
          <w:color w:val="000000"/>
          <w:sz w:val="20"/>
          <w:szCs w:val="20"/>
        </w:rPr>
        <w:t>d to facilitate loan repayments to the participant’s current investment allocation as opposed to requiring repayments only to the GIO. In the 401(k) and 457(b) markets, we may charge a market value adjustment on the assets of the GIO when a plan sponsor te</w:t>
      </w:r>
      <w:r>
        <w:rPr>
          <w:rFonts w:eastAsia="Times New Roman"/>
          <w:color w:val="000000"/>
          <w:sz w:val="20"/>
          <w:szCs w:val="20"/>
        </w:rPr>
        <w:t xml:space="preserve">rminates its agreement with us. We also prohibit direct transfers to fixed income products that compete with the GIO, which protects the principal in the General Account in a rising interest rate environment. </w:t>
      </w:r>
    </w:p>
    <w:p w:rsidR="00000000" w:rsidRDefault="005B0BC3">
      <w:pPr>
        <w:ind w:firstLine="360"/>
        <w:divId w:val="2086099929"/>
        <w:rPr>
          <w:rFonts w:eastAsia="Times New Roman"/>
        </w:rPr>
      </w:pPr>
      <w:r>
        <w:rPr>
          <w:rFonts w:eastAsia="Times New Roman"/>
          <w:color w:val="000000"/>
          <w:sz w:val="20"/>
          <w:szCs w:val="20"/>
        </w:rPr>
        <w:t>In the Tax-Exempt market, the benefits include</w:t>
      </w:r>
      <w:r>
        <w:rPr>
          <w:rFonts w:eastAsia="Times New Roman"/>
          <w:color w:val="000000"/>
          <w:sz w:val="20"/>
          <w:szCs w:val="20"/>
        </w:rPr>
        <w:t xml:space="preserve"> a minimum guaranteed interest rate on our GIO, return of premium death benefits and limited optional GMxB features. The utilization of GMxB features is low. In the Corporate market, the products that we sell today do not offer death benefits in excess of </w:t>
      </w:r>
      <w:r>
        <w:rPr>
          <w:rFonts w:eastAsia="Times New Roman"/>
          <w:color w:val="000000"/>
          <w:sz w:val="20"/>
          <w:szCs w:val="20"/>
        </w:rPr>
        <w:t xml:space="preserve">the AV. </w:t>
      </w:r>
    </w:p>
    <w:p w:rsidR="00000000" w:rsidRDefault="005B0BC3">
      <w:pPr>
        <w:divId w:val="1141314427"/>
        <w:rPr>
          <w:rFonts w:eastAsia="Times New Roman"/>
        </w:rPr>
      </w:pPr>
      <w:r>
        <w:rPr>
          <w:rFonts w:eastAsia="Times New Roman"/>
          <w:color w:val="000000"/>
          <w:sz w:val="2"/>
          <w:szCs w:val="2"/>
        </w:rPr>
        <w:t> </w:t>
      </w:r>
    </w:p>
    <w:p w:rsidR="00000000" w:rsidRDefault="005B0BC3">
      <w:pPr>
        <w:ind w:firstLine="360"/>
        <w:divId w:val="1431707340"/>
        <w:rPr>
          <w:rFonts w:eastAsia="Times New Roman"/>
        </w:rPr>
      </w:pPr>
      <w:r>
        <w:rPr>
          <w:rFonts w:eastAsia="Times New Roman"/>
          <w:color w:val="000000"/>
          <w:sz w:val="20"/>
          <w:szCs w:val="20"/>
        </w:rPr>
        <w:t>As of December 31, 2021, approximately 59% of our General Account AV has a minimum guaranteed rate of 3-4%. Given the growth in net flows to our newer products and the slowing in flows to older blocks due to retirement, we expect that guarantees</w:t>
      </w:r>
      <w:r>
        <w:rPr>
          <w:rFonts w:eastAsia="Times New Roman"/>
          <w:color w:val="000000"/>
          <w:sz w:val="20"/>
          <w:szCs w:val="20"/>
        </w:rPr>
        <w:t xml:space="preserve"> at a rate over 3% will continue to diminish as a percentage of our overall General Account AV. The table below illustrates the guaranteed minimum rates applicable to our General Account AV for products with the GIO, as of December 31, 2021. </w:t>
      </w:r>
    </w:p>
    <w:tbl>
      <w:tblPr>
        <w:tblW w:w="4992" w:type="pct"/>
        <w:tblCellMar>
          <w:top w:w="15" w:type="dxa"/>
          <w:left w:w="15" w:type="dxa"/>
          <w:bottom w:w="15" w:type="dxa"/>
          <w:right w:w="15" w:type="dxa"/>
        </w:tblCellMar>
        <w:tblLook w:val="04A0" w:firstRow="1" w:lastRow="0" w:firstColumn="1" w:lastColumn="0" w:noHBand="0" w:noVBand="1"/>
      </w:tblPr>
      <w:tblGrid>
        <w:gridCol w:w="51"/>
        <w:gridCol w:w="6970"/>
        <w:gridCol w:w="36"/>
        <w:gridCol w:w="121"/>
        <w:gridCol w:w="1079"/>
        <w:gridCol w:w="36"/>
      </w:tblGrid>
      <w:tr w:rsidR="00000000">
        <w:trPr>
          <w:divId w:val="1490637734"/>
        </w:trPr>
        <w:tc>
          <w:tcPr>
            <w:tcW w:w="50" w:type="pct"/>
            <w:vAlign w:val="center"/>
            <w:hideMark/>
          </w:tcPr>
          <w:p w:rsidR="00000000" w:rsidRDefault="005B0BC3">
            <w:pPr>
              <w:ind w:firstLine="360"/>
              <w:rPr>
                <w:rFonts w:eastAsia="Times New Roman"/>
              </w:rPr>
            </w:pPr>
          </w:p>
        </w:tc>
        <w:tc>
          <w:tcPr>
            <w:tcW w:w="422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6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490637734"/>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Total General</w:t>
            </w:r>
          </w:p>
        </w:tc>
      </w:tr>
      <w:tr w:rsidR="00000000">
        <w:trPr>
          <w:divId w:val="1490637734"/>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16"/>
                <w:szCs w:val="16"/>
              </w:rPr>
              <w:t>Guaranteed Minimum Interest Rate</w:t>
            </w: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Account AV</w:t>
            </w:r>
          </w:p>
        </w:tc>
      </w:tr>
      <w:tr w:rsidR="00000000">
        <w:trPr>
          <w:divId w:val="1490637734"/>
        </w:trPr>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billions)</w:t>
            </w:r>
          </w:p>
        </w:tc>
      </w:tr>
      <w:tr w:rsidR="00000000">
        <w:trPr>
          <w:divId w:val="1490637734"/>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1 – &lt; 2%</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490637734"/>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2 – &lt; 3%</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490637734"/>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3%</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490637734"/>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4%</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490637734"/>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12.4</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ind w:firstLine="360"/>
        <w:divId w:val="589236618"/>
        <w:rPr>
          <w:rFonts w:eastAsia="Times New Roman"/>
        </w:rPr>
      </w:pPr>
      <w:r>
        <w:rPr>
          <w:rFonts w:eastAsia="Times New Roman"/>
          <w:color w:val="000000"/>
          <w:sz w:val="20"/>
          <w:szCs w:val="20"/>
        </w:rPr>
        <w:t>We use a committee of subject matter experts and business leaders that meet periodically to set crediting rates for our guaranteed interest options. The committee evaluates macroeconomic and business factors to determine prudent interest rates in excess of</w:t>
      </w:r>
      <w:r>
        <w:rPr>
          <w:rFonts w:eastAsia="Times New Roman"/>
          <w:color w:val="000000"/>
          <w:sz w:val="20"/>
          <w:szCs w:val="20"/>
        </w:rPr>
        <w:t xml:space="preserve"> the contract minimum when appropriate. </w:t>
      </w:r>
    </w:p>
    <w:p w:rsidR="00000000" w:rsidRDefault="005B0BC3">
      <w:pPr>
        <w:ind w:firstLine="360"/>
        <w:divId w:val="1901288689"/>
        <w:rPr>
          <w:rFonts w:eastAsia="Times New Roman"/>
        </w:rPr>
      </w:pPr>
      <w:r>
        <w:rPr>
          <w:rFonts w:eastAsia="Times New Roman"/>
          <w:color w:val="000000"/>
          <w:sz w:val="20"/>
          <w:szCs w:val="20"/>
        </w:rPr>
        <w:t>We also monitor the behavior of our clients who have the ability to transfer assets between the GIO and various Separate Accounts investment options. We have not historically observed a material shift of assets moving into guarantees during times of higher</w:t>
      </w:r>
      <w:r>
        <w:rPr>
          <w:rFonts w:eastAsia="Times New Roman"/>
          <w:color w:val="000000"/>
          <w:sz w:val="20"/>
          <w:szCs w:val="20"/>
        </w:rPr>
        <w:t xml:space="preserve"> market volatility. </w:t>
      </w:r>
    </w:p>
    <w:p w:rsidR="00000000" w:rsidRDefault="005B0BC3">
      <w:pPr>
        <w:divId w:val="1047533867"/>
        <w:rPr>
          <w:rFonts w:eastAsia="Times New Roman"/>
        </w:rPr>
      </w:pPr>
      <w:r>
        <w:rPr>
          <w:rFonts w:eastAsia="Times New Roman"/>
          <w:i/>
          <w:iCs/>
          <w:color w:val="000000"/>
          <w:sz w:val="20"/>
          <w:szCs w:val="20"/>
          <w:u w:val="single"/>
        </w:rPr>
        <w:t>Hedging</w:t>
      </w:r>
    </w:p>
    <w:p w:rsidR="00000000" w:rsidRDefault="005B0BC3">
      <w:pPr>
        <w:ind w:firstLine="360"/>
        <w:divId w:val="401412799"/>
        <w:rPr>
          <w:rFonts w:eastAsia="Times New Roman"/>
        </w:rPr>
      </w:pPr>
      <w:r>
        <w:rPr>
          <w:rFonts w:eastAsia="Times New Roman"/>
          <w:color w:val="000000"/>
          <w:sz w:val="20"/>
          <w:szCs w:val="20"/>
        </w:rPr>
        <w:t>We hedge crediting rates to mitigate certain risks associated with the SIO. In order to support the returns associated with the SIO, we enter into derivatives contracts whose payouts, in combination with fixed income investment</w:t>
      </w:r>
      <w:r>
        <w:rPr>
          <w:rFonts w:eastAsia="Times New Roman"/>
          <w:color w:val="000000"/>
          <w:sz w:val="20"/>
          <w:szCs w:val="20"/>
        </w:rPr>
        <w:t>s, emulate those of the S&amp;P 500, Russell 2000 or MSCI EAFE index, subject to caps and buffers.</w:t>
      </w:r>
    </w:p>
    <w:p w:rsidR="00000000" w:rsidRDefault="005B0BC3">
      <w:pPr>
        <w:jc w:val="center"/>
        <w:divId w:val="900097291"/>
        <w:rPr>
          <w:rFonts w:eastAsia="Times New Roman"/>
        </w:rPr>
      </w:pPr>
      <w:r>
        <w:rPr>
          <w:rFonts w:eastAsia="Times New Roman"/>
          <w:color w:val="000000"/>
          <w:sz w:val="20"/>
          <w:szCs w:val="20"/>
        </w:rPr>
        <w:t>22</w:t>
      </w:r>
    </w:p>
    <w:p w:rsidR="00000000" w:rsidRDefault="005B0BC3">
      <w:pPr>
        <w:rPr>
          <w:rFonts w:eastAsia="Times New Roman"/>
        </w:rPr>
      </w:pPr>
      <w:r>
        <w:rPr>
          <w:rFonts w:eastAsia="Times New Roman"/>
        </w:rPr>
        <w:pict>
          <v:rect id="_x0000_i1051" style="width:0;height:1.5pt" o:hralign="center" o:hrstd="t" o:hr="t" fillcolor="#a0a0a0" stroked="f"/>
        </w:pict>
      </w:r>
    </w:p>
    <w:p w:rsidR="00000000" w:rsidRDefault="005B0BC3">
      <w:pPr>
        <w:divId w:val="738599159"/>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divId w:val="251358011"/>
        <w:rPr>
          <w:rFonts w:eastAsia="Times New Roman"/>
        </w:rPr>
      </w:pPr>
      <w:r>
        <w:rPr>
          <w:rFonts w:eastAsia="Times New Roman"/>
          <w:b/>
          <w:bCs/>
          <w:color w:val="000000"/>
          <w:sz w:val="20"/>
          <w:szCs w:val="20"/>
        </w:rPr>
        <w:t xml:space="preserve">Investment Management and Research </w:t>
      </w:r>
    </w:p>
    <w:p w:rsidR="00000000" w:rsidRDefault="005B0BC3">
      <w:pPr>
        <w:ind w:firstLine="360"/>
        <w:divId w:val="1545288696"/>
        <w:rPr>
          <w:rFonts w:eastAsia="Times New Roman"/>
        </w:rPr>
      </w:pPr>
      <w:r>
        <w:rPr>
          <w:rFonts w:eastAsia="Times New Roman"/>
          <w:color w:val="000000"/>
          <w:sz w:val="20"/>
          <w:szCs w:val="20"/>
        </w:rPr>
        <w:t>Our Inve</w:t>
      </w:r>
      <w:r>
        <w:rPr>
          <w:rFonts w:eastAsia="Times New Roman"/>
          <w:color w:val="000000"/>
          <w:sz w:val="20"/>
          <w:szCs w:val="20"/>
        </w:rPr>
        <w:t>stment Management and Research business provides diversified investment management, research and related services globally to a broad range of clients through AB’s three buy-side distribution channels: Institutions, Retail and Private Wealth Management, an</w:t>
      </w:r>
      <w:r>
        <w:rPr>
          <w:rFonts w:eastAsia="Times New Roman"/>
          <w:color w:val="000000"/>
          <w:sz w:val="20"/>
          <w:szCs w:val="20"/>
        </w:rPr>
        <w:t>d AB’s sell-side business, Bernstein Research Services. AB Holding is a master limited partnership publicly listed on the NYSE. We own an approximate 65% economic interest in AB. As the general partner of AB, we have the authority to manage and control its</w:t>
      </w:r>
      <w:r>
        <w:rPr>
          <w:rFonts w:eastAsia="Times New Roman"/>
          <w:color w:val="000000"/>
          <w:sz w:val="20"/>
          <w:szCs w:val="20"/>
        </w:rPr>
        <w:t xml:space="preserve"> business, and accordingly, this segment reflects AB’s consolidated financial results. </w:t>
      </w:r>
    </w:p>
    <w:p w:rsidR="00000000" w:rsidRDefault="005B0BC3">
      <w:pPr>
        <w:ind w:firstLine="360"/>
        <w:divId w:val="1137142793"/>
        <w:rPr>
          <w:rFonts w:eastAsia="Times New Roman"/>
        </w:rPr>
      </w:pPr>
      <w:r>
        <w:rPr>
          <w:rFonts w:eastAsia="Times New Roman"/>
          <w:color w:val="000000"/>
          <w:sz w:val="20"/>
          <w:szCs w:val="20"/>
        </w:rPr>
        <w:t>Our Investment Management and Research business had approximately $778.6 billion in AUM as of December 31, 2021, composed of 46% equities, 41% fixed income and 13% mult</w:t>
      </w:r>
      <w:r>
        <w:rPr>
          <w:rFonts w:eastAsia="Times New Roman"/>
          <w:color w:val="000000"/>
          <w:sz w:val="20"/>
          <w:szCs w:val="20"/>
        </w:rPr>
        <w:t xml:space="preserve">i-asset class solutions, alternatives and other assets. By distribution channel, institutional clients represented 43% of AUM, while retail and private wealth management clients represented 41% and 16% respectively, as of December 31, 2021. </w:t>
      </w:r>
    </w:p>
    <w:p w:rsidR="00000000" w:rsidRDefault="005B0BC3">
      <w:pPr>
        <w:ind w:firstLine="360"/>
        <w:divId w:val="1144544949"/>
        <w:rPr>
          <w:rFonts w:eastAsia="Times New Roman"/>
        </w:rPr>
      </w:pPr>
      <w:r>
        <w:rPr>
          <w:rFonts w:eastAsia="Times New Roman"/>
          <w:color w:val="000000"/>
          <w:sz w:val="20"/>
          <w:szCs w:val="20"/>
        </w:rPr>
        <w:t>AB has a suite</w:t>
      </w:r>
      <w:r>
        <w:rPr>
          <w:rFonts w:eastAsia="Times New Roman"/>
          <w:color w:val="000000"/>
          <w:sz w:val="20"/>
          <w:szCs w:val="20"/>
        </w:rPr>
        <w:t xml:space="preserve"> of actively managed, differentiated equity and fixed income services, delivering strong risk-adjusted returns. For instance, </w:t>
      </w:r>
      <w:r>
        <w:rPr>
          <w:rFonts w:eastAsia="Times New Roman"/>
          <w:color w:val="000000"/>
          <w:sz w:val="20"/>
          <w:szCs w:val="20"/>
          <w:shd w:val="clear" w:color="auto" w:fill="FFFFFF"/>
        </w:rPr>
        <w:t>72%</w:t>
      </w:r>
      <w:r>
        <w:rPr>
          <w:rFonts w:eastAsia="Times New Roman"/>
          <w:color w:val="000000"/>
          <w:sz w:val="20"/>
          <w:szCs w:val="20"/>
        </w:rPr>
        <w:t xml:space="preserve"> of AB’s fixed income services and </w:t>
      </w:r>
      <w:r>
        <w:rPr>
          <w:rFonts w:eastAsia="Times New Roman"/>
          <w:color w:val="000000"/>
          <w:sz w:val="20"/>
          <w:szCs w:val="20"/>
          <w:shd w:val="clear" w:color="auto" w:fill="FFFFFF"/>
        </w:rPr>
        <w:t>49%</w:t>
      </w:r>
      <w:r>
        <w:rPr>
          <w:rFonts w:eastAsia="Times New Roman"/>
          <w:color w:val="000000"/>
          <w:sz w:val="20"/>
          <w:szCs w:val="20"/>
        </w:rPr>
        <w:t xml:space="preserve"> of AB’s equity services have outperformed their benchmarks over the three-year period en</w:t>
      </w:r>
      <w:r>
        <w:rPr>
          <w:rFonts w:eastAsia="Times New Roman"/>
          <w:color w:val="000000"/>
          <w:sz w:val="20"/>
          <w:szCs w:val="20"/>
        </w:rPr>
        <w:t xml:space="preserve">ded December 31, 2021. Additionally, at year-end 2021, </w:t>
      </w:r>
      <w:r>
        <w:rPr>
          <w:rFonts w:eastAsia="Times New Roman"/>
          <w:color w:val="000000"/>
          <w:sz w:val="20"/>
          <w:szCs w:val="20"/>
          <w:shd w:val="clear" w:color="auto" w:fill="FFFFFF"/>
        </w:rPr>
        <w:t>76%</w:t>
      </w:r>
      <w:r>
        <w:rPr>
          <w:rFonts w:eastAsia="Times New Roman"/>
          <w:color w:val="000000"/>
          <w:sz w:val="20"/>
          <w:szCs w:val="20"/>
        </w:rPr>
        <w:t xml:space="preserve"> of AB’s U.S. Fund assets and </w:t>
      </w:r>
      <w:r>
        <w:rPr>
          <w:rFonts w:eastAsia="Times New Roman"/>
          <w:color w:val="000000"/>
          <w:sz w:val="20"/>
          <w:szCs w:val="20"/>
          <w:shd w:val="clear" w:color="auto" w:fill="FFFFFF"/>
        </w:rPr>
        <w:t>59%</w:t>
      </w:r>
      <w:r>
        <w:rPr>
          <w:rFonts w:eastAsia="Times New Roman"/>
          <w:color w:val="000000"/>
          <w:sz w:val="20"/>
          <w:szCs w:val="20"/>
        </w:rPr>
        <w:t xml:space="preserve"> of AB’s Non-U.S. Fund assets were rated either 4 or 5-stars by Morningstar.</w:t>
      </w:r>
    </w:p>
    <w:p w:rsidR="00000000" w:rsidRDefault="005B0BC3">
      <w:pPr>
        <w:ind w:firstLine="360"/>
        <w:divId w:val="1829397177"/>
        <w:rPr>
          <w:rFonts w:eastAsia="Times New Roman"/>
        </w:rPr>
      </w:pPr>
      <w:r>
        <w:rPr>
          <w:rFonts w:eastAsia="Times New Roman"/>
          <w:color w:val="000000"/>
          <w:sz w:val="20"/>
          <w:szCs w:val="20"/>
        </w:rPr>
        <w:t>Bernstein Research Services has received top Institutional Investor rankings and Private</w:t>
      </w:r>
      <w:r>
        <w:rPr>
          <w:rFonts w:eastAsia="Times New Roman"/>
          <w:color w:val="000000"/>
          <w:sz w:val="20"/>
          <w:szCs w:val="20"/>
        </w:rPr>
        <w:t xml:space="preserve"> Wealth Management ranks among the top 20 wealth management firms in the United States, according to Barron’s. </w:t>
      </w:r>
    </w:p>
    <w:p w:rsidR="00000000" w:rsidRDefault="005B0BC3">
      <w:pPr>
        <w:ind w:firstLine="360"/>
        <w:divId w:val="2045518744"/>
        <w:rPr>
          <w:rFonts w:eastAsia="Times New Roman"/>
        </w:rPr>
      </w:pPr>
      <w:r>
        <w:rPr>
          <w:rFonts w:eastAsia="Times New Roman"/>
          <w:color w:val="000000"/>
          <w:sz w:val="20"/>
          <w:szCs w:val="20"/>
        </w:rPr>
        <w:t xml:space="preserve">We are AB’s largest client. We represented </w:t>
      </w:r>
      <w:r>
        <w:rPr>
          <w:rFonts w:eastAsia="Times New Roman"/>
          <w:color w:val="000000"/>
          <w:sz w:val="20"/>
          <w:szCs w:val="20"/>
          <w:shd w:val="clear" w:color="auto" w:fill="FFFFFF"/>
        </w:rPr>
        <w:t>17%</w:t>
      </w:r>
      <w:r>
        <w:rPr>
          <w:rFonts w:eastAsia="Times New Roman"/>
          <w:color w:val="000000"/>
          <w:sz w:val="20"/>
          <w:szCs w:val="20"/>
        </w:rPr>
        <w:t xml:space="preserve"> of AB’s total AUM as of December 31, 2021 and </w:t>
      </w:r>
      <w:r>
        <w:rPr>
          <w:rFonts w:eastAsia="Times New Roman"/>
          <w:color w:val="000000"/>
          <w:sz w:val="20"/>
          <w:szCs w:val="20"/>
          <w:shd w:val="clear" w:color="auto" w:fill="FFFFFF"/>
        </w:rPr>
        <w:t>3%</w:t>
      </w:r>
      <w:r>
        <w:rPr>
          <w:rFonts w:eastAsia="Times New Roman"/>
          <w:color w:val="000000"/>
          <w:sz w:val="20"/>
          <w:szCs w:val="20"/>
        </w:rPr>
        <w:t xml:space="preserve"> of AB’</w:t>
      </w:r>
      <w:r>
        <w:rPr>
          <w:rFonts w:eastAsia="Times New Roman"/>
          <w:color w:val="000000"/>
          <w:sz w:val="20"/>
          <w:szCs w:val="20"/>
        </w:rPr>
        <w:t>s net revenues for the year ended December 31, 2021.</w:t>
      </w:r>
    </w:p>
    <w:p w:rsidR="00000000" w:rsidRDefault="005B0BC3">
      <w:pPr>
        <w:ind w:firstLine="360"/>
        <w:divId w:val="179394756"/>
        <w:rPr>
          <w:rFonts w:eastAsia="Times New Roman"/>
        </w:rPr>
      </w:pPr>
      <w:r>
        <w:rPr>
          <w:rFonts w:eastAsia="Times New Roman"/>
          <w:color w:val="000000"/>
          <w:sz w:val="20"/>
          <w:szCs w:val="20"/>
        </w:rPr>
        <w:t xml:space="preserve">AB provides research, diversified investment management and related services globally to a broad range of clients. Its principal services include: </w:t>
      </w:r>
    </w:p>
    <w:p w:rsidR="00000000" w:rsidRDefault="005B0BC3">
      <w:pPr>
        <w:ind w:hanging="360"/>
        <w:jc w:val="both"/>
        <w:divId w:val="1957979978"/>
        <w:rPr>
          <w:rFonts w:eastAsia="Times New Roman"/>
        </w:rPr>
      </w:pPr>
      <w:r>
        <w:rPr>
          <w:rFonts w:eastAsia="Times New Roman"/>
          <w:color w:val="000000"/>
          <w:sz w:val="20"/>
          <w:szCs w:val="20"/>
        </w:rPr>
        <w:t>•Institutional Services—servicing its institutional cli</w:t>
      </w:r>
      <w:r>
        <w:rPr>
          <w:rFonts w:eastAsia="Times New Roman"/>
          <w:color w:val="000000"/>
          <w:sz w:val="20"/>
          <w:szCs w:val="20"/>
        </w:rPr>
        <w:t>ents, including private and public pension plans, foundations and endowments, insurance companies, central banks and governments worldwide, and affiliates such as Holdings and its subsidiaries, by means of separately-managed accounts, sub-advisory relation</w:t>
      </w:r>
      <w:r>
        <w:rPr>
          <w:rFonts w:eastAsia="Times New Roman"/>
          <w:color w:val="000000"/>
          <w:sz w:val="20"/>
          <w:szCs w:val="20"/>
        </w:rPr>
        <w:t xml:space="preserve">ships, structured products, collective investment trusts, mutual funds, hedge funds and other investment vehicles. </w:t>
      </w:r>
    </w:p>
    <w:p w:rsidR="00000000" w:rsidRDefault="005B0BC3">
      <w:pPr>
        <w:ind w:hanging="360"/>
        <w:jc w:val="both"/>
        <w:divId w:val="521481002"/>
        <w:rPr>
          <w:rFonts w:eastAsia="Times New Roman"/>
        </w:rPr>
      </w:pPr>
      <w:r>
        <w:rPr>
          <w:rFonts w:eastAsia="Times New Roman"/>
          <w:color w:val="000000"/>
          <w:sz w:val="20"/>
          <w:szCs w:val="20"/>
        </w:rPr>
        <w:t>•Retail Services—servicing its retail clients, primarily by means of retail mutual funds sponsored by AB or EIMG, sub-advisory relationships</w:t>
      </w:r>
      <w:r>
        <w:rPr>
          <w:rFonts w:eastAsia="Times New Roman"/>
          <w:color w:val="000000"/>
          <w:sz w:val="20"/>
          <w:szCs w:val="20"/>
        </w:rPr>
        <w:t xml:space="preserve"> with mutual funds sponsored by third parties, separately-managed account programs sponsored by financial intermediaries worldwide and other investment vehicles. </w:t>
      </w:r>
    </w:p>
    <w:p w:rsidR="00000000" w:rsidRDefault="005B0BC3">
      <w:pPr>
        <w:ind w:hanging="360"/>
        <w:jc w:val="both"/>
        <w:divId w:val="114176966"/>
        <w:rPr>
          <w:rFonts w:eastAsia="Times New Roman"/>
        </w:rPr>
      </w:pPr>
      <w:r>
        <w:rPr>
          <w:rFonts w:eastAsia="Times New Roman"/>
          <w:color w:val="000000"/>
          <w:sz w:val="20"/>
          <w:szCs w:val="20"/>
        </w:rPr>
        <w:t>•Private Wealth Management Services—servicing its private clients, including high net worth i</w:t>
      </w:r>
      <w:r>
        <w:rPr>
          <w:rFonts w:eastAsia="Times New Roman"/>
          <w:color w:val="000000"/>
          <w:sz w:val="20"/>
          <w:szCs w:val="20"/>
        </w:rPr>
        <w:t xml:space="preserve">ndividuals and families, trusts and estates, charitable foundations, partnerships, private and family corporations, and other entities, by means of separately-managed accounts, hedge funds, mutual funds and other investment vehicles. </w:t>
      </w:r>
    </w:p>
    <w:p w:rsidR="00000000" w:rsidRDefault="005B0BC3">
      <w:pPr>
        <w:ind w:hanging="360"/>
        <w:divId w:val="1483229208"/>
        <w:rPr>
          <w:rFonts w:eastAsia="Times New Roman"/>
        </w:rPr>
      </w:pPr>
      <w:r>
        <w:rPr>
          <w:rFonts w:eastAsia="Times New Roman"/>
          <w:color w:val="000000"/>
          <w:sz w:val="20"/>
          <w:szCs w:val="20"/>
        </w:rPr>
        <w:t>•Bernstein Research S</w:t>
      </w:r>
      <w:r>
        <w:rPr>
          <w:rFonts w:eastAsia="Times New Roman"/>
          <w:color w:val="000000"/>
          <w:sz w:val="20"/>
          <w:szCs w:val="20"/>
        </w:rPr>
        <w:t xml:space="preserve">ervices—servicing institutional investors, such as pension fund, hedge fund and mutual fund managers, seeking high-quality fundamental research, quantitative services and brokerage-related services in equities and listed options. </w:t>
      </w:r>
    </w:p>
    <w:p w:rsidR="00000000" w:rsidRDefault="005B0BC3">
      <w:pPr>
        <w:ind w:firstLine="360"/>
        <w:divId w:val="1877349202"/>
        <w:rPr>
          <w:rFonts w:eastAsia="Times New Roman"/>
        </w:rPr>
      </w:pPr>
      <w:r>
        <w:rPr>
          <w:rFonts w:eastAsia="Times New Roman"/>
          <w:color w:val="000000"/>
          <w:sz w:val="20"/>
          <w:szCs w:val="20"/>
        </w:rPr>
        <w:t>AB also provides distribu</w:t>
      </w:r>
      <w:r>
        <w:rPr>
          <w:rFonts w:eastAsia="Times New Roman"/>
          <w:color w:val="000000"/>
          <w:sz w:val="20"/>
          <w:szCs w:val="20"/>
        </w:rPr>
        <w:t xml:space="preserve">tion, shareholder servicing, transfer agency services and administrative services to the mutual funds it sponsors. </w:t>
      </w:r>
    </w:p>
    <w:p w:rsidR="00000000" w:rsidRDefault="005B0BC3">
      <w:pPr>
        <w:ind w:firstLine="360"/>
        <w:divId w:val="791171384"/>
        <w:rPr>
          <w:rFonts w:eastAsia="Times New Roman"/>
        </w:rPr>
      </w:pPr>
      <w:r>
        <w:rPr>
          <w:rFonts w:eastAsia="Times New Roman"/>
          <w:color w:val="000000"/>
          <w:sz w:val="20"/>
          <w:szCs w:val="20"/>
        </w:rPr>
        <w:t xml:space="preserve">Generally, AB is compensated for its investment services on the basis of investment advisory and services fees calculated as a percentage of AUM. </w:t>
      </w:r>
    </w:p>
    <w:p w:rsidR="00000000" w:rsidRDefault="005B0BC3">
      <w:pPr>
        <w:divId w:val="2106882293"/>
        <w:rPr>
          <w:rFonts w:eastAsia="Times New Roman"/>
        </w:rPr>
      </w:pPr>
      <w:r>
        <w:rPr>
          <w:rFonts w:eastAsia="Times New Roman"/>
          <w:b/>
          <w:bCs/>
          <w:color w:val="000000"/>
          <w:sz w:val="20"/>
          <w:szCs w:val="20"/>
        </w:rPr>
        <w:t>Products and Services</w:t>
      </w:r>
      <w:r>
        <w:rPr>
          <w:rFonts w:eastAsia="Times New Roman"/>
          <w:b/>
          <w:bCs/>
          <w:i/>
          <w:iCs/>
          <w:color w:val="000000"/>
          <w:sz w:val="20"/>
          <w:szCs w:val="20"/>
        </w:rPr>
        <w:t xml:space="preserve"> </w:t>
      </w:r>
    </w:p>
    <w:p w:rsidR="00000000" w:rsidRDefault="005B0BC3">
      <w:pPr>
        <w:jc w:val="both"/>
        <w:divId w:val="1784885801"/>
        <w:rPr>
          <w:rFonts w:eastAsia="Times New Roman"/>
        </w:rPr>
      </w:pPr>
      <w:r>
        <w:rPr>
          <w:rFonts w:eastAsia="Times New Roman"/>
          <w:b/>
          <w:bCs/>
          <w:i/>
          <w:iCs/>
          <w:color w:val="000000"/>
          <w:sz w:val="20"/>
          <w:szCs w:val="20"/>
        </w:rPr>
        <w:t xml:space="preserve">Investment Services </w:t>
      </w:r>
    </w:p>
    <w:p w:rsidR="00000000" w:rsidRDefault="005B0BC3">
      <w:pPr>
        <w:ind w:firstLine="360"/>
        <w:divId w:val="1817720967"/>
        <w:rPr>
          <w:rFonts w:eastAsia="Times New Roman"/>
        </w:rPr>
      </w:pPr>
      <w:r>
        <w:rPr>
          <w:rFonts w:eastAsia="Times New Roman"/>
          <w:color w:val="000000"/>
          <w:sz w:val="20"/>
          <w:szCs w:val="20"/>
        </w:rPr>
        <w:t>AB provides a broad range of investment services with expertise i</w:t>
      </w:r>
      <w:r>
        <w:rPr>
          <w:rFonts w:eastAsia="Times New Roman"/>
          <w:color w:val="000000"/>
          <w:sz w:val="20"/>
          <w:szCs w:val="20"/>
        </w:rPr>
        <w:t xml:space="preserve">n: </w:t>
      </w:r>
    </w:p>
    <w:p w:rsidR="00000000" w:rsidRDefault="005B0BC3">
      <w:pPr>
        <w:ind w:hanging="360"/>
        <w:jc w:val="both"/>
        <w:divId w:val="611983085"/>
        <w:rPr>
          <w:rFonts w:eastAsia="Times New Roman"/>
        </w:rPr>
      </w:pPr>
      <w:r>
        <w:rPr>
          <w:rFonts w:eastAsia="Times New Roman"/>
          <w:color w:val="000000"/>
          <w:sz w:val="20"/>
          <w:szCs w:val="20"/>
        </w:rPr>
        <w:t>•Actively-managed equity strategies, with global and regional portfolios across capitalization ranges, concentration ranges and investment strategies, including value, growth and core equities;</w:t>
      </w:r>
    </w:p>
    <w:p w:rsidR="00000000" w:rsidRDefault="005B0BC3">
      <w:pPr>
        <w:ind w:hanging="360"/>
        <w:jc w:val="both"/>
        <w:divId w:val="75905603"/>
        <w:rPr>
          <w:rFonts w:eastAsia="Times New Roman"/>
        </w:rPr>
      </w:pPr>
      <w:r>
        <w:rPr>
          <w:rFonts w:eastAsia="Times New Roman"/>
          <w:color w:val="000000"/>
          <w:sz w:val="20"/>
          <w:szCs w:val="20"/>
        </w:rPr>
        <w:t>•Actively-managed traditional and unconstrained fixed inco</w:t>
      </w:r>
      <w:r>
        <w:rPr>
          <w:rFonts w:eastAsia="Times New Roman"/>
          <w:color w:val="000000"/>
          <w:sz w:val="20"/>
          <w:szCs w:val="20"/>
        </w:rPr>
        <w:t xml:space="preserve">me strategies, including taxable and tax-exempt strategies; </w:t>
      </w:r>
    </w:p>
    <w:p w:rsidR="00000000" w:rsidRDefault="005B0BC3">
      <w:pPr>
        <w:ind w:hanging="360"/>
        <w:jc w:val="both"/>
        <w:divId w:val="1095589588"/>
        <w:rPr>
          <w:rFonts w:eastAsia="Times New Roman"/>
        </w:rPr>
      </w:pPr>
      <w:r>
        <w:rPr>
          <w:rFonts w:eastAsia="Times New Roman"/>
          <w:color w:val="000000"/>
          <w:sz w:val="20"/>
          <w:szCs w:val="20"/>
        </w:rPr>
        <w:t xml:space="preserve">•Alternative investments, including hedge funds, fund of funds, direct lending, real estate and private equity; </w:t>
      </w:r>
    </w:p>
    <w:p w:rsidR="00000000" w:rsidRDefault="005B0BC3">
      <w:pPr>
        <w:jc w:val="center"/>
        <w:divId w:val="563028790"/>
        <w:rPr>
          <w:rFonts w:eastAsia="Times New Roman"/>
        </w:rPr>
      </w:pPr>
      <w:r>
        <w:rPr>
          <w:rFonts w:eastAsia="Times New Roman"/>
          <w:color w:val="000000"/>
          <w:sz w:val="20"/>
          <w:szCs w:val="20"/>
        </w:rPr>
        <w:t>23</w:t>
      </w:r>
    </w:p>
    <w:p w:rsidR="00000000" w:rsidRDefault="005B0BC3">
      <w:pPr>
        <w:rPr>
          <w:rFonts w:eastAsia="Times New Roman"/>
        </w:rPr>
      </w:pPr>
      <w:r>
        <w:rPr>
          <w:rFonts w:eastAsia="Times New Roman"/>
        </w:rPr>
        <w:pict>
          <v:rect id="_x0000_i1052" style="width:0;height:1.5pt" o:hralign="center" o:hrstd="t" o:hr="t" fillcolor="#a0a0a0" stroked="f"/>
        </w:pict>
      </w:r>
    </w:p>
    <w:p w:rsidR="00000000" w:rsidRDefault="005B0BC3">
      <w:pPr>
        <w:divId w:val="1830169324"/>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ind w:hanging="360"/>
        <w:divId w:val="598292069"/>
        <w:rPr>
          <w:rFonts w:eastAsia="Times New Roman"/>
        </w:rPr>
      </w:pPr>
      <w:r>
        <w:rPr>
          <w:rFonts w:eastAsia="Times New Roman"/>
          <w:color w:val="000000"/>
          <w:sz w:val="20"/>
          <w:szCs w:val="20"/>
        </w:rPr>
        <w:t>•Multi-asset solutions and services, including dynamic asset allocation, customized target-date funds and target-risk funds; and</w:t>
      </w:r>
    </w:p>
    <w:p w:rsidR="00000000" w:rsidRDefault="005B0BC3">
      <w:pPr>
        <w:ind w:hanging="360"/>
        <w:divId w:val="1281886617"/>
        <w:rPr>
          <w:rFonts w:eastAsia="Times New Roman"/>
        </w:rPr>
      </w:pPr>
      <w:r>
        <w:rPr>
          <w:rFonts w:eastAsia="Times New Roman"/>
          <w:color w:val="000000"/>
          <w:sz w:val="20"/>
          <w:szCs w:val="20"/>
        </w:rPr>
        <w:t xml:space="preserve">•Some passive management, including index and enhanced index strategies. </w:t>
      </w:r>
    </w:p>
    <w:p w:rsidR="00000000" w:rsidRDefault="005B0BC3">
      <w:pPr>
        <w:jc w:val="both"/>
        <w:divId w:val="1068573273"/>
        <w:rPr>
          <w:rFonts w:eastAsia="Times New Roman"/>
        </w:rPr>
      </w:pPr>
      <w:r>
        <w:rPr>
          <w:rFonts w:eastAsia="Times New Roman"/>
          <w:b/>
          <w:bCs/>
          <w:i/>
          <w:iCs/>
          <w:color w:val="000000"/>
          <w:sz w:val="20"/>
          <w:szCs w:val="20"/>
        </w:rPr>
        <w:t>Research</w:t>
      </w:r>
    </w:p>
    <w:p w:rsidR="00000000" w:rsidRDefault="005B0BC3">
      <w:pPr>
        <w:ind w:firstLine="360"/>
        <w:divId w:val="1001203677"/>
        <w:rPr>
          <w:rFonts w:eastAsia="Times New Roman"/>
        </w:rPr>
      </w:pPr>
      <w:r>
        <w:rPr>
          <w:rFonts w:eastAsia="Times New Roman"/>
          <w:color w:val="000000"/>
          <w:sz w:val="20"/>
          <w:szCs w:val="20"/>
        </w:rPr>
        <w:t>AB’s hig</w:t>
      </w:r>
      <w:r>
        <w:rPr>
          <w:rFonts w:eastAsia="Times New Roman"/>
          <w:color w:val="000000"/>
          <w:sz w:val="20"/>
          <w:szCs w:val="20"/>
        </w:rPr>
        <w:t xml:space="preserve">h-quality, in-depth research is the foundation of its business. AB believes that its global team of research professionals, whose disciplines include economic, fundamental equity, fixed income and quantitative research, gives it a competitive advantage in </w:t>
      </w:r>
      <w:r>
        <w:rPr>
          <w:rFonts w:eastAsia="Times New Roman"/>
          <w:color w:val="000000"/>
          <w:sz w:val="20"/>
          <w:szCs w:val="20"/>
        </w:rPr>
        <w:t xml:space="preserve">achieving investment success for its clients. AB also has experts focused on multi-asset strategies, wealth management, ESG, and alternative investments. </w:t>
      </w:r>
    </w:p>
    <w:p w:rsidR="00000000" w:rsidRDefault="005B0BC3">
      <w:pPr>
        <w:jc w:val="both"/>
        <w:divId w:val="1449742140"/>
        <w:rPr>
          <w:rFonts w:eastAsia="Times New Roman"/>
        </w:rPr>
      </w:pPr>
      <w:r>
        <w:rPr>
          <w:rFonts w:eastAsia="Times New Roman"/>
          <w:b/>
          <w:bCs/>
          <w:i/>
          <w:iCs/>
          <w:color w:val="000000"/>
          <w:sz w:val="20"/>
          <w:szCs w:val="20"/>
        </w:rPr>
        <w:t>Custody</w:t>
      </w:r>
    </w:p>
    <w:p w:rsidR="00000000" w:rsidRDefault="005B0BC3">
      <w:pPr>
        <w:ind w:firstLine="360"/>
        <w:divId w:val="1224177624"/>
        <w:rPr>
          <w:rFonts w:eastAsia="Times New Roman"/>
        </w:rPr>
      </w:pPr>
      <w:r>
        <w:rPr>
          <w:rFonts w:eastAsia="Times New Roman"/>
          <w:color w:val="000000"/>
          <w:sz w:val="20"/>
          <w:szCs w:val="20"/>
        </w:rPr>
        <w:t>AB’s U.S.-based broker-dealer subsidiary acts as custodian for the majority of AB’s Private W</w:t>
      </w:r>
      <w:r>
        <w:rPr>
          <w:rFonts w:eastAsia="Times New Roman"/>
          <w:color w:val="000000"/>
          <w:sz w:val="20"/>
          <w:szCs w:val="20"/>
        </w:rPr>
        <w:t xml:space="preserve">ealth Management AUM and some of its Institutional AUM. Other custodian arrangements, directed by clients, include banks, trust companies, brokerage firms and other financial institutions. </w:t>
      </w:r>
    </w:p>
    <w:p w:rsidR="00000000" w:rsidRDefault="005B0BC3">
      <w:pPr>
        <w:ind w:firstLine="360"/>
        <w:divId w:val="1325161656"/>
        <w:rPr>
          <w:rFonts w:eastAsia="Times New Roman"/>
        </w:rPr>
      </w:pPr>
      <w:r>
        <w:rPr>
          <w:rFonts w:eastAsia="Times New Roman"/>
          <w:color w:val="000000"/>
          <w:sz w:val="20"/>
          <w:szCs w:val="20"/>
        </w:rPr>
        <w:t>For additional information about AB’s investment advisory fees, in</w:t>
      </w:r>
      <w:r>
        <w:rPr>
          <w:rFonts w:eastAsia="Times New Roman"/>
          <w:color w:val="000000"/>
          <w:sz w:val="20"/>
          <w:szCs w:val="20"/>
        </w:rPr>
        <w:t>cluding performance-based fees, see “Risk Factors—Risks Relating to Our Investment Management and Research Business” and “Management’s Discussion and Analysis of Financial Condition and Results of Operations—Results of Operations by Segment—Investment Mana</w:t>
      </w:r>
      <w:r>
        <w:rPr>
          <w:rFonts w:eastAsia="Times New Roman"/>
          <w:color w:val="000000"/>
          <w:sz w:val="20"/>
          <w:szCs w:val="20"/>
        </w:rPr>
        <w:t xml:space="preserve">gement and Research.” </w:t>
      </w:r>
    </w:p>
    <w:p w:rsidR="00000000" w:rsidRDefault="005B0BC3">
      <w:pPr>
        <w:divId w:val="717437094"/>
        <w:rPr>
          <w:rFonts w:eastAsia="Times New Roman"/>
        </w:rPr>
      </w:pPr>
      <w:r>
        <w:rPr>
          <w:rFonts w:eastAsia="Times New Roman"/>
          <w:b/>
          <w:bCs/>
          <w:color w:val="000000"/>
          <w:sz w:val="20"/>
          <w:szCs w:val="20"/>
        </w:rPr>
        <w:t xml:space="preserve">Markets </w:t>
      </w:r>
    </w:p>
    <w:p w:rsidR="00000000" w:rsidRDefault="005B0BC3">
      <w:pPr>
        <w:ind w:firstLine="360"/>
        <w:divId w:val="1125809016"/>
        <w:rPr>
          <w:rFonts w:eastAsia="Times New Roman"/>
        </w:rPr>
      </w:pPr>
      <w:r>
        <w:rPr>
          <w:rFonts w:eastAsia="Times New Roman"/>
          <w:color w:val="000000"/>
          <w:sz w:val="20"/>
          <w:szCs w:val="20"/>
        </w:rPr>
        <w:t xml:space="preserve">AB operates in major markets around the world, including the United States, EMEA (Europe, the Middle East and Africa) and Asia. Our AUM is disbursed as follows: </w:t>
      </w:r>
    </w:p>
    <w:p w:rsidR="00000000" w:rsidRDefault="005B0BC3">
      <w:pPr>
        <w:divId w:val="1159348067"/>
        <w:rPr>
          <w:rFonts w:eastAsia="Times New Roman"/>
        </w:rPr>
      </w:pPr>
      <w:r>
        <w:rPr>
          <w:rFonts w:eastAsia="Times New Roman"/>
          <w:b/>
          <w:bCs/>
          <w:color w:val="000000"/>
          <w:sz w:val="20"/>
          <w:szCs w:val="20"/>
        </w:rPr>
        <w:t>By Investment Service ($ in billions):</w:t>
      </w:r>
    </w:p>
    <w:p w:rsidR="00000000" w:rsidRDefault="005B0BC3">
      <w:pPr>
        <w:spacing w:after="180"/>
        <w:jc w:val="center"/>
        <w:divId w:val="1626079398"/>
        <w:rPr>
          <w:rFonts w:eastAsia="Times New Roman"/>
        </w:rPr>
      </w:pPr>
      <w:r>
        <w:rPr>
          <w:rFonts w:eastAsia="Times New Roman"/>
          <w:noProof/>
        </w:rPr>
        <w:drawing>
          <wp:inline distT="0" distB="0" distL="0" distR="0">
            <wp:extent cx="304800" cy="3048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noProof/>
        </w:rPr>
        <w:drawing>
          <wp:inline distT="0" distB="0" distL="0" distR="0">
            <wp:extent cx="304800" cy="3048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noProof/>
        </w:rPr>
        <w:drawing>
          <wp:inline distT="0" distB="0" distL="0" distR="0">
            <wp:extent cx="304800" cy="3048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5B0BC3">
      <w:pPr>
        <w:jc w:val="center"/>
        <w:divId w:val="1912420454"/>
        <w:rPr>
          <w:rFonts w:eastAsia="Times New Roman"/>
        </w:rPr>
      </w:pPr>
      <w:r>
        <w:rPr>
          <w:rFonts w:eastAsia="Times New Roman"/>
          <w:color w:val="000000"/>
          <w:sz w:val="20"/>
          <w:szCs w:val="20"/>
        </w:rPr>
        <w:t>24</w:t>
      </w:r>
    </w:p>
    <w:p w:rsidR="00000000" w:rsidRDefault="005B0BC3">
      <w:pPr>
        <w:rPr>
          <w:rFonts w:eastAsia="Times New Roman"/>
        </w:rPr>
      </w:pPr>
      <w:r>
        <w:rPr>
          <w:rFonts w:eastAsia="Times New Roman"/>
        </w:rPr>
        <w:pict>
          <v:rect id="_x0000_i1056" style="width:0;height:1.5pt" o:hralign="center" o:hrstd="t" o:hr="t" fillcolor="#a0a0a0" stroked="f"/>
        </w:pict>
      </w:r>
    </w:p>
    <w:p w:rsidR="00000000" w:rsidRDefault="005B0BC3">
      <w:pPr>
        <w:divId w:val="147094500"/>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divId w:val="486553350"/>
        <w:rPr>
          <w:rFonts w:eastAsia="Times New Roman"/>
        </w:rPr>
      </w:pPr>
      <w:r>
        <w:rPr>
          <w:rFonts w:eastAsia="Times New Roman"/>
          <w:b/>
          <w:bCs/>
          <w:color w:val="000000"/>
          <w:sz w:val="20"/>
          <w:szCs w:val="20"/>
        </w:rPr>
        <w:t>By Client Domicile ($ in billions):</w:t>
      </w:r>
    </w:p>
    <w:p w:rsidR="00000000" w:rsidRDefault="005B0BC3">
      <w:pPr>
        <w:jc w:val="center"/>
        <w:rPr>
          <w:rFonts w:eastAsia="Times New Roman"/>
        </w:rPr>
      </w:pPr>
      <w:r>
        <w:rPr>
          <w:rFonts w:eastAsia="Times New Roman"/>
          <w:noProof/>
        </w:rPr>
        <w:drawing>
          <wp:inline distT="0" distB="0" distL="0" distR="0">
            <wp:extent cx="304800" cy="3048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noProof/>
        </w:rPr>
        <w:drawing>
          <wp:inline distT="0" distB="0" distL="0" distR="0">
            <wp:extent cx="304800" cy="3048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noProof/>
        </w:rPr>
        <w:drawing>
          <wp:inline distT="0" distB="0" distL="0" distR="0">
            <wp:extent cx="304800" cy="3048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5B0BC3">
      <w:pPr>
        <w:divId w:val="1842044234"/>
        <w:rPr>
          <w:rFonts w:eastAsia="Times New Roman"/>
        </w:rPr>
      </w:pPr>
      <w:r>
        <w:rPr>
          <w:rFonts w:eastAsia="Times New Roman"/>
          <w:b/>
          <w:bCs/>
          <w:color w:val="000000"/>
          <w:sz w:val="20"/>
          <w:szCs w:val="20"/>
        </w:rPr>
        <w:t>Distribution Channels</w:t>
      </w:r>
    </w:p>
    <w:p w:rsidR="00000000" w:rsidRDefault="005B0BC3">
      <w:pPr>
        <w:ind w:firstLine="360"/>
        <w:divId w:val="75832468"/>
        <w:rPr>
          <w:rFonts w:eastAsia="Times New Roman"/>
        </w:rPr>
      </w:pPr>
      <w:r>
        <w:rPr>
          <w:rFonts w:eastAsia="Times New Roman"/>
          <w:color w:val="000000"/>
          <w:sz w:val="20"/>
          <w:szCs w:val="20"/>
        </w:rPr>
        <w:t xml:space="preserve">AB distributes its products and solutions through three main client channels: Institutional, Retail and Private Wealth Management. </w:t>
      </w:r>
    </w:p>
    <w:p w:rsidR="00000000" w:rsidRDefault="005B0BC3">
      <w:pPr>
        <w:jc w:val="both"/>
        <w:divId w:val="1551919733"/>
        <w:rPr>
          <w:rFonts w:eastAsia="Times New Roman"/>
        </w:rPr>
      </w:pPr>
      <w:r>
        <w:rPr>
          <w:rFonts w:eastAsia="Times New Roman"/>
          <w:b/>
          <w:bCs/>
          <w:i/>
          <w:iCs/>
          <w:color w:val="000000"/>
          <w:sz w:val="20"/>
          <w:szCs w:val="20"/>
        </w:rPr>
        <w:t>Institutional</w:t>
      </w:r>
    </w:p>
    <w:p w:rsidR="00000000" w:rsidRDefault="005B0BC3">
      <w:pPr>
        <w:ind w:firstLine="360"/>
        <w:divId w:val="664434521"/>
        <w:rPr>
          <w:rFonts w:eastAsia="Times New Roman"/>
        </w:rPr>
      </w:pPr>
      <w:r>
        <w:rPr>
          <w:rFonts w:eastAsia="Times New Roman"/>
          <w:color w:val="000000"/>
          <w:sz w:val="20"/>
          <w:szCs w:val="20"/>
        </w:rPr>
        <w:t>AB offer</w:t>
      </w:r>
      <w:r>
        <w:rPr>
          <w:rFonts w:eastAsia="Times New Roman"/>
          <w:color w:val="000000"/>
          <w:sz w:val="20"/>
          <w:szCs w:val="20"/>
        </w:rPr>
        <w:t>s to its institutional clients, which include private and public pension plans, foundations and endowments, insurance companies, central banks and governments worldwide, and Holdings and its subsidiaries, separately-managed accounts, sub-advisory relations</w:t>
      </w:r>
      <w:r>
        <w:rPr>
          <w:rFonts w:eastAsia="Times New Roman"/>
          <w:color w:val="000000"/>
          <w:sz w:val="20"/>
          <w:szCs w:val="20"/>
        </w:rPr>
        <w:t xml:space="preserve">hips, structured products, collective investment trusts, mutual funds, hedge funds and other investment vehicles (“Institutional Services”). </w:t>
      </w:r>
    </w:p>
    <w:p w:rsidR="00000000" w:rsidRDefault="005B0BC3">
      <w:pPr>
        <w:ind w:firstLine="360"/>
        <w:divId w:val="822282057"/>
        <w:rPr>
          <w:rFonts w:eastAsia="Times New Roman"/>
        </w:rPr>
      </w:pPr>
      <w:r>
        <w:rPr>
          <w:rFonts w:eastAsia="Times New Roman"/>
          <w:color w:val="000000"/>
          <w:sz w:val="20"/>
          <w:szCs w:val="20"/>
        </w:rPr>
        <w:t>AB manages the assets of its institutional clients pursuant to written investment management agreements or other a</w:t>
      </w:r>
      <w:r>
        <w:rPr>
          <w:rFonts w:eastAsia="Times New Roman"/>
          <w:color w:val="000000"/>
          <w:sz w:val="20"/>
          <w:szCs w:val="20"/>
        </w:rPr>
        <w:t xml:space="preserve">rrangements, which generally are terminable at any time or upon relatively short notice by either party. In general, AB’s written investment management agreements may not be assigned without the client’s consent. </w:t>
      </w:r>
    </w:p>
    <w:p w:rsidR="00000000" w:rsidRDefault="005B0BC3">
      <w:pPr>
        <w:jc w:val="both"/>
        <w:divId w:val="2090156178"/>
        <w:rPr>
          <w:rFonts w:eastAsia="Times New Roman"/>
        </w:rPr>
      </w:pPr>
      <w:r>
        <w:rPr>
          <w:rFonts w:eastAsia="Times New Roman"/>
          <w:b/>
          <w:bCs/>
          <w:i/>
          <w:iCs/>
          <w:color w:val="000000"/>
          <w:sz w:val="20"/>
          <w:szCs w:val="20"/>
        </w:rPr>
        <w:t>Retail</w:t>
      </w:r>
    </w:p>
    <w:p w:rsidR="00000000" w:rsidRDefault="005B0BC3">
      <w:pPr>
        <w:ind w:firstLine="360"/>
        <w:divId w:val="791095137"/>
        <w:rPr>
          <w:rFonts w:eastAsia="Times New Roman"/>
        </w:rPr>
      </w:pPr>
      <w:r>
        <w:rPr>
          <w:rFonts w:eastAsia="Times New Roman"/>
          <w:color w:val="000000"/>
          <w:sz w:val="20"/>
          <w:szCs w:val="20"/>
        </w:rPr>
        <w:t>AB provides investment management a</w:t>
      </w:r>
      <w:r>
        <w:rPr>
          <w:rFonts w:eastAsia="Times New Roman"/>
          <w:color w:val="000000"/>
          <w:sz w:val="20"/>
          <w:szCs w:val="20"/>
        </w:rPr>
        <w:t>nd related services to a wide variety of individual retail investors globally through retail mutual funds AB sponsors, mutual fund sub-advisory relationships, separately-managed account programs and other investment vehicles (“Retail Products and Services”</w:t>
      </w:r>
      <w:r>
        <w:rPr>
          <w:rFonts w:eastAsia="Times New Roman"/>
          <w:color w:val="000000"/>
          <w:sz w:val="20"/>
          <w:szCs w:val="20"/>
        </w:rPr>
        <w:t>).</w:t>
      </w:r>
    </w:p>
    <w:p w:rsidR="00000000" w:rsidRDefault="005B0BC3">
      <w:pPr>
        <w:ind w:firstLine="360"/>
        <w:divId w:val="923149985"/>
        <w:rPr>
          <w:rFonts w:eastAsia="Times New Roman"/>
        </w:rPr>
      </w:pPr>
      <w:r>
        <w:rPr>
          <w:rFonts w:eastAsia="Times New Roman"/>
          <w:color w:val="000000"/>
          <w:sz w:val="20"/>
          <w:szCs w:val="20"/>
        </w:rPr>
        <w:t>AB distributes its Retail Products and Services through financial intermediaries, including broker-dealers, insurance sales representatives, banks, registered investment advisers and financial planners. These products and services include open-end and c</w:t>
      </w:r>
      <w:r>
        <w:rPr>
          <w:rFonts w:eastAsia="Times New Roman"/>
          <w:color w:val="000000"/>
          <w:sz w:val="20"/>
          <w:szCs w:val="20"/>
        </w:rPr>
        <w:t>losed-end funds that are either (i) registered as investment companies under the Investment Company Act or (ii) not registered under the Investment Company Act and generally not offered to U.S. persons. They also include separately-managed account programs</w:t>
      </w:r>
      <w:r>
        <w:rPr>
          <w:rFonts w:eastAsia="Times New Roman"/>
          <w:color w:val="000000"/>
          <w:sz w:val="20"/>
          <w:szCs w:val="20"/>
        </w:rPr>
        <w:t>, which are sponsored by financial intermediaries and generally charge an all-inclusive fee covering investment management, trade execution, asset allocation, and custodial and administrative services. In addition, AB provides distribution, shareholder ser</w:t>
      </w:r>
      <w:r>
        <w:rPr>
          <w:rFonts w:eastAsia="Times New Roman"/>
          <w:color w:val="000000"/>
          <w:sz w:val="20"/>
          <w:szCs w:val="20"/>
        </w:rPr>
        <w:t xml:space="preserve">vicing, transfer agency services and administrative services for its Retail Products and Services. </w:t>
      </w:r>
    </w:p>
    <w:p w:rsidR="00000000" w:rsidRDefault="005B0BC3">
      <w:pPr>
        <w:jc w:val="both"/>
        <w:divId w:val="216821004"/>
        <w:rPr>
          <w:rFonts w:eastAsia="Times New Roman"/>
        </w:rPr>
      </w:pPr>
      <w:r>
        <w:rPr>
          <w:rFonts w:eastAsia="Times New Roman"/>
          <w:b/>
          <w:bCs/>
          <w:i/>
          <w:iCs/>
          <w:color w:val="000000"/>
          <w:sz w:val="20"/>
          <w:szCs w:val="20"/>
        </w:rPr>
        <w:t>Private Wealth Management</w:t>
      </w:r>
      <w:r>
        <w:rPr>
          <w:rFonts w:eastAsia="Times New Roman"/>
          <w:color w:val="000000"/>
          <w:sz w:val="20"/>
          <w:szCs w:val="20"/>
        </w:rPr>
        <w:t xml:space="preserve"> </w:t>
      </w:r>
    </w:p>
    <w:p w:rsidR="00000000" w:rsidRDefault="005B0BC3">
      <w:pPr>
        <w:ind w:firstLine="360"/>
        <w:divId w:val="45104577"/>
        <w:rPr>
          <w:rFonts w:eastAsia="Times New Roman"/>
        </w:rPr>
      </w:pPr>
      <w:r>
        <w:rPr>
          <w:rFonts w:eastAsia="Times New Roman"/>
          <w:color w:val="000000"/>
          <w:sz w:val="20"/>
          <w:szCs w:val="20"/>
        </w:rPr>
        <w:t>AB partners with its clients, embracing innovation and independent research to address increasingly complex challenges. AB’s clie</w:t>
      </w:r>
      <w:r>
        <w:rPr>
          <w:rFonts w:eastAsia="Times New Roman"/>
          <w:color w:val="000000"/>
          <w:sz w:val="20"/>
          <w:szCs w:val="20"/>
        </w:rPr>
        <w:t>nts include high net worth individuals and families who have created generational wealth as successful business owners, athletes, entertainers, corporate executives and private practice owners. AB also provides investment and wealth advice to foundations a</w:t>
      </w:r>
      <w:r>
        <w:rPr>
          <w:rFonts w:eastAsia="Times New Roman"/>
          <w:color w:val="000000"/>
          <w:sz w:val="20"/>
          <w:szCs w:val="20"/>
        </w:rPr>
        <w:t xml:space="preserve">nd endowments, family offices and other entities. AB’s flexible investment platform offers a range of solutions, including separately-managed accounts, hedge funds, mutual funds and other investment vehicles, tailored to meet each distinct client’s needs. </w:t>
      </w:r>
      <w:r>
        <w:rPr>
          <w:rFonts w:eastAsia="Times New Roman"/>
          <w:color w:val="000000"/>
          <w:sz w:val="20"/>
          <w:szCs w:val="20"/>
        </w:rPr>
        <w:t>AB’s investment platform is complimented with a wealth platform that includes complex tax and estate planning, pre-IPO and pre-transaction planning, multi-generational family engagement, and philanthropic advice in addition to tailored approaches to meetin</w:t>
      </w:r>
      <w:r>
        <w:rPr>
          <w:rFonts w:eastAsia="Times New Roman"/>
          <w:color w:val="000000"/>
          <w:sz w:val="20"/>
          <w:szCs w:val="20"/>
        </w:rPr>
        <w:t>g the unique needs of emerging wealth and multi-cultural demographics.</w:t>
      </w:r>
    </w:p>
    <w:p w:rsidR="00000000" w:rsidRDefault="005B0BC3">
      <w:pPr>
        <w:ind w:firstLine="360"/>
        <w:divId w:val="784544225"/>
        <w:rPr>
          <w:rFonts w:eastAsia="Times New Roman"/>
        </w:rPr>
      </w:pPr>
      <w:r>
        <w:rPr>
          <w:rFonts w:eastAsia="Times New Roman"/>
          <w:color w:val="000000"/>
          <w:sz w:val="20"/>
          <w:szCs w:val="20"/>
        </w:rPr>
        <w:t>AB manages these accounts pursuant to written investment advisory agreements, which generally are terminable at any time or upon relatively short notice by any authorized party, and may</w:t>
      </w:r>
      <w:r>
        <w:rPr>
          <w:rFonts w:eastAsia="Times New Roman"/>
          <w:color w:val="000000"/>
          <w:sz w:val="20"/>
          <w:szCs w:val="20"/>
        </w:rPr>
        <w:t xml:space="preserve"> not be assigned without the client’s consent. </w:t>
      </w:r>
    </w:p>
    <w:p w:rsidR="00000000" w:rsidRDefault="005B0BC3">
      <w:pPr>
        <w:jc w:val="center"/>
        <w:divId w:val="315115092"/>
        <w:rPr>
          <w:rFonts w:eastAsia="Times New Roman"/>
        </w:rPr>
      </w:pPr>
      <w:r>
        <w:rPr>
          <w:rFonts w:eastAsia="Times New Roman"/>
          <w:color w:val="000000"/>
          <w:sz w:val="20"/>
          <w:szCs w:val="20"/>
        </w:rPr>
        <w:t>25</w:t>
      </w:r>
    </w:p>
    <w:p w:rsidR="00000000" w:rsidRDefault="005B0BC3">
      <w:pPr>
        <w:rPr>
          <w:rFonts w:eastAsia="Times New Roman"/>
        </w:rPr>
      </w:pPr>
      <w:r>
        <w:rPr>
          <w:rFonts w:eastAsia="Times New Roman"/>
        </w:rPr>
        <w:pict>
          <v:rect id="_x0000_i1060" style="width:0;height:1.5pt" o:hralign="center" o:hrstd="t" o:hr="t" fillcolor="#a0a0a0" stroked="f"/>
        </w:pict>
      </w:r>
    </w:p>
    <w:p w:rsidR="00000000" w:rsidRDefault="005B0BC3">
      <w:pPr>
        <w:divId w:val="1575235868"/>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divId w:val="2127236253"/>
        <w:rPr>
          <w:rFonts w:eastAsia="Times New Roman"/>
        </w:rPr>
      </w:pPr>
      <w:r>
        <w:rPr>
          <w:rFonts w:eastAsia="Times New Roman"/>
          <w:b/>
          <w:bCs/>
          <w:color w:val="000000"/>
          <w:sz w:val="20"/>
          <w:szCs w:val="20"/>
        </w:rPr>
        <w:t xml:space="preserve">Competition </w:t>
      </w:r>
    </w:p>
    <w:p w:rsidR="00000000" w:rsidRDefault="005B0BC3">
      <w:pPr>
        <w:ind w:firstLine="360"/>
        <w:divId w:val="26222441"/>
        <w:rPr>
          <w:rFonts w:eastAsia="Times New Roman"/>
        </w:rPr>
      </w:pPr>
      <w:r>
        <w:rPr>
          <w:rFonts w:eastAsia="Times New Roman"/>
          <w:color w:val="000000"/>
          <w:sz w:val="20"/>
          <w:szCs w:val="20"/>
        </w:rPr>
        <w:t>AB competes in all aspects of its business with numerous investment management firms, mutual fund sponsors, brokerage and investment banking firms, insurance companies, banks, savings and loan associations and other financial institutions that often provid</w:t>
      </w:r>
      <w:r>
        <w:rPr>
          <w:rFonts w:eastAsia="Times New Roman"/>
          <w:color w:val="000000"/>
          <w:sz w:val="20"/>
          <w:szCs w:val="20"/>
        </w:rPr>
        <w:t xml:space="preserve">e investment products with similar features and objectives as those AB offers. AB’s competitors offer a wide range of financial services to the same customers that AB seeks to serve. </w:t>
      </w:r>
    </w:p>
    <w:p w:rsidR="00000000" w:rsidRDefault="005B0BC3">
      <w:pPr>
        <w:ind w:firstLine="360"/>
        <w:divId w:val="516771757"/>
        <w:rPr>
          <w:rFonts w:eastAsia="Times New Roman"/>
        </w:rPr>
      </w:pPr>
      <w:r>
        <w:rPr>
          <w:rFonts w:eastAsia="Times New Roman"/>
          <w:color w:val="000000"/>
          <w:sz w:val="20"/>
          <w:szCs w:val="20"/>
        </w:rPr>
        <w:t>To grow its business, AB believes it must be able to compete effectively</w:t>
      </w:r>
      <w:r>
        <w:rPr>
          <w:rFonts w:eastAsia="Times New Roman"/>
          <w:color w:val="000000"/>
          <w:sz w:val="20"/>
          <w:szCs w:val="20"/>
        </w:rPr>
        <w:t xml:space="preserve"> for AUM. Key competitive factors include: (i) AB’s investment performance for clients; (ii) AB’s commitment to place the interests of its clients first; (iii) the quality of AB’s research; (iv) AB’s ability to attract, motivate and retain highly skilled, </w:t>
      </w:r>
      <w:r>
        <w:rPr>
          <w:rFonts w:eastAsia="Times New Roman"/>
          <w:color w:val="000000"/>
          <w:sz w:val="20"/>
          <w:szCs w:val="20"/>
        </w:rPr>
        <w:t>and often highly specialized, personnel; (v) the array of investment products AB offers; (vi) the fees AB charges; (vii) Morningstar/Lipper rankings for the AB Funds; (viii) AB’s ability to sell its actively-managed investment services despite the fact tha</w:t>
      </w:r>
      <w:r>
        <w:rPr>
          <w:rFonts w:eastAsia="Times New Roman"/>
          <w:color w:val="000000"/>
          <w:sz w:val="20"/>
          <w:szCs w:val="20"/>
        </w:rPr>
        <w:t xml:space="preserve">t many investors favor passive services; (ix) AB’s operational effectiveness; (x) AB’s ability to further develop and market its brand; and (xi) AB’s global presence. </w:t>
      </w:r>
    </w:p>
    <w:p w:rsidR="00000000" w:rsidRDefault="005B0BC3">
      <w:pPr>
        <w:divId w:val="964116960"/>
        <w:rPr>
          <w:rFonts w:eastAsia="Times New Roman"/>
        </w:rPr>
      </w:pPr>
      <w:r>
        <w:rPr>
          <w:rFonts w:eastAsia="Times New Roman"/>
          <w:b/>
          <w:bCs/>
          <w:color w:val="000000"/>
          <w:sz w:val="20"/>
          <w:szCs w:val="20"/>
        </w:rPr>
        <w:t>AUM</w:t>
      </w:r>
    </w:p>
    <w:p w:rsidR="00000000" w:rsidRDefault="005B0BC3">
      <w:pPr>
        <w:divId w:val="1122000855"/>
        <w:rPr>
          <w:rFonts w:eastAsia="Times New Roman"/>
        </w:rPr>
      </w:pPr>
      <w:r>
        <w:rPr>
          <w:rFonts w:eastAsia="Times New Roman"/>
          <w:color w:val="000000"/>
          <w:sz w:val="20"/>
          <w:szCs w:val="20"/>
        </w:rPr>
        <w:t>AUM by distribution channel were as follows:</w:t>
      </w:r>
      <w:r>
        <w:rPr>
          <w:rFonts w:eastAsia="Times New Roman"/>
          <w:color w:val="000000"/>
          <w:sz w:val="18"/>
          <w:szCs w:val="18"/>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38"/>
        <w:gridCol w:w="4657"/>
        <w:gridCol w:w="36"/>
        <w:gridCol w:w="120"/>
        <w:gridCol w:w="990"/>
        <w:gridCol w:w="36"/>
        <w:gridCol w:w="36"/>
        <w:gridCol w:w="36"/>
        <w:gridCol w:w="36"/>
        <w:gridCol w:w="120"/>
        <w:gridCol w:w="950"/>
        <w:gridCol w:w="36"/>
        <w:gridCol w:w="36"/>
        <w:gridCol w:w="36"/>
        <w:gridCol w:w="36"/>
        <w:gridCol w:w="120"/>
        <w:gridCol w:w="951"/>
        <w:gridCol w:w="36"/>
      </w:tblGrid>
      <w:tr w:rsidR="00000000">
        <w:trPr>
          <w:divId w:val="662587785"/>
        </w:trPr>
        <w:tc>
          <w:tcPr>
            <w:tcW w:w="50" w:type="pct"/>
            <w:vAlign w:val="center"/>
            <w:hideMark/>
          </w:tcPr>
          <w:p w:rsidR="00000000" w:rsidRDefault="005B0BC3">
            <w:pPr>
              <w:rPr>
                <w:rFonts w:eastAsia="Times New Roman"/>
              </w:rPr>
            </w:pPr>
          </w:p>
        </w:tc>
        <w:tc>
          <w:tcPr>
            <w:tcW w:w="283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662587785"/>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December 31,</w:t>
            </w:r>
          </w:p>
        </w:tc>
      </w:tr>
      <w:tr w:rsidR="00000000">
        <w:trPr>
          <w:divId w:val="662587785"/>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662587785"/>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billions)</w:t>
            </w:r>
          </w:p>
        </w:tc>
      </w:tr>
      <w:tr w:rsidR="00000000">
        <w:trPr>
          <w:divId w:val="662587785"/>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Institutions</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337.1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315.6 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282.7 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62587785"/>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Retail</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319.9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265.3 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239.2 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62587785"/>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Private Wealth Management</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105.0 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101.0 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62587785"/>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778.6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685.9 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622.9 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divId w:val="536697642"/>
        <w:rPr>
          <w:rFonts w:eastAsia="Times New Roman"/>
        </w:rPr>
      </w:pPr>
    </w:p>
    <w:p w:rsidR="00000000" w:rsidRDefault="005B0BC3">
      <w:pPr>
        <w:ind w:firstLine="360"/>
        <w:divId w:val="58406919"/>
        <w:rPr>
          <w:rFonts w:eastAsia="Times New Roman"/>
        </w:rPr>
      </w:pPr>
      <w:r>
        <w:rPr>
          <w:rFonts w:eastAsia="Times New Roman"/>
          <w:color w:val="000000"/>
          <w:sz w:val="20"/>
          <w:szCs w:val="20"/>
        </w:rPr>
        <w:t>AUM by investment service were as follows:</w:t>
      </w:r>
    </w:p>
    <w:tbl>
      <w:tblPr>
        <w:tblW w:w="5000" w:type="pct"/>
        <w:tblCellMar>
          <w:top w:w="15" w:type="dxa"/>
          <w:left w:w="15" w:type="dxa"/>
          <w:bottom w:w="15" w:type="dxa"/>
          <w:right w:w="15" w:type="dxa"/>
        </w:tblCellMar>
        <w:tblLook w:val="04A0" w:firstRow="1" w:lastRow="0" w:firstColumn="1" w:lastColumn="0" w:noHBand="0" w:noVBand="1"/>
      </w:tblPr>
      <w:tblGrid>
        <w:gridCol w:w="41"/>
        <w:gridCol w:w="4654"/>
        <w:gridCol w:w="39"/>
        <w:gridCol w:w="120"/>
        <w:gridCol w:w="989"/>
        <w:gridCol w:w="36"/>
        <w:gridCol w:w="36"/>
        <w:gridCol w:w="36"/>
        <w:gridCol w:w="36"/>
        <w:gridCol w:w="120"/>
        <w:gridCol w:w="948"/>
        <w:gridCol w:w="36"/>
        <w:gridCol w:w="36"/>
        <w:gridCol w:w="36"/>
        <w:gridCol w:w="36"/>
        <w:gridCol w:w="120"/>
        <w:gridCol w:w="951"/>
        <w:gridCol w:w="36"/>
      </w:tblGrid>
      <w:tr w:rsidR="00000000">
        <w:trPr>
          <w:divId w:val="1791052773"/>
        </w:trPr>
        <w:tc>
          <w:tcPr>
            <w:tcW w:w="50" w:type="pct"/>
            <w:vAlign w:val="center"/>
            <w:hideMark/>
          </w:tcPr>
          <w:p w:rsidR="00000000" w:rsidRDefault="005B0BC3">
            <w:pPr>
              <w:ind w:firstLine="360"/>
              <w:rPr>
                <w:rFonts w:eastAsia="Times New Roman"/>
              </w:rPr>
            </w:pPr>
          </w:p>
        </w:tc>
        <w:tc>
          <w:tcPr>
            <w:tcW w:w="283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791052773"/>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December 31,</w:t>
            </w:r>
          </w:p>
        </w:tc>
      </w:tr>
      <w:tr w:rsidR="00000000">
        <w:trPr>
          <w:divId w:val="1791052773"/>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1791052773"/>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5B0BC3">
            <w:pPr>
              <w:spacing w:after="100"/>
              <w:ind w:hanging="360"/>
              <w:jc w:val="center"/>
              <w:rPr>
                <w:rFonts w:eastAsia="Times New Roman"/>
              </w:rPr>
            </w:pPr>
            <w:r>
              <w:rPr>
                <w:rFonts w:eastAsia="Times New Roman"/>
                <w:b/>
                <w:bCs/>
                <w:color w:val="000000"/>
                <w:sz w:val="18"/>
                <w:szCs w:val="18"/>
              </w:rPr>
              <w:t>(in billions)</w:t>
            </w:r>
          </w:p>
        </w:tc>
      </w:tr>
      <w:tr w:rsidR="00000000">
        <w:trPr>
          <w:divId w:val="1791052773"/>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Equity</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791052773"/>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Actively Managed</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287.6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217.8 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177.2 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91052773"/>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Passively Managed (1)</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64.5 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60.1 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91052773"/>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Total Equity</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359.2</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282.3 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237.3 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91052773"/>
          <w:trHeight w:val="280"/>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791052773"/>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Fixed Income</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791052773"/>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Actively Managed</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791052773"/>
        </w:trPr>
        <w:tc>
          <w:tcPr>
            <w:tcW w:w="0" w:type="auto"/>
            <w:gridSpan w:val="3"/>
            <w:shd w:val="clear" w:color="auto" w:fill="CCEE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Taxable</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246.3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263.2 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258.3 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91052773"/>
        </w:trPr>
        <w:tc>
          <w:tcPr>
            <w:tcW w:w="0" w:type="auto"/>
            <w:gridSpan w:val="3"/>
            <w:shd w:val="clear" w:color="auto" w:fill="FFFF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Tax-exempt</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57.1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50.3 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47.1 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91052773"/>
        </w:trPr>
        <w:tc>
          <w:tcPr>
            <w:tcW w:w="0" w:type="auto"/>
            <w:gridSpan w:val="3"/>
            <w:shd w:val="clear" w:color="auto" w:fill="CCEE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Actively Managed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303.4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313.5 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305.4 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91052773"/>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Passively Managed (1)</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13.2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91052773"/>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Total Fixed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316.6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322.0 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314.7 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91052773"/>
          <w:trHeight w:val="280"/>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791052773"/>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Alternatives/Multi-Asset Solutions (2)</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791052773"/>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Actively Managed</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79.1 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69.3 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91052773"/>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Passively Managed (1)</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91052773"/>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Total Other</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102.8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81.6 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70.9 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91052773"/>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778.6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685.9 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622.9 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ind w:hanging="360"/>
        <w:divId w:val="918104234"/>
        <w:rPr>
          <w:rFonts w:eastAsia="Times New Roman"/>
        </w:rPr>
      </w:pPr>
      <w:r>
        <w:rPr>
          <w:rFonts w:eastAsia="Times New Roman"/>
          <w:color w:val="000000"/>
          <w:sz w:val="18"/>
          <w:szCs w:val="18"/>
        </w:rPr>
        <w:t>_____________</w:t>
      </w:r>
    </w:p>
    <w:p w:rsidR="00000000" w:rsidRDefault="005B0BC3">
      <w:pPr>
        <w:ind w:hanging="360"/>
        <w:divId w:val="219369416"/>
        <w:rPr>
          <w:rFonts w:eastAsia="Times New Roman"/>
        </w:rPr>
      </w:pPr>
      <w:r>
        <w:rPr>
          <w:rFonts w:eastAsia="Times New Roman"/>
          <w:color w:val="000000"/>
          <w:sz w:val="18"/>
          <w:szCs w:val="18"/>
        </w:rPr>
        <w:t xml:space="preserve">(1)Includes index and enhanced index services. </w:t>
      </w:r>
    </w:p>
    <w:p w:rsidR="00000000" w:rsidRDefault="005B0BC3">
      <w:pPr>
        <w:ind w:hanging="360"/>
        <w:divId w:val="1334261946"/>
        <w:rPr>
          <w:rFonts w:eastAsia="Times New Roman"/>
        </w:rPr>
      </w:pPr>
      <w:r>
        <w:rPr>
          <w:rFonts w:eastAsia="Times New Roman"/>
          <w:color w:val="000000"/>
          <w:sz w:val="18"/>
          <w:szCs w:val="18"/>
        </w:rPr>
        <w:t xml:space="preserve">(2)Includes certain multi-asset solutions and services not included in equity or fixed income services. Prior to December </w:t>
      </w:r>
      <w:r>
        <w:rPr>
          <w:rFonts w:eastAsia="Times New Roman"/>
          <w:color w:val="000000"/>
          <w:sz w:val="18"/>
          <w:szCs w:val="18"/>
        </w:rPr>
        <w:t>31, 2020, this investment service line was disclosed as "Other." In order to reflect the increasing significance of our Alternatives and Multi-Asset Solutions services, we updated the investment service line to "Alternatives and Multi-Asset Solutions."</w:t>
      </w:r>
    </w:p>
    <w:p w:rsidR="00000000" w:rsidRDefault="005B0BC3">
      <w:pPr>
        <w:jc w:val="center"/>
        <w:divId w:val="1255744868"/>
        <w:rPr>
          <w:rFonts w:eastAsia="Times New Roman"/>
        </w:rPr>
      </w:pPr>
      <w:r>
        <w:rPr>
          <w:rFonts w:eastAsia="Times New Roman"/>
          <w:color w:val="000000"/>
          <w:sz w:val="20"/>
          <w:szCs w:val="20"/>
        </w:rPr>
        <w:t>26</w:t>
      </w:r>
    </w:p>
    <w:p w:rsidR="00000000" w:rsidRDefault="005B0BC3">
      <w:pPr>
        <w:rPr>
          <w:rFonts w:eastAsia="Times New Roman"/>
        </w:rPr>
      </w:pPr>
      <w:r>
        <w:rPr>
          <w:rFonts w:eastAsia="Times New Roman"/>
        </w:rPr>
        <w:pict>
          <v:rect id="_x0000_i1061" style="width:0;height:1.5pt" o:hralign="center" o:hrstd="t" o:hr="t" fillcolor="#a0a0a0" stroked="f"/>
        </w:pict>
      </w:r>
    </w:p>
    <w:p w:rsidR="00000000" w:rsidRDefault="005B0BC3">
      <w:pPr>
        <w:divId w:val="12808351"/>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ind w:firstLine="360"/>
        <w:divId w:val="1931545172"/>
        <w:rPr>
          <w:rFonts w:eastAsia="Times New Roman"/>
        </w:rPr>
      </w:pPr>
      <w:r>
        <w:rPr>
          <w:rFonts w:eastAsia="Times New Roman"/>
          <w:color w:val="000000"/>
          <w:sz w:val="20"/>
          <w:szCs w:val="20"/>
        </w:rPr>
        <w:t xml:space="preserve">Changes in AUM for the years ended December 31, 2021 and 2020 are as follows: </w:t>
      </w:r>
    </w:p>
    <w:tbl>
      <w:tblPr>
        <w:tblW w:w="5000" w:type="pct"/>
        <w:tblCellMar>
          <w:top w:w="15" w:type="dxa"/>
          <w:left w:w="15" w:type="dxa"/>
          <w:bottom w:w="15" w:type="dxa"/>
          <w:right w:w="15" w:type="dxa"/>
        </w:tblCellMar>
        <w:tblLook w:val="04A0" w:firstRow="1" w:lastRow="0" w:firstColumn="1" w:lastColumn="0" w:noHBand="0" w:noVBand="1"/>
      </w:tblPr>
      <w:tblGrid>
        <w:gridCol w:w="44"/>
        <w:gridCol w:w="4403"/>
        <w:gridCol w:w="37"/>
        <w:gridCol w:w="121"/>
        <w:gridCol w:w="738"/>
        <w:gridCol w:w="36"/>
        <w:gridCol w:w="36"/>
        <w:gridCol w:w="36"/>
        <w:gridCol w:w="36"/>
        <w:gridCol w:w="120"/>
        <w:gridCol w:w="670"/>
        <w:gridCol w:w="36"/>
        <w:gridCol w:w="36"/>
        <w:gridCol w:w="36"/>
        <w:gridCol w:w="36"/>
        <w:gridCol w:w="121"/>
        <w:gridCol w:w="842"/>
        <w:gridCol w:w="36"/>
        <w:gridCol w:w="36"/>
        <w:gridCol w:w="36"/>
        <w:gridCol w:w="36"/>
        <w:gridCol w:w="120"/>
        <w:gridCol w:w="622"/>
        <w:gridCol w:w="36"/>
      </w:tblGrid>
      <w:tr w:rsidR="00000000">
        <w:trPr>
          <w:divId w:val="675689305"/>
        </w:trPr>
        <w:tc>
          <w:tcPr>
            <w:tcW w:w="50" w:type="pct"/>
            <w:vAlign w:val="center"/>
            <w:hideMark/>
          </w:tcPr>
          <w:p w:rsidR="00000000" w:rsidRDefault="005B0BC3">
            <w:pPr>
              <w:ind w:firstLine="360"/>
              <w:rPr>
                <w:rFonts w:eastAsia="Times New Roman"/>
              </w:rPr>
            </w:pPr>
          </w:p>
        </w:tc>
        <w:tc>
          <w:tcPr>
            <w:tcW w:w="270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7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7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7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7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675689305"/>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Distribution Channel</w:t>
            </w:r>
          </w:p>
        </w:tc>
      </w:tr>
      <w:tr w:rsidR="00000000">
        <w:trPr>
          <w:divId w:val="675689305"/>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Institutions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Retail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Private Wealth Management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Total</w:t>
            </w:r>
          </w:p>
        </w:tc>
      </w:tr>
      <w:tr w:rsidR="00000000">
        <w:trPr>
          <w:divId w:val="675689305"/>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billions)</w:t>
            </w:r>
          </w:p>
        </w:tc>
      </w:tr>
      <w:tr w:rsidR="00000000">
        <w:trPr>
          <w:divId w:val="675689305"/>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Balance, December 31, 2020</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315.6 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265.3 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105.0 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685.9 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75689305"/>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Long-term flows:</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675689305"/>
        </w:trPr>
        <w:tc>
          <w:tcPr>
            <w:tcW w:w="0" w:type="auto"/>
            <w:gridSpan w:val="3"/>
            <w:shd w:val="clear" w:color="auto" w:fill="CCEE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Sales/new accounts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100.0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18.3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150.0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75689305"/>
        </w:trPr>
        <w:tc>
          <w:tcPr>
            <w:tcW w:w="0" w:type="auto"/>
            <w:gridSpan w:val="3"/>
            <w:shd w:val="clear" w:color="auto" w:fill="FFFF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Redemptions/terminations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(23.4)</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(65.1)</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(15.3)</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(103.8)</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75689305"/>
        </w:trPr>
        <w:tc>
          <w:tcPr>
            <w:tcW w:w="0" w:type="auto"/>
            <w:gridSpan w:val="3"/>
            <w:shd w:val="clear" w:color="auto" w:fill="CCEE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Cash flow/unreinvested dividends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(6.0)</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(14.1)</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(20.1)</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75689305"/>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Net long-term inflows (outflows) (1)</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20.8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26.1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75689305"/>
        </w:trPr>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675689305"/>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675689305"/>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Transfers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(0.2)</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75689305"/>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Market appreciation (depreciation)</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33.6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13.6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75689305"/>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Net change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21.5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54.6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16.6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92.7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75689305"/>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Balance, December 31, 2021</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337.1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319.9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121.6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778.6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4485"/>
        <w:gridCol w:w="144"/>
        <w:gridCol w:w="144"/>
        <w:gridCol w:w="794"/>
        <w:gridCol w:w="144"/>
        <w:gridCol w:w="144"/>
        <w:gridCol w:w="144"/>
        <w:gridCol w:w="144"/>
        <w:gridCol w:w="144"/>
        <w:gridCol w:w="794"/>
        <w:gridCol w:w="144"/>
        <w:gridCol w:w="144"/>
        <w:gridCol w:w="144"/>
        <w:gridCol w:w="144"/>
        <w:gridCol w:w="144"/>
        <w:gridCol w:w="794"/>
        <w:gridCol w:w="144"/>
        <w:gridCol w:w="144"/>
        <w:gridCol w:w="144"/>
        <w:gridCol w:w="144"/>
        <w:gridCol w:w="144"/>
        <w:gridCol w:w="794"/>
        <w:gridCol w:w="144"/>
      </w:tblGrid>
      <w:tr w:rsidR="00000000">
        <w:tc>
          <w:tcPr>
            <w:tcW w:w="50" w:type="pct"/>
            <w:vAlign w:val="center"/>
            <w:hideMark/>
          </w:tcPr>
          <w:p w:rsidR="00000000" w:rsidRDefault="005B0BC3">
            <w:pPr>
              <w:rPr>
                <w:rFonts w:eastAsia="Times New Roman"/>
              </w:rPr>
            </w:pPr>
          </w:p>
        </w:tc>
        <w:tc>
          <w:tcPr>
            <w:tcW w:w="270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7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7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7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7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Distribution Channel</w:t>
            </w:r>
          </w:p>
        </w:tc>
      </w:tr>
      <w:tr w:rsidR="00000000">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Institutions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Retail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Private Wealth Management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Total</w:t>
            </w:r>
          </w:p>
        </w:tc>
      </w:tr>
      <w:tr w:rsidR="00000000">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billions)</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Balance, December 31, 2019</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282.7 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239.2 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101.0 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622.9 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Long-term flows:</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Sales/new accounts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30.9 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78.9 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124.1 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c>
          <w:tcPr>
            <w:tcW w:w="0" w:type="auto"/>
            <w:gridSpan w:val="3"/>
            <w:shd w:val="clear" w:color="auto" w:fill="FFFF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Redemptions/terminations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(23.3)</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(69.5)</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(16.5)</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(109.3)</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c>
          <w:tcPr>
            <w:tcW w:w="0" w:type="auto"/>
            <w:gridSpan w:val="3"/>
            <w:shd w:val="clear" w:color="auto" w:fill="CCEE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Cash flow/unreinvested dividends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(6.6)</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(11.0)</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0.2 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(17.4)</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Net long-term inflows (outflows) (1)</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Acquisitions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0.2 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0.2 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Transfers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(0.6)</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(0.8)</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Market appreciation</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30.5 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28.1 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65.4 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Net change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26.1 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63.0 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Balance, December 31, 2020</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315.6 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265.3 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105.0 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685.9 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divId w:val="1218130946"/>
        <w:rPr>
          <w:rFonts w:eastAsia="Times New Roman"/>
        </w:rPr>
      </w:pPr>
      <w:r>
        <w:rPr>
          <w:rFonts w:eastAsia="Times New Roman"/>
          <w:color w:val="000000"/>
          <w:sz w:val="20"/>
          <w:szCs w:val="20"/>
        </w:rPr>
        <w:t>______________</w:t>
      </w:r>
    </w:p>
    <w:p w:rsidR="00000000" w:rsidRDefault="005B0BC3">
      <w:pPr>
        <w:ind w:hanging="360"/>
        <w:divId w:val="1333411218"/>
        <w:rPr>
          <w:rFonts w:eastAsia="Times New Roman"/>
        </w:rPr>
      </w:pPr>
      <w:r>
        <w:rPr>
          <w:rFonts w:eastAsia="Times New Roman"/>
          <w:color w:val="000000"/>
          <w:sz w:val="18"/>
          <w:szCs w:val="18"/>
        </w:rPr>
        <w:t>(1) Institutional net flows include $1.3 billion and $11.8 billion of AXA redemptions of certain low-fee fixed income mandates for 2021 and 2020, respectively.</w:t>
      </w:r>
    </w:p>
    <w:p w:rsidR="00000000" w:rsidRDefault="005B0BC3">
      <w:pPr>
        <w:divId w:val="755249093"/>
        <w:rPr>
          <w:rFonts w:eastAsia="Times New Roman"/>
        </w:rPr>
      </w:pPr>
    </w:p>
    <w:p w:rsidR="00000000" w:rsidRDefault="005B0BC3">
      <w:pPr>
        <w:jc w:val="center"/>
        <w:divId w:val="641884537"/>
        <w:rPr>
          <w:rFonts w:eastAsia="Times New Roman"/>
        </w:rPr>
      </w:pPr>
      <w:r>
        <w:rPr>
          <w:rFonts w:eastAsia="Times New Roman"/>
          <w:color w:val="000000"/>
          <w:sz w:val="20"/>
          <w:szCs w:val="20"/>
        </w:rPr>
        <w:t>27</w:t>
      </w:r>
    </w:p>
    <w:p w:rsidR="00000000" w:rsidRDefault="005B0BC3">
      <w:pPr>
        <w:rPr>
          <w:rFonts w:eastAsia="Times New Roman"/>
        </w:rPr>
      </w:pPr>
      <w:r>
        <w:rPr>
          <w:rFonts w:eastAsia="Times New Roman"/>
        </w:rPr>
        <w:pict>
          <v:rect id="_x0000_i1062" style="width:0;height:1.5pt" o:hralign="center" o:hrstd="t" o:hr="t" fillcolor="#a0a0a0" stroked="f"/>
        </w:pict>
      </w:r>
    </w:p>
    <w:p w:rsidR="00000000" w:rsidRDefault="005B0BC3">
      <w:pPr>
        <w:divId w:val="1152255871"/>
        <w:rPr>
          <w:rFonts w:eastAsia="Times New Roman"/>
        </w:rPr>
      </w:pPr>
      <w:hyperlink w:anchor="i2ac35847634046b3a89f93d9b422e8f5_421" w:history="1">
        <w:r>
          <w:rPr>
            <w:rStyle w:val="a3"/>
            <w:rFonts w:eastAsia="Times New Roman"/>
            <w:b/>
            <w:bCs/>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84"/>
        <w:gridCol w:w="60"/>
        <w:gridCol w:w="2224"/>
        <w:gridCol w:w="37"/>
        <w:gridCol w:w="74"/>
        <w:gridCol w:w="47"/>
        <w:gridCol w:w="97"/>
        <w:gridCol w:w="144"/>
        <w:gridCol w:w="355"/>
        <w:gridCol w:w="36"/>
        <w:gridCol w:w="36"/>
        <w:gridCol w:w="36"/>
        <w:gridCol w:w="36"/>
        <w:gridCol w:w="121"/>
        <w:gridCol w:w="27"/>
        <w:gridCol w:w="144"/>
        <w:gridCol w:w="144"/>
        <w:gridCol w:w="144"/>
        <w:gridCol w:w="141"/>
        <w:gridCol w:w="3"/>
        <w:gridCol w:w="33"/>
        <w:gridCol w:w="36"/>
        <w:gridCol w:w="36"/>
        <w:gridCol w:w="36"/>
        <w:gridCol w:w="3"/>
        <w:gridCol w:w="118"/>
        <w:gridCol w:w="566"/>
        <w:gridCol w:w="144"/>
        <w:gridCol w:w="43"/>
        <w:gridCol w:w="36"/>
        <w:gridCol w:w="36"/>
        <w:gridCol w:w="29"/>
        <w:gridCol w:w="7"/>
        <w:gridCol w:w="36"/>
        <w:gridCol w:w="101"/>
        <w:gridCol w:w="20"/>
        <w:gridCol w:w="124"/>
        <w:gridCol w:w="144"/>
        <w:gridCol w:w="485"/>
        <w:gridCol w:w="36"/>
        <w:gridCol w:w="36"/>
        <w:gridCol w:w="36"/>
        <w:gridCol w:w="36"/>
        <w:gridCol w:w="121"/>
        <w:gridCol w:w="20"/>
        <w:gridCol w:w="144"/>
        <w:gridCol w:w="144"/>
        <w:gridCol w:w="144"/>
        <w:gridCol w:w="144"/>
        <w:gridCol w:w="4"/>
        <w:gridCol w:w="36"/>
        <w:gridCol w:w="36"/>
        <w:gridCol w:w="36"/>
        <w:gridCol w:w="32"/>
        <w:gridCol w:w="4"/>
        <w:gridCol w:w="121"/>
        <w:gridCol w:w="657"/>
        <w:gridCol w:w="121"/>
        <w:gridCol w:w="23"/>
        <w:gridCol w:w="13"/>
        <w:gridCol w:w="36"/>
        <w:gridCol w:w="36"/>
        <w:gridCol w:w="36"/>
        <w:gridCol w:w="23"/>
        <w:gridCol w:w="97"/>
        <w:gridCol w:w="47"/>
        <w:gridCol w:w="144"/>
        <w:gridCol w:w="144"/>
        <w:gridCol w:w="165"/>
        <w:gridCol w:w="36"/>
        <w:gridCol w:w="483"/>
        <w:gridCol w:w="144"/>
        <w:gridCol w:w="144"/>
        <w:gridCol w:w="144"/>
        <w:gridCol w:w="144"/>
        <w:gridCol w:w="144"/>
        <w:gridCol w:w="709"/>
        <w:gridCol w:w="144"/>
        <w:gridCol w:w="144"/>
        <w:gridCol w:w="144"/>
        <w:gridCol w:w="144"/>
        <w:gridCol w:w="144"/>
        <w:gridCol w:w="588"/>
        <w:gridCol w:w="144"/>
      </w:tblGrid>
      <w:tr w:rsidR="00000000">
        <w:trPr>
          <w:gridAfter w:val="14"/>
          <w:divId w:val="1557350859"/>
        </w:trPr>
        <w:tc>
          <w:tcPr>
            <w:tcW w:w="50" w:type="pct"/>
            <w:vAlign w:val="center"/>
            <w:hideMark/>
          </w:tcPr>
          <w:p w:rsidR="00000000" w:rsidRDefault="005B0BC3">
            <w:pPr>
              <w:rPr>
                <w:rFonts w:eastAsia="Times New Roman"/>
              </w:rPr>
            </w:pPr>
          </w:p>
        </w:tc>
        <w:tc>
          <w:tcPr>
            <w:tcW w:w="1370" w:type="pct"/>
            <w:gridSpan w:val="2"/>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gridSpan w:val="2"/>
            <w:vAlign w:val="center"/>
            <w:hideMark/>
          </w:tcPr>
          <w:p w:rsidR="00000000" w:rsidRDefault="005B0BC3">
            <w:pPr>
              <w:spacing w:after="100"/>
              <w:rPr>
                <w:rFonts w:eastAsia="Times New Roman"/>
                <w:sz w:val="20"/>
                <w:szCs w:val="20"/>
              </w:rPr>
            </w:pPr>
          </w:p>
        </w:tc>
        <w:tc>
          <w:tcPr>
            <w:tcW w:w="390" w:type="pct"/>
            <w:gridSpan w:val="3"/>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12" w:type="pct"/>
            <w:gridSpan w:val="5"/>
            <w:vAlign w:val="center"/>
            <w:hideMark/>
          </w:tcPr>
          <w:p w:rsidR="00000000" w:rsidRDefault="005B0BC3">
            <w:pPr>
              <w:spacing w:after="100"/>
              <w:rPr>
                <w:rFonts w:eastAsia="Times New Roman"/>
                <w:sz w:val="20"/>
                <w:szCs w:val="20"/>
              </w:rPr>
            </w:pPr>
          </w:p>
        </w:tc>
        <w:tc>
          <w:tcPr>
            <w:tcW w:w="5" w:type="pct"/>
            <w:gridSpan w:val="2"/>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gridSpan w:val="2"/>
            <w:vAlign w:val="center"/>
            <w:hideMark/>
          </w:tcPr>
          <w:p w:rsidR="00000000" w:rsidRDefault="005B0BC3">
            <w:pPr>
              <w:spacing w:after="100"/>
              <w:rPr>
                <w:rFonts w:eastAsia="Times New Roman"/>
                <w:sz w:val="20"/>
                <w:szCs w:val="20"/>
              </w:rPr>
            </w:pPr>
          </w:p>
        </w:tc>
        <w:tc>
          <w:tcPr>
            <w:tcW w:w="471" w:type="pct"/>
            <w:gridSpan w:val="3"/>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gridSpan w:val="2"/>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gridSpan w:val="2"/>
            <w:vAlign w:val="center"/>
            <w:hideMark/>
          </w:tcPr>
          <w:p w:rsidR="00000000" w:rsidRDefault="005B0BC3">
            <w:pPr>
              <w:spacing w:after="100"/>
              <w:rPr>
                <w:rFonts w:eastAsia="Times New Roman"/>
                <w:sz w:val="20"/>
                <w:szCs w:val="20"/>
              </w:rPr>
            </w:pPr>
          </w:p>
        </w:tc>
        <w:tc>
          <w:tcPr>
            <w:tcW w:w="471" w:type="pct"/>
            <w:gridSpan w:val="3"/>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12" w:type="pct"/>
            <w:gridSpan w:val="6"/>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gridSpan w:val="2"/>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4" w:type="pct"/>
            <w:gridSpan w:val="2"/>
            <w:vAlign w:val="center"/>
            <w:hideMark/>
          </w:tcPr>
          <w:p w:rsidR="00000000" w:rsidRDefault="005B0BC3">
            <w:pPr>
              <w:spacing w:after="100"/>
              <w:rPr>
                <w:rFonts w:eastAsia="Times New Roman"/>
                <w:sz w:val="20"/>
                <w:szCs w:val="20"/>
              </w:rPr>
            </w:pPr>
          </w:p>
        </w:tc>
        <w:tc>
          <w:tcPr>
            <w:tcW w:w="5" w:type="pct"/>
            <w:gridSpan w:val="2"/>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gridSpan w:val="2"/>
            <w:vAlign w:val="center"/>
            <w:hideMark/>
          </w:tcPr>
          <w:p w:rsidR="00000000" w:rsidRDefault="005B0BC3">
            <w:pPr>
              <w:spacing w:after="100"/>
              <w:rPr>
                <w:rFonts w:eastAsia="Times New Roman"/>
                <w:sz w:val="20"/>
                <w:szCs w:val="20"/>
              </w:rPr>
            </w:pPr>
          </w:p>
        </w:tc>
        <w:tc>
          <w:tcPr>
            <w:tcW w:w="376" w:type="pct"/>
            <w:gridSpan w:val="4"/>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gridAfter w:val="14"/>
          <w:divId w:val="1557350859"/>
        </w:trPr>
        <w:tc>
          <w:tcPr>
            <w:tcW w:w="0" w:type="auto"/>
            <w:gridSpan w:val="4"/>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66"/>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Investment Services</w:t>
            </w:r>
          </w:p>
        </w:tc>
      </w:tr>
      <w:tr w:rsidR="00000000">
        <w:trPr>
          <w:gridAfter w:val="14"/>
          <w:divId w:val="1557350859"/>
        </w:trPr>
        <w:tc>
          <w:tcPr>
            <w:tcW w:w="0" w:type="auto"/>
            <w:gridSpan w:val="4"/>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Equity Actively Managed</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8"/>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Equity Passively Managed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6"/>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Fixed Income Actively Managed—Taxable</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6"/>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Fixed Income Actively Managed—Tax Exempt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8"/>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Fixed Income Passively Managed (1)</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5"/>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Alternatives</w:t>
            </w:r>
          </w:p>
          <w:p w:rsidR="00000000" w:rsidRDefault="005B0BC3">
            <w:pPr>
              <w:spacing w:after="100"/>
              <w:jc w:val="center"/>
              <w:rPr>
                <w:rFonts w:eastAsia="Times New Roman"/>
              </w:rPr>
            </w:pPr>
            <w:r>
              <w:rPr>
                <w:rFonts w:eastAsia="Times New Roman"/>
                <w:b/>
                <w:bCs/>
                <w:color w:val="000000"/>
                <w:sz w:val="16"/>
                <w:szCs w:val="16"/>
              </w:rPr>
              <w:t>/Multi-Asset</w:t>
            </w:r>
          </w:p>
          <w:p w:rsidR="00000000" w:rsidRDefault="005B0BC3">
            <w:pPr>
              <w:spacing w:after="100"/>
              <w:jc w:val="center"/>
              <w:rPr>
                <w:rFonts w:eastAsia="Times New Roman"/>
              </w:rPr>
            </w:pPr>
            <w:r>
              <w:rPr>
                <w:rFonts w:eastAsia="Times New Roman"/>
                <w:b/>
                <w:bCs/>
                <w:color w:val="000000"/>
                <w:sz w:val="16"/>
                <w:szCs w:val="16"/>
              </w:rPr>
              <w:t>Solutions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7"/>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Total</w:t>
            </w:r>
          </w:p>
        </w:tc>
      </w:tr>
      <w:tr w:rsidR="00000000">
        <w:trPr>
          <w:gridAfter w:val="14"/>
          <w:divId w:val="1557350859"/>
        </w:trPr>
        <w:tc>
          <w:tcPr>
            <w:tcW w:w="0" w:type="auto"/>
            <w:gridSpan w:val="4"/>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66"/>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billions)</w:t>
            </w:r>
          </w:p>
        </w:tc>
      </w:tr>
      <w:tr w:rsidR="005B0BC3">
        <w:trPr>
          <w:gridAfter w:val="14"/>
          <w:divId w:val="1557350859"/>
        </w:trPr>
        <w:tc>
          <w:tcPr>
            <w:tcW w:w="0" w:type="auto"/>
            <w:gridSpan w:val="4"/>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Balance, December 31, 2020</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gridSpan w:val="3"/>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217.8 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gridSpan w:val="5"/>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64.5 </w:t>
            </w:r>
          </w:p>
        </w:tc>
        <w:tc>
          <w:tcPr>
            <w:tcW w:w="0" w:type="auto"/>
            <w:gridSpan w:val="2"/>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gridSpan w:val="3"/>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263.2 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gridSpan w:val="3"/>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50.3 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gridSpan w:val="6"/>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81.6 </w:t>
            </w:r>
          </w:p>
        </w:tc>
        <w:tc>
          <w:tcPr>
            <w:tcW w:w="0" w:type="auto"/>
            <w:gridSpan w:val="2"/>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gridSpan w:val="4"/>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685.9 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gridAfter w:val="14"/>
          <w:divId w:val="1557350859"/>
        </w:trPr>
        <w:tc>
          <w:tcPr>
            <w:tcW w:w="0" w:type="auto"/>
            <w:gridSpan w:val="4"/>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Long-term flows:</w:t>
            </w:r>
          </w:p>
        </w:tc>
        <w:tc>
          <w:tcPr>
            <w:tcW w:w="0" w:type="auto"/>
            <w:gridSpan w:val="6"/>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8"/>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6"/>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8"/>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4"/>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7"/>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gridAfter w:val="14"/>
          <w:divId w:val="1557350859"/>
        </w:trPr>
        <w:tc>
          <w:tcPr>
            <w:tcW w:w="0" w:type="auto"/>
            <w:gridSpan w:val="4"/>
            <w:shd w:val="clear" w:color="auto" w:fill="CCEE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Sales/new accounts</w:t>
            </w:r>
          </w:p>
        </w:tc>
        <w:tc>
          <w:tcPr>
            <w:tcW w:w="0" w:type="auto"/>
            <w:gridSpan w:val="5"/>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gridSpan w:val="2"/>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44.9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12.7</w:t>
            </w:r>
            <w:r>
              <w:rPr>
                <w:rFonts w:eastAsia="Times New Roman"/>
                <w:color w:val="000000"/>
                <w:sz w:val="20"/>
                <w:szCs w:val="20"/>
              </w:rPr>
              <w:t> </w:t>
            </w:r>
          </w:p>
        </w:tc>
        <w:tc>
          <w:tcPr>
            <w:tcW w:w="0" w:type="auto"/>
            <w:gridSpan w:val="2"/>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150.0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gridAfter w:val="14"/>
          <w:divId w:val="1557350859"/>
        </w:trPr>
        <w:tc>
          <w:tcPr>
            <w:tcW w:w="0" w:type="auto"/>
            <w:gridSpan w:val="4"/>
            <w:shd w:val="clear" w:color="auto" w:fill="FFFF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Redemptions/terminations</w:t>
            </w:r>
          </w:p>
        </w:tc>
        <w:tc>
          <w:tcPr>
            <w:tcW w:w="0" w:type="auto"/>
            <w:gridSpan w:val="5"/>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(39.6)</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w:t>
            </w:r>
          </w:p>
        </w:tc>
        <w:tc>
          <w:tcPr>
            <w:tcW w:w="0" w:type="auto"/>
            <w:gridSpan w:val="2"/>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(52.6)</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(7.8)</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(0.4)</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(2.3)</w:t>
            </w:r>
          </w:p>
        </w:tc>
        <w:tc>
          <w:tcPr>
            <w:tcW w:w="0" w:type="auto"/>
            <w:gridSpan w:val="2"/>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6"/>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(103.8)</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gridAfter w:val="14"/>
          <w:divId w:val="1557350859"/>
        </w:trPr>
        <w:tc>
          <w:tcPr>
            <w:tcW w:w="0" w:type="auto"/>
            <w:gridSpan w:val="4"/>
            <w:shd w:val="clear" w:color="auto" w:fill="CCEE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Cash flow/unreinvested dividends</w:t>
            </w:r>
          </w:p>
        </w:tc>
        <w:tc>
          <w:tcPr>
            <w:tcW w:w="0" w:type="auto"/>
            <w:gridSpan w:val="5"/>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(11.4)</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(7.8)</w:t>
            </w:r>
          </w:p>
        </w:tc>
        <w:tc>
          <w:tcPr>
            <w:tcW w:w="0" w:type="auto"/>
            <w:gridSpan w:val="2"/>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(2.2)</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0.2</w:t>
            </w:r>
            <w:r>
              <w:rPr>
                <w:rFonts w:eastAsia="Times New Roman"/>
                <w:color w:val="000000"/>
                <w:sz w:val="20"/>
                <w:szCs w:val="20"/>
              </w:rPr>
              <w:t> </w:t>
            </w:r>
          </w:p>
        </w:tc>
        <w:tc>
          <w:tcPr>
            <w:tcW w:w="0" w:type="auto"/>
            <w:gridSpan w:val="2"/>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(20.1)</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gridAfter w:val="14"/>
          <w:divId w:val="1557350859"/>
        </w:trPr>
        <w:tc>
          <w:tcPr>
            <w:tcW w:w="0" w:type="auto"/>
            <w:gridSpan w:val="4"/>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Net long-term inflows (outflows) (3)</w:t>
            </w:r>
          </w:p>
        </w:tc>
        <w:tc>
          <w:tcPr>
            <w:tcW w:w="0" w:type="auto"/>
            <w:gridSpan w:val="5"/>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21.9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6"/>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(7.5)</w:t>
            </w:r>
          </w:p>
        </w:tc>
        <w:tc>
          <w:tcPr>
            <w:tcW w:w="0" w:type="auto"/>
            <w:gridSpan w:val="2"/>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7"/>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10.6</w:t>
            </w:r>
            <w:r>
              <w:rPr>
                <w:rFonts w:eastAsia="Times New Roman"/>
                <w:color w:val="000000"/>
                <w:sz w:val="20"/>
                <w:szCs w:val="20"/>
              </w:rPr>
              <w:t> </w:t>
            </w:r>
          </w:p>
        </w:tc>
        <w:tc>
          <w:tcPr>
            <w:tcW w:w="0" w:type="auto"/>
            <w:gridSpan w:val="2"/>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6"/>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26.1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gridAfter w:val="14"/>
          <w:divId w:val="1557350859"/>
        </w:trPr>
        <w:tc>
          <w:tcPr>
            <w:tcW w:w="0" w:type="auto"/>
            <w:gridSpan w:val="4"/>
            <w:vAlign w:val="center"/>
            <w:hideMark/>
          </w:tcPr>
          <w:p w:rsidR="00000000" w:rsidRDefault="005B0BC3">
            <w:pPr>
              <w:spacing w:after="100"/>
              <w:jc w:val="right"/>
              <w:rPr>
                <w:rFonts w:eastAsia="Times New Roman"/>
                <w:sz w:val="20"/>
                <w:szCs w:val="20"/>
              </w:rPr>
            </w:pPr>
          </w:p>
        </w:tc>
        <w:tc>
          <w:tcPr>
            <w:tcW w:w="0" w:type="auto"/>
            <w:gridSpan w:val="6"/>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8"/>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6"/>
            <w:vAlign w:val="center"/>
            <w:hideMark/>
          </w:tcPr>
          <w:p w:rsidR="00000000" w:rsidRDefault="005B0BC3">
            <w:pPr>
              <w:spacing w:after="100"/>
              <w:rPr>
                <w:rFonts w:eastAsia="Times New Roman"/>
                <w:sz w:val="20"/>
                <w:szCs w:val="20"/>
              </w:rPr>
            </w:pPr>
          </w:p>
        </w:tc>
        <w:tc>
          <w:tcPr>
            <w:tcW w:w="0" w:type="auto"/>
            <w:gridSpan w:val="4"/>
            <w:vAlign w:val="center"/>
            <w:hideMark/>
          </w:tcPr>
          <w:p w:rsidR="00000000" w:rsidRDefault="005B0BC3">
            <w:pPr>
              <w:spacing w:after="100"/>
              <w:rPr>
                <w:rFonts w:eastAsia="Times New Roman"/>
                <w:sz w:val="20"/>
                <w:szCs w:val="20"/>
              </w:rPr>
            </w:pPr>
          </w:p>
        </w:tc>
        <w:tc>
          <w:tcPr>
            <w:tcW w:w="0" w:type="auto"/>
            <w:gridSpan w:val="6"/>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8"/>
            <w:vAlign w:val="center"/>
            <w:hideMark/>
          </w:tcPr>
          <w:p w:rsidR="00000000" w:rsidRDefault="005B0BC3">
            <w:pPr>
              <w:spacing w:after="100"/>
              <w:rPr>
                <w:rFonts w:eastAsia="Times New Roman"/>
                <w:sz w:val="20"/>
                <w:szCs w:val="20"/>
              </w:rPr>
            </w:pPr>
          </w:p>
        </w:tc>
        <w:tc>
          <w:tcPr>
            <w:tcW w:w="0" w:type="auto"/>
            <w:gridSpan w:val="4"/>
            <w:vAlign w:val="center"/>
            <w:hideMark/>
          </w:tcPr>
          <w:p w:rsidR="00000000" w:rsidRDefault="005B0BC3">
            <w:pPr>
              <w:spacing w:after="100"/>
              <w:rPr>
                <w:rFonts w:eastAsia="Times New Roman"/>
                <w:sz w:val="20"/>
                <w:szCs w:val="20"/>
              </w:rPr>
            </w:pPr>
          </w:p>
        </w:tc>
        <w:tc>
          <w:tcPr>
            <w:tcW w:w="0" w:type="auto"/>
            <w:gridSpan w:val="5"/>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7"/>
            <w:vAlign w:val="center"/>
            <w:hideMark/>
          </w:tcPr>
          <w:p w:rsidR="00000000" w:rsidRDefault="005B0BC3">
            <w:pPr>
              <w:spacing w:after="100"/>
              <w:rPr>
                <w:rFonts w:eastAsia="Times New Roman"/>
                <w:sz w:val="20"/>
                <w:szCs w:val="20"/>
              </w:rPr>
            </w:pPr>
          </w:p>
        </w:tc>
      </w:tr>
      <w:tr w:rsidR="00000000">
        <w:trPr>
          <w:gridAfter w:val="14"/>
          <w:divId w:val="1557350859"/>
        </w:trPr>
        <w:tc>
          <w:tcPr>
            <w:tcW w:w="0" w:type="auto"/>
            <w:gridSpan w:val="4"/>
            <w:vAlign w:val="center"/>
            <w:hideMark/>
          </w:tcPr>
          <w:p w:rsidR="00000000" w:rsidRDefault="005B0BC3">
            <w:pPr>
              <w:spacing w:after="100"/>
              <w:rPr>
                <w:rFonts w:eastAsia="Times New Roman"/>
                <w:sz w:val="20"/>
                <w:szCs w:val="20"/>
              </w:rPr>
            </w:pPr>
          </w:p>
        </w:tc>
        <w:tc>
          <w:tcPr>
            <w:tcW w:w="0" w:type="auto"/>
            <w:gridSpan w:val="6"/>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8"/>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6"/>
            <w:vAlign w:val="center"/>
            <w:hideMark/>
          </w:tcPr>
          <w:p w:rsidR="00000000" w:rsidRDefault="005B0BC3">
            <w:pPr>
              <w:spacing w:after="100"/>
              <w:rPr>
                <w:rFonts w:eastAsia="Times New Roman"/>
                <w:sz w:val="20"/>
                <w:szCs w:val="20"/>
              </w:rPr>
            </w:pPr>
          </w:p>
        </w:tc>
        <w:tc>
          <w:tcPr>
            <w:tcW w:w="0" w:type="auto"/>
            <w:gridSpan w:val="4"/>
            <w:vAlign w:val="center"/>
            <w:hideMark/>
          </w:tcPr>
          <w:p w:rsidR="00000000" w:rsidRDefault="005B0BC3">
            <w:pPr>
              <w:spacing w:after="100"/>
              <w:rPr>
                <w:rFonts w:eastAsia="Times New Roman"/>
                <w:sz w:val="20"/>
                <w:szCs w:val="20"/>
              </w:rPr>
            </w:pPr>
          </w:p>
        </w:tc>
        <w:tc>
          <w:tcPr>
            <w:tcW w:w="0" w:type="auto"/>
            <w:gridSpan w:val="6"/>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8"/>
            <w:vAlign w:val="center"/>
            <w:hideMark/>
          </w:tcPr>
          <w:p w:rsidR="00000000" w:rsidRDefault="005B0BC3">
            <w:pPr>
              <w:spacing w:after="100"/>
              <w:rPr>
                <w:rFonts w:eastAsia="Times New Roman"/>
                <w:sz w:val="20"/>
                <w:szCs w:val="20"/>
              </w:rPr>
            </w:pPr>
          </w:p>
        </w:tc>
        <w:tc>
          <w:tcPr>
            <w:tcW w:w="0" w:type="auto"/>
            <w:gridSpan w:val="4"/>
            <w:vAlign w:val="center"/>
            <w:hideMark/>
          </w:tcPr>
          <w:p w:rsidR="00000000" w:rsidRDefault="005B0BC3">
            <w:pPr>
              <w:spacing w:after="100"/>
              <w:rPr>
                <w:rFonts w:eastAsia="Times New Roman"/>
                <w:sz w:val="20"/>
                <w:szCs w:val="20"/>
              </w:rPr>
            </w:pPr>
          </w:p>
        </w:tc>
        <w:tc>
          <w:tcPr>
            <w:tcW w:w="0" w:type="auto"/>
            <w:gridSpan w:val="5"/>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7"/>
            <w:vAlign w:val="center"/>
            <w:hideMark/>
          </w:tcPr>
          <w:p w:rsidR="00000000" w:rsidRDefault="005B0BC3">
            <w:pPr>
              <w:spacing w:after="100"/>
              <w:rPr>
                <w:rFonts w:eastAsia="Times New Roman"/>
                <w:sz w:val="20"/>
                <w:szCs w:val="20"/>
              </w:rPr>
            </w:pPr>
          </w:p>
        </w:tc>
      </w:tr>
      <w:tr w:rsidR="00000000">
        <w:trPr>
          <w:gridAfter w:val="14"/>
          <w:divId w:val="1557350859"/>
        </w:trPr>
        <w:tc>
          <w:tcPr>
            <w:tcW w:w="0" w:type="auto"/>
            <w:gridSpan w:val="4"/>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Market appreciation (depreciation)</w:t>
            </w:r>
          </w:p>
        </w:tc>
        <w:tc>
          <w:tcPr>
            <w:tcW w:w="0" w:type="auto"/>
            <w:gridSpan w:val="5"/>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47.9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14.6</w:t>
            </w:r>
            <w:r>
              <w:rPr>
                <w:rFonts w:eastAsia="Times New Roman"/>
                <w:color w:val="000000"/>
                <w:sz w:val="20"/>
                <w:szCs w:val="20"/>
              </w:rPr>
              <w:t> </w:t>
            </w:r>
          </w:p>
        </w:tc>
        <w:tc>
          <w:tcPr>
            <w:tcW w:w="0" w:type="auto"/>
            <w:gridSpan w:val="2"/>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(7.0)</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(0.3)</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10.6</w:t>
            </w:r>
            <w:r>
              <w:rPr>
                <w:rFonts w:eastAsia="Times New Roman"/>
                <w:color w:val="000000"/>
                <w:sz w:val="20"/>
                <w:szCs w:val="20"/>
              </w:rPr>
              <w:t> </w:t>
            </w:r>
          </w:p>
        </w:tc>
        <w:tc>
          <w:tcPr>
            <w:tcW w:w="0" w:type="auto"/>
            <w:gridSpan w:val="2"/>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6"/>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gridAfter w:val="14"/>
          <w:divId w:val="1557350859"/>
        </w:trPr>
        <w:tc>
          <w:tcPr>
            <w:tcW w:w="0" w:type="auto"/>
            <w:gridSpan w:val="4"/>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Net change</w:t>
            </w:r>
          </w:p>
        </w:tc>
        <w:tc>
          <w:tcPr>
            <w:tcW w:w="0" w:type="auto"/>
            <w:gridSpan w:val="5"/>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69.8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6"/>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7.1</w:t>
            </w:r>
            <w:r>
              <w:rPr>
                <w:rFonts w:eastAsia="Times New Roman"/>
                <w:color w:val="000000"/>
                <w:sz w:val="20"/>
                <w:szCs w:val="20"/>
              </w:rPr>
              <w:t> </w:t>
            </w:r>
          </w:p>
        </w:tc>
        <w:tc>
          <w:tcPr>
            <w:tcW w:w="0" w:type="auto"/>
            <w:gridSpan w:val="2"/>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(16.9)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7"/>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21.2</w:t>
            </w:r>
            <w:r>
              <w:rPr>
                <w:rFonts w:eastAsia="Times New Roman"/>
                <w:color w:val="000000"/>
                <w:sz w:val="20"/>
                <w:szCs w:val="20"/>
              </w:rPr>
              <w:t> </w:t>
            </w:r>
          </w:p>
        </w:tc>
        <w:tc>
          <w:tcPr>
            <w:tcW w:w="0" w:type="auto"/>
            <w:gridSpan w:val="2"/>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6"/>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92.7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5B0BC3">
        <w:trPr>
          <w:gridAfter w:val="14"/>
          <w:divId w:val="1557350859"/>
        </w:trPr>
        <w:tc>
          <w:tcPr>
            <w:tcW w:w="0" w:type="auto"/>
            <w:gridSpan w:val="4"/>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Balance, December 31, 2021</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gridSpan w:val="3"/>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287.6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gridSpan w:val="5"/>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71.6</w:t>
            </w:r>
            <w:r>
              <w:rPr>
                <w:rFonts w:eastAsia="Times New Roman"/>
                <w:color w:val="000000"/>
                <w:sz w:val="20"/>
                <w:szCs w:val="20"/>
              </w:rPr>
              <w:t> </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gridSpan w:val="3"/>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246.3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gridSpan w:val="3"/>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57.1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gridSpan w:val="6"/>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13.2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102.8</w:t>
            </w:r>
            <w:r>
              <w:rPr>
                <w:rFonts w:eastAsia="Times New Roman"/>
                <w:color w:val="000000"/>
                <w:sz w:val="20"/>
                <w:szCs w:val="20"/>
              </w:rPr>
              <w:t> </w:t>
            </w:r>
          </w:p>
        </w:tc>
        <w:tc>
          <w:tcPr>
            <w:tcW w:w="0" w:type="auto"/>
            <w:gridSpan w:val="2"/>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gridSpan w:val="4"/>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778.6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c>
          <w:tcPr>
            <w:tcW w:w="50" w:type="pct"/>
            <w:gridSpan w:val="2"/>
            <w:vAlign w:val="center"/>
            <w:hideMark/>
          </w:tcPr>
          <w:p w:rsidR="00000000" w:rsidRDefault="005B0BC3">
            <w:pPr>
              <w:rPr>
                <w:rFonts w:eastAsia="Times New Roman"/>
              </w:rPr>
            </w:pPr>
          </w:p>
        </w:tc>
        <w:tc>
          <w:tcPr>
            <w:tcW w:w="1406" w:type="pct"/>
            <w:gridSpan w:val="3"/>
            <w:vAlign w:val="center"/>
            <w:hideMark/>
          </w:tcPr>
          <w:p w:rsidR="00000000" w:rsidRDefault="005B0BC3">
            <w:pPr>
              <w:spacing w:after="100"/>
              <w:rPr>
                <w:rFonts w:eastAsia="Times New Roman"/>
                <w:sz w:val="20"/>
                <w:szCs w:val="20"/>
              </w:rPr>
            </w:pPr>
          </w:p>
        </w:tc>
        <w:tc>
          <w:tcPr>
            <w:tcW w:w="5" w:type="pct"/>
            <w:gridSpan w:val="2"/>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90" w:type="pct"/>
            <w:gridSpan w:val="7"/>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gridSpan w:val="2"/>
            <w:vAlign w:val="center"/>
            <w:hideMark/>
          </w:tcPr>
          <w:p w:rsidR="00000000" w:rsidRDefault="005B0BC3">
            <w:pPr>
              <w:spacing w:after="100"/>
              <w:rPr>
                <w:rFonts w:eastAsia="Times New Roman"/>
                <w:sz w:val="20"/>
                <w:szCs w:val="20"/>
              </w:rPr>
            </w:pPr>
          </w:p>
        </w:tc>
        <w:tc>
          <w:tcPr>
            <w:tcW w:w="50" w:type="pct"/>
            <w:gridSpan w:val="5"/>
            <w:vAlign w:val="center"/>
            <w:hideMark/>
          </w:tcPr>
          <w:p w:rsidR="00000000" w:rsidRDefault="005B0BC3">
            <w:pPr>
              <w:spacing w:after="100"/>
              <w:rPr>
                <w:rFonts w:eastAsia="Times New Roman"/>
                <w:sz w:val="20"/>
                <w:szCs w:val="20"/>
              </w:rPr>
            </w:pPr>
          </w:p>
        </w:tc>
        <w:tc>
          <w:tcPr>
            <w:tcW w:w="412" w:type="pct"/>
            <w:gridSpan w:val="2"/>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gridSpan w:val="4"/>
            <w:vAlign w:val="center"/>
            <w:hideMark/>
          </w:tcPr>
          <w:p w:rsidR="00000000" w:rsidRDefault="005B0BC3">
            <w:pPr>
              <w:spacing w:after="100"/>
              <w:rPr>
                <w:rFonts w:eastAsia="Times New Roman"/>
                <w:sz w:val="20"/>
                <w:szCs w:val="20"/>
              </w:rPr>
            </w:pPr>
          </w:p>
        </w:tc>
        <w:tc>
          <w:tcPr>
            <w:tcW w:w="26" w:type="pct"/>
            <w:gridSpan w:val="3"/>
            <w:vAlign w:val="center"/>
            <w:hideMark/>
          </w:tcPr>
          <w:p w:rsidR="00000000" w:rsidRDefault="005B0BC3">
            <w:pPr>
              <w:spacing w:after="100"/>
              <w:rPr>
                <w:rFonts w:eastAsia="Times New Roman"/>
                <w:sz w:val="20"/>
                <w:szCs w:val="20"/>
              </w:rPr>
            </w:pPr>
          </w:p>
        </w:tc>
        <w:tc>
          <w:tcPr>
            <w:tcW w:w="5" w:type="pct"/>
            <w:gridSpan w:val="2"/>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64" w:type="pct"/>
            <w:gridSpan w:val="7"/>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gridSpan w:val="5"/>
            <w:vAlign w:val="center"/>
            <w:hideMark/>
          </w:tcPr>
          <w:p w:rsidR="00000000" w:rsidRDefault="005B0BC3">
            <w:pPr>
              <w:spacing w:after="100"/>
              <w:rPr>
                <w:rFonts w:eastAsia="Times New Roman"/>
                <w:sz w:val="20"/>
                <w:szCs w:val="20"/>
              </w:rPr>
            </w:pPr>
          </w:p>
        </w:tc>
        <w:tc>
          <w:tcPr>
            <w:tcW w:w="471" w:type="pct"/>
            <w:gridSpan w:val="3"/>
            <w:vAlign w:val="center"/>
            <w:hideMark/>
          </w:tcPr>
          <w:p w:rsidR="00000000" w:rsidRDefault="005B0BC3">
            <w:pPr>
              <w:spacing w:after="100"/>
              <w:rPr>
                <w:rFonts w:eastAsia="Times New Roman"/>
                <w:sz w:val="20"/>
                <w:szCs w:val="20"/>
              </w:rPr>
            </w:pPr>
          </w:p>
        </w:tc>
        <w:tc>
          <w:tcPr>
            <w:tcW w:w="5" w:type="pct"/>
            <w:gridSpan w:val="2"/>
            <w:vAlign w:val="center"/>
            <w:hideMark/>
          </w:tcPr>
          <w:p w:rsidR="00000000" w:rsidRDefault="005B0BC3">
            <w:pPr>
              <w:spacing w:after="100"/>
              <w:rPr>
                <w:rFonts w:eastAsia="Times New Roman"/>
                <w:sz w:val="20"/>
                <w:szCs w:val="20"/>
              </w:rPr>
            </w:pPr>
          </w:p>
        </w:tc>
        <w:tc>
          <w:tcPr>
            <w:tcW w:w="5" w:type="pct"/>
            <w:gridSpan w:val="5"/>
            <w:vAlign w:val="center"/>
            <w:hideMark/>
          </w:tcPr>
          <w:p w:rsidR="00000000" w:rsidRDefault="005B0BC3">
            <w:pPr>
              <w:spacing w:after="100"/>
              <w:rPr>
                <w:rFonts w:eastAsia="Times New Roman"/>
                <w:sz w:val="20"/>
                <w:szCs w:val="20"/>
              </w:rPr>
            </w:pPr>
          </w:p>
        </w:tc>
        <w:tc>
          <w:tcPr>
            <w:tcW w:w="26" w:type="pct"/>
            <w:gridSpan w:val="2"/>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12" w:type="pct"/>
            <w:gridSpan w:val="3"/>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2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5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c>
          <w:tcPr>
            <w:tcW w:w="0" w:type="auto"/>
            <w:gridSpan w:val="7"/>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77"/>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Investment Services</w:t>
            </w:r>
          </w:p>
        </w:tc>
      </w:tr>
      <w:tr w:rsidR="00000000">
        <w:tc>
          <w:tcPr>
            <w:tcW w:w="0" w:type="auto"/>
            <w:gridSpan w:val="7"/>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Equity Actively Managed</w:t>
            </w:r>
          </w:p>
        </w:tc>
        <w:tc>
          <w:tcPr>
            <w:tcW w:w="0" w:type="auto"/>
            <w:gridSpan w:val="4"/>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8"/>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Equity Passively Managed (1)</w:t>
            </w:r>
          </w:p>
        </w:tc>
        <w:tc>
          <w:tcPr>
            <w:tcW w:w="0" w:type="auto"/>
            <w:gridSpan w:val="9"/>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9"/>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Fixed Income Actively Managed—Taxable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10"/>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Fixed Income Actively Managed—Tax Exempt</w:t>
            </w:r>
          </w:p>
        </w:tc>
        <w:tc>
          <w:tcPr>
            <w:tcW w:w="0" w:type="auto"/>
            <w:gridSpan w:val="8"/>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5"/>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Fixed Income Passively Managed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Alternatives</w:t>
            </w:r>
          </w:p>
          <w:p w:rsidR="00000000" w:rsidRDefault="005B0BC3">
            <w:pPr>
              <w:spacing w:after="100"/>
              <w:jc w:val="center"/>
              <w:rPr>
                <w:rFonts w:eastAsia="Times New Roman"/>
              </w:rPr>
            </w:pPr>
            <w:r>
              <w:rPr>
                <w:rFonts w:eastAsia="Times New Roman"/>
                <w:b/>
                <w:bCs/>
                <w:color w:val="000000"/>
                <w:sz w:val="16"/>
                <w:szCs w:val="16"/>
              </w:rPr>
              <w:t>/Multi-Asset</w:t>
            </w:r>
          </w:p>
          <w:p w:rsidR="00000000" w:rsidRDefault="005B0BC3">
            <w:pPr>
              <w:spacing w:after="100"/>
              <w:jc w:val="center"/>
              <w:rPr>
                <w:rFonts w:eastAsia="Times New Roman"/>
              </w:rPr>
            </w:pPr>
            <w:r>
              <w:rPr>
                <w:rFonts w:eastAsia="Times New Roman"/>
                <w:b/>
                <w:bCs/>
                <w:color w:val="000000"/>
                <w:sz w:val="16"/>
                <w:szCs w:val="16"/>
              </w:rPr>
              <w:t>Solutions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Total</w:t>
            </w:r>
          </w:p>
        </w:tc>
      </w:tr>
      <w:tr w:rsidR="00000000">
        <w:tc>
          <w:tcPr>
            <w:tcW w:w="0" w:type="auto"/>
            <w:gridSpan w:val="7"/>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77"/>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billions)</w:t>
            </w:r>
          </w:p>
        </w:tc>
      </w:tr>
      <w:tr w:rsidR="00000000">
        <w:tc>
          <w:tcPr>
            <w:tcW w:w="0" w:type="auto"/>
            <w:gridSpan w:val="7"/>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Balance, December 31, 2019</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gridSpan w:val="7"/>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177.2 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60.1 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gridSpan w:val="7"/>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258.3 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gridSpan w:val="3"/>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47.1 </w:t>
            </w:r>
          </w:p>
        </w:tc>
        <w:tc>
          <w:tcPr>
            <w:tcW w:w="0" w:type="auto"/>
            <w:gridSpan w:val="2"/>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gridSpan w:val="3"/>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70.9 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622.9 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c>
          <w:tcPr>
            <w:tcW w:w="0" w:type="auto"/>
            <w:gridSpan w:val="7"/>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Long-term flows:</w:t>
            </w:r>
          </w:p>
        </w:tc>
        <w:tc>
          <w:tcPr>
            <w:tcW w:w="0" w:type="auto"/>
            <w:gridSpan w:val="9"/>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8"/>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9"/>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9"/>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10"/>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8"/>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5"/>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c>
          <w:tcPr>
            <w:tcW w:w="0" w:type="auto"/>
            <w:gridSpan w:val="7"/>
            <w:shd w:val="clear" w:color="auto" w:fill="CCEE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Sales/new accounts</w:t>
            </w:r>
          </w:p>
        </w:tc>
        <w:tc>
          <w:tcPr>
            <w:tcW w:w="0" w:type="auto"/>
            <w:gridSpan w:val="8"/>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51.4 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54.3 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10.3 </w:t>
            </w:r>
          </w:p>
        </w:tc>
        <w:tc>
          <w:tcPr>
            <w:tcW w:w="0" w:type="auto"/>
            <w:gridSpan w:val="2"/>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124.1 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c>
          <w:tcPr>
            <w:tcW w:w="0" w:type="auto"/>
            <w:gridSpan w:val="7"/>
            <w:shd w:val="clear" w:color="auto" w:fill="FFFF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Redemptions/terminations</w:t>
            </w:r>
          </w:p>
        </w:tc>
        <w:tc>
          <w:tcPr>
            <w:tcW w:w="0" w:type="auto"/>
            <w:gridSpan w:val="8"/>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(36.7)</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(1.9)</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(58.3)</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(9.5)</w:t>
            </w:r>
          </w:p>
        </w:tc>
        <w:tc>
          <w:tcPr>
            <w:tcW w:w="0" w:type="auto"/>
            <w:gridSpan w:val="2"/>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(0.3)</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(2.6)</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(109.3)</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c>
          <w:tcPr>
            <w:tcW w:w="0" w:type="auto"/>
            <w:gridSpan w:val="7"/>
            <w:shd w:val="clear" w:color="auto" w:fill="CCEE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Cash flow/unreinvested dividends</w:t>
            </w:r>
          </w:p>
        </w:tc>
        <w:tc>
          <w:tcPr>
            <w:tcW w:w="0" w:type="auto"/>
            <w:gridSpan w:val="8"/>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(7.3)</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(4.4)</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(5.8)</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0.2 </w:t>
            </w:r>
          </w:p>
        </w:tc>
        <w:tc>
          <w:tcPr>
            <w:tcW w:w="0" w:type="auto"/>
            <w:gridSpan w:val="2"/>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(17.4)</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c>
          <w:tcPr>
            <w:tcW w:w="0" w:type="auto"/>
            <w:gridSpan w:val="7"/>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Net long-term inflows (outflows) (3)</w:t>
            </w:r>
          </w:p>
        </w:tc>
        <w:tc>
          <w:tcPr>
            <w:tcW w:w="0" w:type="auto"/>
            <w:gridSpan w:val="8"/>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7"/>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8"/>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8"/>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1.0 </w:t>
            </w:r>
          </w:p>
        </w:tc>
        <w:tc>
          <w:tcPr>
            <w:tcW w:w="0" w:type="auto"/>
            <w:gridSpan w:val="2"/>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4"/>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(2.6)</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c>
          <w:tcPr>
            <w:tcW w:w="0" w:type="auto"/>
            <w:gridSpan w:val="7"/>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Acquisitions</w:t>
            </w:r>
          </w:p>
        </w:tc>
        <w:tc>
          <w:tcPr>
            <w:tcW w:w="0" w:type="auto"/>
            <w:gridSpan w:val="8"/>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gridSpan w:val="2"/>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0.2 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0.2 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c>
          <w:tcPr>
            <w:tcW w:w="0" w:type="auto"/>
            <w:gridSpan w:val="7"/>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Market appreciation</w:t>
            </w:r>
          </w:p>
        </w:tc>
        <w:tc>
          <w:tcPr>
            <w:tcW w:w="0" w:type="auto"/>
            <w:gridSpan w:val="8"/>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33.2 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2.2 </w:t>
            </w:r>
          </w:p>
        </w:tc>
        <w:tc>
          <w:tcPr>
            <w:tcW w:w="0" w:type="auto"/>
            <w:gridSpan w:val="2"/>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0.8 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65.4 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c>
          <w:tcPr>
            <w:tcW w:w="0" w:type="auto"/>
            <w:gridSpan w:val="7"/>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Net change</w:t>
            </w:r>
          </w:p>
        </w:tc>
        <w:tc>
          <w:tcPr>
            <w:tcW w:w="0" w:type="auto"/>
            <w:gridSpan w:val="8"/>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7"/>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8"/>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8"/>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3.2 </w:t>
            </w:r>
          </w:p>
        </w:tc>
        <w:tc>
          <w:tcPr>
            <w:tcW w:w="0" w:type="auto"/>
            <w:gridSpan w:val="2"/>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4"/>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(0.8)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c>
          <w:tcPr>
            <w:tcW w:w="0" w:type="auto"/>
            <w:gridSpan w:val="7"/>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Balance, December 31, 2020</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gridSpan w:val="7"/>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217.8 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64.5 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gridSpan w:val="7"/>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263.2 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gridSpan w:val="3"/>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50.3 </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gridSpan w:val="3"/>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81.6 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685.9 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divId w:val="220601687"/>
        <w:rPr>
          <w:rFonts w:eastAsia="Times New Roman"/>
        </w:rPr>
      </w:pPr>
      <w:r>
        <w:rPr>
          <w:rFonts w:eastAsia="Times New Roman"/>
          <w:color w:val="000000"/>
          <w:sz w:val="20"/>
          <w:szCs w:val="20"/>
        </w:rPr>
        <w:t>______________</w:t>
      </w:r>
    </w:p>
    <w:p w:rsidR="00000000" w:rsidRDefault="005B0BC3">
      <w:pPr>
        <w:ind w:hanging="360"/>
        <w:divId w:val="609824638"/>
        <w:rPr>
          <w:rFonts w:eastAsia="Times New Roman"/>
        </w:rPr>
      </w:pPr>
      <w:r>
        <w:rPr>
          <w:rFonts w:eastAsia="Times New Roman"/>
          <w:color w:val="000000"/>
          <w:sz w:val="18"/>
          <w:szCs w:val="18"/>
        </w:rPr>
        <w:t>(</w:t>
      </w:r>
      <w:r>
        <w:rPr>
          <w:rFonts w:eastAsia="Times New Roman"/>
          <w:color w:val="000000"/>
          <w:sz w:val="18"/>
          <w:szCs w:val="18"/>
        </w:rPr>
        <w:t>1)Includes index and enhanced index services.</w:t>
      </w:r>
    </w:p>
    <w:p w:rsidR="00000000" w:rsidRDefault="005B0BC3">
      <w:pPr>
        <w:ind w:hanging="360"/>
        <w:divId w:val="355694895"/>
        <w:rPr>
          <w:rFonts w:eastAsia="Times New Roman"/>
        </w:rPr>
      </w:pPr>
      <w:r>
        <w:rPr>
          <w:rFonts w:eastAsia="Times New Roman"/>
          <w:color w:val="000000"/>
          <w:sz w:val="18"/>
          <w:szCs w:val="18"/>
        </w:rPr>
        <w:t>(2)Includes certain multi-asset solutions and services not included in equity or fixed income services. Prior to December 31, 2020, this investment service line was disclosed as "Other." In order to reflect the</w:t>
      </w:r>
      <w:r>
        <w:rPr>
          <w:rFonts w:eastAsia="Times New Roman"/>
          <w:color w:val="000000"/>
          <w:sz w:val="18"/>
          <w:szCs w:val="18"/>
        </w:rPr>
        <w:t xml:space="preserve"> increasing significance of our Alternatives and Multi-Asset Solutions services, we updated the investment service line to "Alternatives and Multi-Asset Solutions."</w:t>
      </w:r>
    </w:p>
    <w:p w:rsidR="00000000" w:rsidRDefault="005B0BC3">
      <w:pPr>
        <w:ind w:hanging="360"/>
        <w:divId w:val="880628848"/>
        <w:rPr>
          <w:rFonts w:eastAsia="Times New Roman"/>
        </w:rPr>
      </w:pPr>
      <w:r>
        <w:rPr>
          <w:rFonts w:eastAsia="Times New Roman"/>
          <w:color w:val="000000"/>
          <w:sz w:val="18"/>
          <w:szCs w:val="18"/>
        </w:rPr>
        <w:t>(3)Fixed income – taxable investment service net flows include $1.3 billion and $11.8 billi</w:t>
      </w:r>
      <w:r>
        <w:rPr>
          <w:rFonts w:eastAsia="Times New Roman"/>
          <w:color w:val="000000"/>
          <w:sz w:val="18"/>
          <w:szCs w:val="18"/>
        </w:rPr>
        <w:t>on of AXA redemptions of certain low-fee fixed income mandates for 2021 and 2020, respectively.</w:t>
      </w:r>
    </w:p>
    <w:p w:rsidR="00000000" w:rsidRDefault="005B0BC3">
      <w:pPr>
        <w:ind w:firstLine="360"/>
        <w:divId w:val="2018144324"/>
        <w:rPr>
          <w:rFonts w:eastAsia="Times New Roman"/>
        </w:rPr>
      </w:pPr>
      <w:r>
        <w:rPr>
          <w:rFonts w:eastAsia="Times New Roman"/>
          <w:color w:val="000000"/>
          <w:sz w:val="20"/>
          <w:szCs w:val="20"/>
        </w:rPr>
        <w:t xml:space="preserve">Net long-term inflows (outflows) for actively managed investment services as compared to passively managed investment services for the years ended December 31, </w:t>
      </w:r>
      <w:r>
        <w:rPr>
          <w:rFonts w:eastAsia="Times New Roman"/>
          <w:color w:val="000000"/>
          <w:sz w:val="20"/>
          <w:szCs w:val="20"/>
        </w:rPr>
        <w:t>2021, 2020 and 2019, respectively, are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4657"/>
        <w:gridCol w:w="37"/>
        <w:gridCol w:w="120"/>
        <w:gridCol w:w="989"/>
        <w:gridCol w:w="36"/>
        <w:gridCol w:w="36"/>
        <w:gridCol w:w="36"/>
        <w:gridCol w:w="36"/>
        <w:gridCol w:w="120"/>
        <w:gridCol w:w="950"/>
        <w:gridCol w:w="36"/>
        <w:gridCol w:w="36"/>
        <w:gridCol w:w="36"/>
        <w:gridCol w:w="36"/>
        <w:gridCol w:w="120"/>
        <w:gridCol w:w="951"/>
        <w:gridCol w:w="36"/>
      </w:tblGrid>
      <w:tr w:rsidR="00000000">
        <w:trPr>
          <w:divId w:val="1264194369"/>
        </w:trPr>
        <w:tc>
          <w:tcPr>
            <w:tcW w:w="50" w:type="pct"/>
            <w:vAlign w:val="center"/>
            <w:hideMark/>
          </w:tcPr>
          <w:p w:rsidR="00000000" w:rsidRDefault="005B0BC3">
            <w:pPr>
              <w:ind w:firstLine="360"/>
              <w:rPr>
                <w:rFonts w:eastAsia="Times New Roman"/>
              </w:rPr>
            </w:pPr>
          </w:p>
        </w:tc>
        <w:tc>
          <w:tcPr>
            <w:tcW w:w="283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264194369"/>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r>
      <w:tr w:rsidR="00000000">
        <w:trPr>
          <w:divId w:val="1264194369"/>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1264194369"/>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billions)</w:t>
            </w:r>
          </w:p>
        </w:tc>
      </w:tr>
      <w:tr w:rsidR="00000000">
        <w:trPr>
          <w:divId w:val="1264194369"/>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Actively Managed</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264194369"/>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Equity</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264194369"/>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Fixed Income</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(3.9)</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(8.8)</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264194369"/>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Alternatives/Multi-Asset Solutions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264194369"/>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26.3</w:t>
            </w:r>
            <w:r>
              <w:rPr>
                <w:rFonts w:eastAsia="Times New Roman"/>
                <w:color w:val="000000"/>
                <w:sz w:val="20"/>
                <w:szCs w:val="20"/>
              </w:rPr>
              <w:t>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3.1 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29.7 </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jc w:val="center"/>
        <w:divId w:val="640692527"/>
        <w:rPr>
          <w:rFonts w:eastAsia="Times New Roman"/>
        </w:rPr>
      </w:pPr>
      <w:r>
        <w:rPr>
          <w:rFonts w:eastAsia="Times New Roman"/>
          <w:color w:val="000000"/>
          <w:sz w:val="20"/>
          <w:szCs w:val="20"/>
        </w:rPr>
        <w:t>28</w:t>
      </w:r>
    </w:p>
    <w:p w:rsidR="00000000" w:rsidRDefault="005B0BC3">
      <w:pPr>
        <w:rPr>
          <w:rFonts w:eastAsia="Times New Roman"/>
        </w:rPr>
      </w:pPr>
      <w:r>
        <w:rPr>
          <w:rFonts w:eastAsia="Times New Roman"/>
        </w:rPr>
        <w:pict>
          <v:rect id="_x0000_i1063" style="width:0;height:1.5pt" o:hralign="center" o:hrstd="t" o:hr="t" fillcolor="#a0a0a0" stroked="f"/>
        </w:pict>
      </w:r>
    </w:p>
    <w:p w:rsidR="00000000" w:rsidRDefault="005B0BC3">
      <w:pPr>
        <w:divId w:val="1300722893"/>
        <w:rPr>
          <w:rFonts w:eastAsia="Times New Roman"/>
        </w:rPr>
      </w:pPr>
      <w:hyperlink w:anchor="i2ac35847634046b3a89f93d9b422e8f5_421" w:history="1">
        <w:r>
          <w:rPr>
            <w:rStyle w:val="a3"/>
            <w:rFonts w:eastAsia="Times New Roman"/>
            <w:b/>
            <w:bCs/>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8"/>
        <w:gridCol w:w="4657"/>
        <w:gridCol w:w="37"/>
        <w:gridCol w:w="120"/>
        <w:gridCol w:w="989"/>
        <w:gridCol w:w="36"/>
        <w:gridCol w:w="36"/>
        <w:gridCol w:w="36"/>
        <w:gridCol w:w="36"/>
        <w:gridCol w:w="120"/>
        <w:gridCol w:w="950"/>
        <w:gridCol w:w="36"/>
        <w:gridCol w:w="36"/>
        <w:gridCol w:w="36"/>
        <w:gridCol w:w="36"/>
        <w:gridCol w:w="120"/>
        <w:gridCol w:w="951"/>
        <w:gridCol w:w="36"/>
      </w:tblGrid>
      <w:tr w:rsidR="00000000">
        <w:trPr>
          <w:divId w:val="1735542080"/>
        </w:trPr>
        <w:tc>
          <w:tcPr>
            <w:tcW w:w="50" w:type="pct"/>
            <w:vAlign w:val="center"/>
            <w:hideMark/>
          </w:tcPr>
          <w:p w:rsidR="00000000" w:rsidRDefault="005B0BC3">
            <w:pPr>
              <w:rPr>
                <w:rFonts w:eastAsia="Times New Roman"/>
              </w:rPr>
            </w:pPr>
          </w:p>
        </w:tc>
        <w:tc>
          <w:tcPr>
            <w:tcW w:w="283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735542080"/>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r>
      <w:tr w:rsidR="00000000">
        <w:trPr>
          <w:divId w:val="1735542080"/>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1735542080"/>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billions)</w:t>
            </w:r>
          </w:p>
        </w:tc>
      </w:tr>
      <w:tr w:rsidR="00000000">
        <w:trPr>
          <w:divId w:val="1735542080"/>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Passively Managed</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735542080"/>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Equity</w:t>
            </w: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(7.5)</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(4.6)</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(4.1)</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35542080"/>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Fixed Income</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(0.9)</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35542080"/>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Alternatives/Multi-Asset Solutions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0.5 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0.5 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35542080"/>
        </w:trPr>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(0.2)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35542080"/>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Total net long-term inflows (outflows)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26.1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25.2 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divId w:val="1222060991"/>
        <w:rPr>
          <w:rFonts w:eastAsia="Times New Roman"/>
        </w:rPr>
      </w:pPr>
    </w:p>
    <w:p w:rsidR="00000000" w:rsidRDefault="005B0BC3">
      <w:pPr>
        <w:ind w:firstLine="360"/>
        <w:divId w:val="1478188504"/>
        <w:rPr>
          <w:rFonts w:eastAsia="Times New Roman"/>
        </w:rPr>
      </w:pPr>
      <w:r>
        <w:rPr>
          <w:rFonts w:eastAsia="Times New Roman"/>
          <w:color w:val="000000"/>
          <w:sz w:val="20"/>
          <w:szCs w:val="20"/>
        </w:rPr>
        <w:t>Average AUM by distribution channel and investment service were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4657"/>
        <w:gridCol w:w="37"/>
        <w:gridCol w:w="120"/>
        <w:gridCol w:w="989"/>
        <w:gridCol w:w="36"/>
        <w:gridCol w:w="36"/>
        <w:gridCol w:w="36"/>
        <w:gridCol w:w="36"/>
        <w:gridCol w:w="120"/>
        <w:gridCol w:w="950"/>
        <w:gridCol w:w="36"/>
        <w:gridCol w:w="36"/>
        <w:gridCol w:w="36"/>
        <w:gridCol w:w="36"/>
        <w:gridCol w:w="120"/>
        <w:gridCol w:w="951"/>
        <w:gridCol w:w="36"/>
      </w:tblGrid>
      <w:tr w:rsidR="00000000">
        <w:trPr>
          <w:divId w:val="167864754"/>
        </w:trPr>
        <w:tc>
          <w:tcPr>
            <w:tcW w:w="50" w:type="pct"/>
            <w:vAlign w:val="center"/>
            <w:hideMark/>
          </w:tcPr>
          <w:p w:rsidR="00000000" w:rsidRDefault="005B0BC3">
            <w:pPr>
              <w:ind w:firstLine="360"/>
              <w:rPr>
                <w:rFonts w:eastAsia="Times New Roman"/>
              </w:rPr>
            </w:pPr>
          </w:p>
        </w:tc>
        <w:tc>
          <w:tcPr>
            <w:tcW w:w="283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67864754"/>
        </w:trPr>
        <w:tc>
          <w:tcPr>
            <w:tcW w:w="0" w:type="auto"/>
            <w:gridSpan w:val="3"/>
            <w:tcMar>
              <w:top w:w="30" w:type="dxa"/>
              <w:left w:w="20" w:type="dxa"/>
              <w:bottom w:w="30" w:type="dxa"/>
              <w:right w:w="20" w:type="dxa"/>
            </w:tcMar>
            <w:vAlign w:val="bottom"/>
            <w:hideMark/>
          </w:tcPr>
          <w:p w:rsidR="00000000" w:rsidRDefault="005B0BC3">
            <w:pPr>
              <w:spacing w:after="100"/>
              <w:divId w:val="1176188554"/>
              <w:rPr>
                <w:rFonts w:eastAsia="Times New Roman"/>
              </w:rPr>
            </w:pPr>
            <w:r>
              <w:rPr>
                <w:rFonts w:eastAsia="Times New Roman"/>
                <w:b/>
                <w:bCs/>
                <w:color w:val="000000"/>
                <w:sz w:val="16"/>
                <w:szCs w:val="16"/>
              </w:rPr>
              <w:t> </w:t>
            </w:r>
          </w:p>
        </w:tc>
        <w:tc>
          <w:tcPr>
            <w:tcW w:w="0" w:type="auto"/>
            <w:gridSpan w:val="15"/>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r>
      <w:tr w:rsidR="00000000">
        <w:trPr>
          <w:divId w:val="167864754"/>
        </w:trPr>
        <w:tc>
          <w:tcPr>
            <w:tcW w:w="0" w:type="auto"/>
            <w:gridSpan w:val="3"/>
            <w:tcMar>
              <w:top w:w="30" w:type="dxa"/>
              <w:left w:w="20" w:type="dxa"/>
              <w:bottom w:w="30" w:type="dxa"/>
              <w:right w:w="20" w:type="dxa"/>
            </w:tcMar>
            <w:vAlign w:val="bottom"/>
            <w:hideMark/>
          </w:tcPr>
          <w:p w:rsidR="00000000" w:rsidRDefault="005B0BC3">
            <w:pPr>
              <w:spacing w:after="100"/>
              <w:divId w:val="1817255907"/>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167864754"/>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billions)</w:t>
            </w:r>
          </w:p>
        </w:tc>
      </w:tr>
      <w:tr w:rsidR="00000000">
        <w:trPr>
          <w:divId w:val="167864754"/>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b/>
                <w:bCs/>
                <w:i/>
                <w:iCs/>
                <w:color w:val="000000"/>
                <w:sz w:val="20"/>
                <w:szCs w:val="20"/>
              </w:rPr>
              <w:t>Distribution Channel:</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67864754"/>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Institutions</w:t>
            </w:r>
          </w:p>
        </w:tc>
        <w:tc>
          <w:tcPr>
            <w:tcW w:w="0" w:type="auto"/>
            <w:shd w:val="clear" w:color="auto" w:fill="CCEE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325.7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285.9 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265.4 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67864754"/>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Retail</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291.0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236.5 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212.3 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67864754"/>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Private Wealth Management</w:t>
            </w: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114.1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97.1 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96.5 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67864754"/>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Total</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730.8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619.5 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574.2 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67864754"/>
        </w:trPr>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67864754"/>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b/>
                <w:bCs/>
                <w:i/>
                <w:iCs/>
                <w:color w:val="000000"/>
                <w:sz w:val="20"/>
                <w:szCs w:val="20"/>
              </w:rPr>
              <w:t>Investment Service:</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67864754"/>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Equity Actively Managed</w:t>
            </w:r>
          </w:p>
        </w:tc>
        <w:tc>
          <w:tcPr>
            <w:tcW w:w="0" w:type="auto"/>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252.2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179.8 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158.4 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67864754"/>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Equity Passively Managed (1)</w:t>
            </w: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68.7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57.1 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56.4 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67864754"/>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Fixed Income Actively Managed – Taxable</w:t>
            </w: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253.1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254.4 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239.7 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67864754"/>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Fixed Income Actively Managed – Tax-exempt</w:t>
            </w: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53.8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47.9 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44.6 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67864754"/>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Fixed Income Passively Managed (1)</w:t>
            </w: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9.6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67864754"/>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Alternatives/Multi-Asset Solutions (2)</w:t>
            </w: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93.4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70.9 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65.7 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67864754"/>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730.8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619.5 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574.2 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ind w:hanging="360"/>
        <w:divId w:val="1840340373"/>
        <w:rPr>
          <w:rFonts w:eastAsia="Times New Roman"/>
        </w:rPr>
      </w:pPr>
      <w:r>
        <w:rPr>
          <w:rFonts w:eastAsia="Times New Roman"/>
          <w:color w:val="000000"/>
          <w:sz w:val="18"/>
          <w:szCs w:val="18"/>
        </w:rPr>
        <w:t>___________</w:t>
      </w:r>
    </w:p>
    <w:p w:rsidR="00000000" w:rsidRDefault="005B0BC3">
      <w:pPr>
        <w:ind w:hanging="360"/>
        <w:divId w:val="880745321"/>
        <w:rPr>
          <w:rFonts w:eastAsia="Times New Roman"/>
        </w:rPr>
      </w:pPr>
      <w:r>
        <w:rPr>
          <w:rFonts w:eastAsia="Times New Roman"/>
          <w:color w:val="000000"/>
          <w:sz w:val="18"/>
          <w:szCs w:val="18"/>
        </w:rPr>
        <w:t>(1)Includes index and enhanced index services.</w:t>
      </w:r>
    </w:p>
    <w:p w:rsidR="00000000" w:rsidRDefault="005B0BC3">
      <w:pPr>
        <w:ind w:hanging="360"/>
        <w:divId w:val="201022278"/>
        <w:rPr>
          <w:rFonts w:eastAsia="Times New Roman"/>
        </w:rPr>
      </w:pPr>
      <w:r>
        <w:rPr>
          <w:rFonts w:eastAsia="Times New Roman"/>
          <w:color w:val="000000"/>
          <w:sz w:val="18"/>
          <w:szCs w:val="18"/>
        </w:rPr>
        <w:t>(2)</w:t>
      </w:r>
      <w:r>
        <w:rPr>
          <w:rFonts w:eastAsia="Times New Roman"/>
          <w:color w:val="000000"/>
          <w:sz w:val="18"/>
          <w:szCs w:val="18"/>
        </w:rPr>
        <w:t xml:space="preserve">Includes certain multi-asset solutions and services not included in equity or fixed income services. Prior to December 31, 2020, this investment service line was disclosed as "Other." In order to reflect the increasing significance of our Alternatives and </w:t>
      </w:r>
      <w:r>
        <w:rPr>
          <w:rFonts w:eastAsia="Times New Roman"/>
          <w:color w:val="000000"/>
          <w:sz w:val="18"/>
          <w:szCs w:val="18"/>
        </w:rPr>
        <w:t>Multi-Asset Solutions services, we updated the investment service line to "Alternatives and Multi-Asset Solutions."</w:t>
      </w:r>
    </w:p>
    <w:p w:rsidR="00000000" w:rsidRDefault="005B0BC3">
      <w:pPr>
        <w:jc w:val="both"/>
        <w:divId w:val="595409148"/>
        <w:rPr>
          <w:rFonts w:eastAsia="Times New Roman"/>
        </w:rPr>
      </w:pPr>
      <w:r>
        <w:rPr>
          <w:rFonts w:eastAsia="Times New Roman"/>
          <w:b/>
          <w:bCs/>
          <w:i/>
          <w:iCs/>
          <w:color w:val="000000"/>
          <w:sz w:val="20"/>
          <w:szCs w:val="20"/>
        </w:rPr>
        <w:t>Fees</w:t>
      </w:r>
    </w:p>
    <w:p w:rsidR="00000000" w:rsidRDefault="005B0BC3">
      <w:pPr>
        <w:ind w:firstLine="360"/>
        <w:divId w:val="994449968"/>
        <w:rPr>
          <w:rFonts w:eastAsia="Times New Roman"/>
        </w:rPr>
      </w:pPr>
      <w:r>
        <w:rPr>
          <w:rFonts w:eastAsia="Times New Roman"/>
          <w:color w:val="000000"/>
          <w:sz w:val="20"/>
          <w:szCs w:val="20"/>
        </w:rPr>
        <w:t>Generally, AB is compensated for its investment services on the basis of investment advisory and services fees calculated as a percenta</w:t>
      </w:r>
      <w:r>
        <w:rPr>
          <w:rFonts w:eastAsia="Times New Roman"/>
          <w:color w:val="000000"/>
          <w:sz w:val="20"/>
          <w:szCs w:val="20"/>
        </w:rPr>
        <w:t>ge of AUM. Bernstein Research Services revenue consists principally of commissions received for providing equity research and brokerage-related services to institutional investors. The components of net revenues are as follows and are prior to intercompany</w:t>
      </w:r>
      <w:r>
        <w:rPr>
          <w:rFonts w:eastAsia="Times New Roman"/>
          <w:color w:val="000000"/>
          <w:sz w:val="20"/>
          <w:szCs w:val="20"/>
        </w:rPr>
        <w:t xml:space="preserve"> eliminations:</w:t>
      </w:r>
    </w:p>
    <w:tbl>
      <w:tblPr>
        <w:tblW w:w="5000" w:type="pct"/>
        <w:tblCellMar>
          <w:top w:w="15" w:type="dxa"/>
          <w:left w:w="15" w:type="dxa"/>
          <w:bottom w:w="15" w:type="dxa"/>
          <w:right w:w="15" w:type="dxa"/>
        </w:tblCellMar>
        <w:tblLook w:val="04A0" w:firstRow="1" w:lastRow="0" w:firstColumn="1" w:lastColumn="0" w:noHBand="0" w:noVBand="1"/>
      </w:tblPr>
      <w:tblGrid>
        <w:gridCol w:w="39"/>
        <w:gridCol w:w="4656"/>
        <w:gridCol w:w="38"/>
        <w:gridCol w:w="121"/>
        <w:gridCol w:w="989"/>
        <w:gridCol w:w="36"/>
        <w:gridCol w:w="36"/>
        <w:gridCol w:w="36"/>
        <w:gridCol w:w="36"/>
        <w:gridCol w:w="121"/>
        <w:gridCol w:w="948"/>
        <w:gridCol w:w="36"/>
        <w:gridCol w:w="36"/>
        <w:gridCol w:w="36"/>
        <w:gridCol w:w="36"/>
        <w:gridCol w:w="121"/>
        <w:gridCol w:w="949"/>
        <w:gridCol w:w="36"/>
      </w:tblGrid>
      <w:tr w:rsidR="00000000">
        <w:trPr>
          <w:divId w:val="187836862"/>
        </w:trPr>
        <w:tc>
          <w:tcPr>
            <w:tcW w:w="50" w:type="pct"/>
            <w:vAlign w:val="center"/>
            <w:hideMark/>
          </w:tcPr>
          <w:p w:rsidR="00000000" w:rsidRDefault="005B0BC3">
            <w:pPr>
              <w:ind w:firstLine="360"/>
              <w:rPr>
                <w:rFonts w:eastAsia="Times New Roman"/>
              </w:rPr>
            </w:pPr>
          </w:p>
        </w:tc>
        <w:tc>
          <w:tcPr>
            <w:tcW w:w="283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87836862"/>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r>
      <w:tr w:rsidR="00000000">
        <w:trPr>
          <w:divId w:val="187836862"/>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187836862"/>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187836862"/>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Investment advisory and services fees:</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87836862"/>
        </w:trPr>
        <w:tc>
          <w:tcPr>
            <w:tcW w:w="0" w:type="auto"/>
            <w:gridSpan w:val="3"/>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Institutions:</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87836862"/>
        </w:trPr>
        <w:tc>
          <w:tcPr>
            <w:tcW w:w="0" w:type="auto"/>
            <w:gridSpan w:val="3"/>
            <w:shd w:val="clear" w:color="auto" w:fill="CCEEFF"/>
            <w:tcMar>
              <w:top w:w="30" w:type="dxa"/>
              <w:left w:w="38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Base fees</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458 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451 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87836862"/>
        </w:trPr>
        <w:tc>
          <w:tcPr>
            <w:tcW w:w="0" w:type="auto"/>
            <w:gridSpan w:val="3"/>
            <w:shd w:val="clear" w:color="auto" w:fill="FFFFFF"/>
            <w:tcMar>
              <w:top w:w="30" w:type="dxa"/>
              <w:left w:w="38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Performance-based fees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87836862"/>
        </w:trPr>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586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87836862"/>
        </w:trPr>
        <w:tc>
          <w:tcPr>
            <w:tcW w:w="0" w:type="auto"/>
            <w:gridSpan w:val="3"/>
            <w:shd w:val="clear" w:color="auto" w:fill="FFFF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Retail:</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87836862"/>
        </w:trPr>
        <w:tc>
          <w:tcPr>
            <w:tcW w:w="0" w:type="auto"/>
            <w:gridSpan w:val="3"/>
            <w:shd w:val="clear" w:color="auto" w:fill="CCEEFF"/>
            <w:tcMar>
              <w:top w:w="30" w:type="dxa"/>
              <w:left w:w="38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Base fees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1,187 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1,076 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87836862"/>
        </w:trPr>
        <w:tc>
          <w:tcPr>
            <w:tcW w:w="0" w:type="auto"/>
            <w:gridSpan w:val="3"/>
            <w:shd w:val="clear" w:color="auto" w:fill="FFFFFF"/>
            <w:tcMar>
              <w:top w:w="30" w:type="dxa"/>
              <w:left w:w="38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Performance-based fees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24</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23</w:t>
            </w:r>
          </w:p>
        </w:tc>
      </w:tr>
      <w:tr w:rsidR="00000000">
        <w:trPr>
          <w:divId w:val="187836862"/>
        </w:trPr>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1,493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jc w:val="center"/>
        <w:divId w:val="1739815378"/>
        <w:rPr>
          <w:rFonts w:eastAsia="Times New Roman"/>
        </w:rPr>
      </w:pPr>
      <w:r>
        <w:rPr>
          <w:rFonts w:eastAsia="Times New Roman"/>
          <w:color w:val="000000"/>
          <w:sz w:val="20"/>
          <w:szCs w:val="20"/>
        </w:rPr>
        <w:t>29</w:t>
      </w:r>
    </w:p>
    <w:p w:rsidR="00000000" w:rsidRDefault="005B0BC3">
      <w:pPr>
        <w:rPr>
          <w:rFonts w:eastAsia="Times New Roman"/>
        </w:rPr>
      </w:pPr>
      <w:r>
        <w:rPr>
          <w:rFonts w:eastAsia="Times New Roman"/>
        </w:rPr>
        <w:pict>
          <v:rect id="_x0000_i1064" style="width:0;height:1.5pt" o:hralign="center" o:hrstd="t" o:hr="t" fillcolor="#a0a0a0" stroked="f"/>
        </w:pict>
      </w:r>
    </w:p>
    <w:p w:rsidR="00000000" w:rsidRDefault="005B0BC3">
      <w:pPr>
        <w:divId w:val="1011640937"/>
        <w:rPr>
          <w:rFonts w:eastAsia="Times New Roman"/>
        </w:rPr>
      </w:pPr>
      <w:hyperlink w:anchor="i2ac35847634046b3a89f93d9b422e8f5_421" w:history="1">
        <w:r>
          <w:rPr>
            <w:rStyle w:val="a3"/>
            <w:rFonts w:eastAsia="Times New Roman"/>
            <w:b/>
            <w:bCs/>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8"/>
        <w:gridCol w:w="4657"/>
        <w:gridCol w:w="37"/>
        <w:gridCol w:w="120"/>
        <w:gridCol w:w="989"/>
        <w:gridCol w:w="36"/>
        <w:gridCol w:w="36"/>
        <w:gridCol w:w="36"/>
        <w:gridCol w:w="36"/>
        <w:gridCol w:w="120"/>
        <w:gridCol w:w="950"/>
        <w:gridCol w:w="36"/>
        <w:gridCol w:w="36"/>
        <w:gridCol w:w="36"/>
        <w:gridCol w:w="36"/>
        <w:gridCol w:w="120"/>
        <w:gridCol w:w="951"/>
        <w:gridCol w:w="36"/>
      </w:tblGrid>
      <w:tr w:rsidR="00000000">
        <w:trPr>
          <w:divId w:val="1902059002"/>
        </w:trPr>
        <w:tc>
          <w:tcPr>
            <w:tcW w:w="50" w:type="pct"/>
            <w:vAlign w:val="center"/>
            <w:hideMark/>
          </w:tcPr>
          <w:p w:rsidR="00000000" w:rsidRDefault="005B0BC3">
            <w:pPr>
              <w:rPr>
                <w:rFonts w:eastAsia="Times New Roman"/>
              </w:rPr>
            </w:pPr>
          </w:p>
        </w:tc>
        <w:tc>
          <w:tcPr>
            <w:tcW w:w="283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902059002"/>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r>
      <w:tr w:rsidR="00000000">
        <w:trPr>
          <w:divId w:val="1902059002"/>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1902059002"/>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1902059002"/>
        </w:trPr>
        <w:tc>
          <w:tcPr>
            <w:tcW w:w="0" w:type="auto"/>
            <w:gridSpan w:val="3"/>
            <w:shd w:val="clear" w:color="auto" w:fill="FFFF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Private Wealth Management:</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902059002"/>
        </w:trPr>
        <w:tc>
          <w:tcPr>
            <w:tcW w:w="0" w:type="auto"/>
            <w:gridSpan w:val="3"/>
            <w:shd w:val="clear" w:color="auto" w:fill="CCEEFF"/>
            <w:tcMar>
              <w:top w:w="30" w:type="dxa"/>
              <w:left w:w="38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Base fees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818 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845 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902059002"/>
        </w:trPr>
        <w:tc>
          <w:tcPr>
            <w:tcW w:w="0" w:type="auto"/>
            <w:gridSpan w:val="3"/>
            <w:shd w:val="clear" w:color="auto" w:fill="FFFFFF"/>
            <w:tcMar>
              <w:top w:w="30" w:type="dxa"/>
              <w:left w:w="38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Performance-based fees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902059002"/>
        </w:trPr>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1,116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902059002"/>
        </w:trPr>
        <w:tc>
          <w:tcPr>
            <w:tcW w:w="0" w:type="auto"/>
            <w:gridSpan w:val="3"/>
            <w:shd w:val="clear" w:color="auto" w:fill="FFFF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B0BC3">
            <w:pPr>
              <w:spacing w:after="100"/>
              <w:divId w:val="2136213823"/>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902059002"/>
        </w:trPr>
        <w:tc>
          <w:tcPr>
            <w:tcW w:w="0" w:type="auto"/>
            <w:gridSpan w:val="3"/>
            <w:shd w:val="clear" w:color="auto" w:fill="CCEEFF"/>
            <w:tcMar>
              <w:top w:w="30" w:type="dxa"/>
              <w:left w:w="38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Base fees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2,949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2,463 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2,372 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902059002"/>
        </w:trPr>
        <w:tc>
          <w:tcPr>
            <w:tcW w:w="0" w:type="auto"/>
            <w:gridSpan w:val="3"/>
            <w:shd w:val="clear" w:color="auto" w:fill="FFFFFF"/>
            <w:tcMar>
              <w:top w:w="30" w:type="dxa"/>
              <w:left w:w="38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Performance-based fees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246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902059002"/>
        </w:trPr>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3,195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2,595 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2,472 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902059002"/>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Bernstein Research Services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452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408 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902059002"/>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Distribution revenues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530 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455 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902059002"/>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Dividend and interest income</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902059002"/>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Investment (losses) gains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902059002"/>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Other revenues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108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902059002"/>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revenues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4,445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3,725 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3,576 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902059002"/>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Less: Interest expense</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902059002"/>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Net revenues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4,441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3,709 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3,519 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jc w:val="center"/>
        <w:divId w:val="270475350"/>
        <w:rPr>
          <w:rFonts w:eastAsia="Times New Roman"/>
        </w:rPr>
      </w:pPr>
      <w:r>
        <w:rPr>
          <w:rFonts w:eastAsia="Times New Roman"/>
          <w:color w:val="000000"/>
          <w:sz w:val="20"/>
          <w:szCs w:val="20"/>
        </w:rPr>
        <w:t>30</w:t>
      </w:r>
    </w:p>
    <w:p w:rsidR="00000000" w:rsidRDefault="005B0BC3">
      <w:pPr>
        <w:rPr>
          <w:rFonts w:eastAsia="Times New Roman"/>
        </w:rPr>
      </w:pPr>
      <w:r>
        <w:rPr>
          <w:rFonts w:eastAsia="Times New Roman"/>
        </w:rPr>
        <w:pict>
          <v:rect id="_x0000_i1065" style="width:0;height:1.5pt" o:hralign="center" o:hrstd="t" o:hr="t" fillcolor="#a0a0a0" stroked="f"/>
        </w:pict>
      </w:r>
    </w:p>
    <w:p w:rsidR="00000000" w:rsidRDefault="005B0BC3">
      <w:pPr>
        <w:divId w:val="1963685071"/>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divId w:val="1576427971"/>
        <w:rPr>
          <w:rFonts w:eastAsia="Times New Roman"/>
        </w:rPr>
      </w:pPr>
      <w:r>
        <w:rPr>
          <w:rFonts w:eastAsia="Times New Roman"/>
          <w:b/>
          <w:bCs/>
          <w:color w:val="000000"/>
          <w:sz w:val="20"/>
          <w:szCs w:val="20"/>
        </w:rPr>
        <w:t>Protection Solutions</w:t>
      </w:r>
    </w:p>
    <w:p w:rsidR="00000000" w:rsidRDefault="005B0BC3">
      <w:pPr>
        <w:ind w:firstLine="360"/>
        <w:divId w:val="759109776"/>
        <w:rPr>
          <w:rFonts w:eastAsia="Times New Roman"/>
        </w:rPr>
      </w:pPr>
      <w:r>
        <w:rPr>
          <w:rFonts w:eastAsia="Times New Roman"/>
          <w:color w:val="000000"/>
          <w:sz w:val="20"/>
          <w:szCs w:val="20"/>
        </w:rPr>
        <w:t xml:space="preserve">Our Protection Solutions segment includes our life insurance and employee benefits businesses. We have a long history of </w:t>
      </w:r>
      <w:r>
        <w:rPr>
          <w:rFonts w:eastAsia="Times New Roman"/>
          <w:color w:val="000000"/>
          <w:sz w:val="20"/>
          <w:szCs w:val="20"/>
        </w:rPr>
        <w:t>providing life insurance products to help affluent and high net worth individuals and small and medium-sized business owners protect and transfer their wealth. We are currently focused on the relatively less capital-intensive asset accumulation segments of</w:t>
      </w:r>
      <w:r>
        <w:rPr>
          <w:rFonts w:eastAsia="Times New Roman"/>
          <w:color w:val="000000"/>
          <w:sz w:val="20"/>
          <w:szCs w:val="20"/>
        </w:rPr>
        <w:t xml:space="preserve"> the market, with leading offerings in the VUL market. </w:t>
      </w:r>
    </w:p>
    <w:p w:rsidR="00000000" w:rsidRDefault="005B0BC3">
      <w:pPr>
        <w:ind w:firstLine="360"/>
        <w:divId w:val="1840389398"/>
        <w:rPr>
          <w:rFonts w:eastAsia="Times New Roman"/>
        </w:rPr>
      </w:pPr>
      <w:r>
        <w:rPr>
          <w:rFonts w:eastAsia="Times New Roman"/>
          <w:color w:val="000000"/>
          <w:sz w:val="20"/>
          <w:szCs w:val="20"/>
        </w:rPr>
        <w:t>We offer a targeted range of life insurance products aimed at serving the financial needs of our clients throughout their lives. Our product offerings include VUL, IUL and term life products, which re</w:t>
      </w:r>
      <w:r>
        <w:rPr>
          <w:rFonts w:eastAsia="Times New Roman"/>
          <w:color w:val="000000"/>
          <w:sz w:val="20"/>
          <w:szCs w:val="20"/>
        </w:rPr>
        <w:t>presented 80%, 12% and 8% of our total life insurance annualized premium, respectively, for the year ended December 31, 2021. Our products are distributed through Equitable Advisors and select third-party firms. We benefit from a long-term, stable distribu</w:t>
      </w:r>
      <w:r>
        <w:rPr>
          <w:rFonts w:eastAsia="Times New Roman"/>
          <w:color w:val="000000"/>
          <w:sz w:val="20"/>
          <w:szCs w:val="20"/>
        </w:rPr>
        <w:t>tion relationship with Equitable Advisors, with Equitable Advisors representing approximately 77% of our total life insurance sales for the year ended December 31, 2021.</w:t>
      </w:r>
    </w:p>
    <w:p w:rsidR="00000000" w:rsidRDefault="005B0BC3">
      <w:pPr>
        <w:ind w:firstLine="360"/>
        <w:divId w:val="1675918401"/>
        <w:rPr>
          <w:rFonts w:eastAsia="Times New Roman"/>
        </w:rPr>
      </w:pPr>
      <w:r>
        <w:rPr>
          <w:rFonts w:eastAsia="Times New Roman"/>
          <w:color w:val="000000"/>
          <w:sz w:val="20"/>
          <w:szCs w:val="20"/>
        </w:rPr>
        <w:t>In 2015, we entered the employee benefits market focusing on small and medium-sized bu</w:t>
      </w:r>
      <w:r>
        <w:rPr>
          <w:rFonts w:eastAsia="Times New Roman"/>
          <w:color w:val="000000"/>
          <w:sz w:val="20"/>
          <w:szCs w:val="20"/>
        </w:rPr>
        <w:t xml:space="preserve">sinesses, a target market for our life insurance and Group Retirement 401(k) businesses. Our core products consist of Group Life Insurance (including Accidental Death &amp; Dismemberment), Supplemental Life, Dental, Vision, Short-Term Disability and Long-Term </w:t>
      </w:r>
      <w:r>
        <w:rPr>
          <w:rFonts w:eastAsia="Times New Roman"/>
          <w:color w:val="000000"/>
          <w:sz w:val="20"/>
          <w:szCs w:val="20"/>
        </w:rPr>
        <w:t>Disability. In 2020, we launched our voluntary products including Critical Illness and Accident. Our Employee Benefits’ solutions are distributed through the traditional broker channel, strategic partnerships (medical partners, professional employer associ</w:t>
      </w:r>
      <w:r>
        <w:rPr>
          <w:rFonts w:eastAsia="Times New Roman"/>
          <w:color w:val="000000"/>
          <w:sz w:val="20"/>
          <w:szCs w:val="20"/>
        </w:rPr>
        <w:t>ations (PEOs), and associations), General Agencies, TPAs and Retail Equitable Advisors. We believe our EB360 technology platform is a differentiator and will further augment our solutions for small and medium-sized businesses.</w:t>
      </w:r>
    </w:p>
    <w:p w:rsidR="00000000" w:rsidRDefault="005B0BC3">
      <w:pPr>
        <w:divId w:val="2063946765"/>
        <w:rPr>
          <w:rFonts w:eastAsia="Times New Roman"/>
        </w:rPr>
      </w:pPr>
    </w:p>
    <w:p w:rsidR="00000000" w:rsidRDefault="005B0BC3">
      <w:pPr>
        <w:ind w:firstLine="360"/>
        <w:divId w:val="558369290"/>
        <w:rPr>
          <w:rFonts w:eastAsia="Times New Roman"/>
        </w:rPr>
      </w:pPr>
      <w:r>
        <w:rPr>
          <w:rFonts w:eastAsia="Times New Roman"/>
          <w:color w:val="000000"/>
          <w:sz w:val="20"/>
          <w:szCs w:val="20"/>
        </w:rPr>
        <w:t>Our Protection Solutions se</w:t>
      </w:r>
      <w:r>
        <w:rPr>
          <w:rFonts w:eastAsia="Times New Roman"/>
          <w:color w:val="000000"/>
          <w:sz w:val="20"/>
          <w:szCs w:val="20"/>
        </w:rPr>
        <w:t>gment provides strong cash flows generated by our in-force book and capital diversification benefits. The primary sources of revenue are premiums, investment income, asset-based fees (investment management and 12b-1 fees), and policy charges (expense loads</w:t>
      </w:r>
      <w:r>
        <w:rPr>
          <w:rFonts w:eastAsia="Times New Roman"/>
          <w:color w:val="000000"/>
          <w:sz w:val="20"/>
          <w:szCs w:val="20"/>
        </w:rPr>
        <w:t>, surrender charges and mortality charges), as well as fees collected from Equitable Advisors non-proprietary sales through Equitable Network.</w:t>
      </w:r>
    </w:p>
    <w:p w:rsidR="00000000" w:rsidRDefault="005B0BC3">
      <w:pPr>
        <w:jc w:val="both"/>
        <w:divId w:val="773134846"/>
        <w:rPr>
          <w:rFonts w:eastAsia="Times New Roman"/>
        </w:rPr>
      </w:pPr>
      <w:r>
        <w:rPr>
          <w:rFonts w:eastAsia="Times New Roman"/>
          <w:b/>
          <w:bCs/>
          <w:i/>
          <w:iCs/>
          <w:color w:val="000000"/>
          <w:sz w:val="20"/>
          <w:szCs w:val="20"/>
        </w:rPr>
        <w:t>Life Insurance</w:t>
      </w:r>
    </w:p>
    <w:p w:rsidR="00000000" w:rsidRDefault="005B0BC3">
      <w:pPr>
        <w:ind w:firstLine="360"/>
        <w:divId w:val="786120801"/>
        <w:rPr>
          <w:rFonts w:eastAsia="Times New Roman"/>
        </w:rPr>
      </w:pPr>
      <w:r>
        <w:rPr>
          <w:rFonts w:eastAsia="Times New Roman"/>
          <w:color w:val="000000"/>
          <w:sz w:val="20"/>
          <w:szCs w:val="20"/>
        </w:rPr>
        <w:t>We have been serving the financial needs of our clients and their families since 1859. We have an established reputation in product innovation by pioneering the VUL market in 1976 and continuing today with our range of innovative product offerings.</w:t>
      </w:r>
    </w:p>
    <w:p w:rsidR="00000000" w:rsidRDefault="005B0BC3">
      <w:pPr>
        <w:divId w:val="1955745262"/>
        <w:rPr>
          <w:rFonts w:eastAsia="Times New Roman"/>
        </w:rPr>
      </w:pPr>
      <w:r>
        <w:rPr>
          <w:rFonts w:eastAsia="Times New Roman"/>
          <w:i/>
          <w:iCs/>
          <w:color w:val="000000"/>
          <w:sz w:val="20"/>
          <w:szCs w:val="20"/>
          <w:u w:val="single"/>
        </w:rPr>
        <w:t>Product</w:t>
      </w:r>
      <w:r>
        <w:rPr>
          <w:rFonts w:eastAsia="Times New Roman"/>
          <w:i/>
          <w:iCs/>
          <w:color w:val="000000"/>
          <w:sz w:val="20"/>
          <w:szCs w:val="20"/>
          <w:u w:val="single"/>
        </w:rPr>
        <w:t>s</w:t>
      </w:r>
    </w:p>
    <w:p w:rsidR="00000000" w:rsidRDefault="005B0BC3">
      <w:pPr>
        <w:divId w:val="953486340"/>
        <w:rPr>
          <w:rFonts w:eastAsia="Times New Roman"/>
        </w:rPr>
      </w:pPr>
      <w:r>
        <w:rPr>
          <w:rFonts w:eastAsia="Times New Roman"/>
          <w:color w:val="000000"/>
          <w:sz w:val="20"/>
          <w:szCs w:val="20"/>
        </w:rPr>
        <w:t>Our life insurance products are primarily designed to help individuals and small and medium-sized businesses with protection, wealth accumulation and transfer of wealth at death, as well as corporate planning solutions including non-qualified deferred co</w:t>
      </w:r>
      <w:r>
        <w:rPr>
          <w:rFonts w:eastAsia="Times New Roman"/>
          <w:color w:val="000000"/>
          <w:sz w:val="20"/>
          <w:szCs w:val="20"/>
        </w:rPr>
        <w:t>mpensation, succession planning and key person insurance . We target select segments of the life insurance market: permanent life insurance, including IUL and VUL products and term insurance. In recent years, we have refocused our product offering and dist</w:t>
      </w:r>
      <w:r>
        <w:rPr>
          <w:rFonts w:eastAsia="Times New Roman"/>
          <w:color w:val="000000"/>
          <w:sz w:val="20"/>
          <w:szCs w:val="20"/>
        </w:rPr>
        <w:t>ribution towards less capital intensive, higher return accumulation and protection products. For example, in January 2021, we discontinued offering our most interest rate sensitive IUL product (“IUL Protect”). We plan to grow our operating earnings over ti</w:t>
      </w:r>
      <w:r>
        <w:rPr>
          <w:rFonts w:eastAsia="Times New Roman"/>
          <w:color w:val="000000"/>
          <w:sz w:val="20"/>
          <w:szCs w:val="20"/>
        </w:rPr>
        <w:t>me through earnings generated from sales of our repositioned product portfolio and by proactively managing and optimizing our in-force book.</w:t>
      </w:r>
    </w:p>
    <w:p w:rsidR="00000000" w:rsidRDefault="005B0BC3">
      <w:pPr>
        <w:divId w:val="1883205303"/>
        <w:rPr>
          <w:rFonts w:eastAsia="Times New Roman"/>
        </w:rPr>
      </w:pPr>
    </w:p>
    <w:p w:rsidR="00000000" w:rsidRDefault="005B0BC3">
      <w:pPr>
        <w:ind w:firstLine="360"/>
        <w:divId w:val="182323304"/>
        <w:rPr>
          <w:rFonts w:eastAsia="Times New Roman"/>
        </w:rPr>
      </w:pPr>
      <w:r>
        <w:rPr>
          <w:rFonts w:eastAsia="Times New Roman"/>
          <w:i/>
          <w:iCs/>
          <w:color w:val="000000"/>
          <w:sz w:val="20"/>
          <w:szCs w:val="20"/>
        </w:rPr>
        <w:t>Permanent Life Insurance.</w:t>
      </w:r>
      <w:r>
        <w:rPr>
          <w:rFonts w:eastAsia="Times New Roman"/>
          <w:color w:val="000000"/>
          <w:sz w:val="20"/>
          <w:szCs w:val="20"/>
        </w:rPr>
        <w:t xml:space="preserve"> Our permanent life insurance offerings are built on the premise that all clients expect</w:t>
      </w:r>
      <w:r>
        <w:rPr>
          <w:rFonts w:eastAsia="Times New Roman"/>
          <w:color w:val="000000"/>
          <w:sz w:val="20"/>
          <w:szCs w:val="20"/>
        </w:rPr>
        <w:t xml:space="preserve"> to receive a benefit from the policy. The benefit may take the form of a life insurance death benefit paid at time of death or access while living to cash that has accumulated in the policy on a tax-favored basis. In each case, the value to the client com</w:t>
      </w:r>
      <w:r>
        <w:rPr>
          <w:rFonts w:eastAsia="Times New Roman"/>
          <w:color w:val="000000"/>
          <w:sz w:val="20"/>
          <w:szCs w:val="20"/>
        </w:rPr>
        <w:t>es from access to a broad spectrum of equity or fixed interest investments that accumulate the policy value at rates of return consistent with the market.</w:t>
      </w:r>
    </w:p>
    <w:p w:rsidR="00000000" w:rsidRDefault="005B0BC3">
      <w:pPr>
        <w:ind w:firstLine="360"/>
        <w:divId w:val="2090033726"/>
        <w:rPr>
          <w:rFonts w:eastAsia="Times New Roman"/>
        </w:rPr>
      </w:pPr>
      <w:r>
        <w:rPr>
          <w:rFonts w:eastAsia="Times New Roman"/>
          <w:color w:val="000000"/>
          <w:sz w:val="20"/>
          <w:szCs w:val="20"/>
        </w:rPr>
        <w:t>We have three permanent life insurance offerings built upon a UL insurance framework: IUL, VUL and CO</w:t>
      </w:r>
      <w:r>
        <w:rPr>
          <w:rFonts w:eastAsia="Times New Roman"/>
          <w:color w:val="000000"/>
          <w:sz w:val="20"/>
          <w:szCs w:val="20"/>
        </w:rPr>
        <w:t>LI targeting the small and medium-sized business market. UL policies offer flexible premiums, and generally offer the policyholder the ability to choose one of two death benefit options: a level benefit equal to the policy’s original face amount or a varia</w:t>
      </w:r>
      <w:r>
        <w:rPr>
          <w:rFonts w:eastAsia="Times New Roman"/>
          <w:color w:val="000000"/>
          <w:sz w:val="20"/>
          <w:szCs w:val="20"/>
        </w:rPr>
        <w:t>ble benefit equal to the original face amount plus any existing policy AV. Our insurance products include single-life and second-to-die (i.e., survivorship) products.</w:t>
      </w:r>
    </w:p>
    <w:p w:rsidR="00000000" w:rsidRDefault="005B0BC3">
      <w:pPr>
        <w:ind w:firstLine="360"/>
        <w:divId w:val="480583690"/>
        <w:rPr>
          <w:rFonts w:eastAsia="Times New Roman"/>
        </w:rPr>
      </w:pPr>
      <w:r>
        <w:rPr>
          <w:rFonts w:eastAsia="Times New Roman"/>
          <w:i/>
          <w:iCs/>
          <w:color w:val="000000"/>
          <w:sz w:val="20"/>
          <w:szCs w:val="20"/>
        </w:rPr>
        <w:t>IUL.</w:t>
      </w:r>
      <w:r>
        <w:rPr>
          <w:rFonts w:eastAsia="Times New Roman"/>
          <w:color w:val="000000"/>
          <w:sz w:val="20"/>
          <w:szCs w:val="20"/>
        </w:rPr>
        <w:t xml:space="preserve"> IUL uses an equity-linked approach for generating policy investment returns. The equ</w:t>
      </w:r>
      <w:r>
        <w:rPr>
          <w:rFonts w:eastAsia="Times New Roman"/>
          <w:color w:val="000000"/>
          <w:sz w:val="20"/>
          <w:szCs w:val="20"/>
        </w:rPr>
        <w:t>ity linked options provide upside return based on an external equity-based index (e.g., S&amp;P 500) subject to a cap. In exchange for this cap on investment returns, the policy provides downside protection in that annual investment returns are floored at zero</w:t>
      </w:r>
      <w:r>
        <w:rPr>
          <w:rFonts w:eastAsia="Times New Roman"/>
          <w:color w:val="000000"/>
          <w:sz w:val="20"/>
          <w:szCs w:val="20"/>
        </w:rPr>
        <w:t>, protecting the policyholder in the event of a market movement down. As noted above, the performance of any UL insurance policy also depends on the level of policy charges. For further discussion, see “—Pricing and Fees.”</w:t>
      </w:r>
    </w:p>
    <w:p w:rsidR="00000000" w:rsidRDefault="005B0BC3">
      <w:pPr>
        <w:jc w:val="center"/>
        <w:divId w:val="732852680"/>
        <w:rPr>
          <w:rFonts w:eastAsia="Times New Roman"/>
        </w:rPr>
      </w:pPr>
      <w:r>
        <w:rPr>
          <w:rFonts w:eastAsia="Times New Roman"/>
          <w:color w:val="000000"/>
          <w:sz w:val="20"/>
          <w:szCs w:val="20"/>
        </w:rPr>
        <w:t>31</w:t>
      </w:r>
    </w:p>
    <w:p w:rsidR="00000000" w:rsidRDefault="005B0BC3">
      <w:pPr>
        <w:rPr>
          <w:rFonts w:eastAsia="Times New Roman"/>
        </w:rPr>
      </w:pPr>
      <w:r>
        <w:rPr>
          <w:rFonts w:eastAsia="Times New Roman"/>
        </w:rPr>
        <w:pict>
          <v:rect id="_x0000_i1066" style="width:0;height:1.5pt" o:hralign="center" o:hrstd="t" o:hr="t" fillcolor="#a0a0a0" stroked="f"/>
        </w:pict>
      </w:r>
    </w:p>
    <w:p w:rsidR="00000000" w:rsidRDefault="005B0BC3">
      <w:pPr>
        <w:divId w:val="238559216"/>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ind w:firstLine="360"/>
        <w:divId w:val="1480268939"/>
        <w:rPr>
          <w:rFonts w:eastAsia="Times New Roman"/>
        </w:rPr>
      </w:pPr>
      <w:r>
        <w:rPr>
          <w:rFonts w:eastAsia="Times New Roman"/>
          <w:i/>
          <w:iCs/>
          <w:color w:val="000000"/>
          <w:sz w:val="20"/>
          <w:szCs w:val="20"/>
        </w:rPr>
        <w:t>VUL</w:t>
      </w:r>
      <w:r>
        <w:rPr>
          <w:rFonts w:eastAsia="Times New Roman"/>
          <w:color w:val="000000"/>
          <w:sz w:val="20"/>
          <w:szCs w:val="20"/>
        </w:rPr>
        <w:t>. VUL uses a series of investment options to generate the investment return allocated to the cash value. The sub-accounts are similar to retail mutual funds: a policyhol</w:t>
      </w:r>
      <w:r>
        <w:rPr>
          <w:rFonts w:eastAsia="Times New Roman"/>
          <w:color w:val="000000"/>
          <w:sz w:val="20"/>
          <w:szCs w:val="20"/>
        </w:rPr>
        <w:t>der can invest policy values in one or more underlying investment options offering varying levels of risk and growth potential. These provide long-term growth opportunities, tax-deferred earnings and the ability to make tax-free transfers among the various</w:t>
      </w:r>
      <w:r>
        <w:rPr>
          <w:rFonts w:eastAsia="Times New Roman"/>
          <w:color w:val="000000"/>
          <w:sz w:val="20"/>
          <w:szCs w:val="20"/>
        </w:rPr>
        <w:t xml:space="preserve"> sub-accounts. In addition, the policyholder can invest premiums in a guaranteed interest option, as well as an investment option we call the MSO, which provides downside protection from losses in the index up to a specified percentage. Our COLI product is</w:t>
      </w:r>
      <w:r>
        <w:rPr>
          <w:rFonts w:eastAsia="Times New Roman"/>
          <w:color w:val="000000"/>
          <w:sz w:val="20"/>
          <w:szCs w:val="20"/>
        </w:rPr>
        <w:t xml:space="preserve"> a VUL insurance product tailored specifically to support executive benefits in the small business market.</w:t>
      </w:r>
    </w:p>
    <w:p w:rsidR="00000000" w:rsidRDefault="005B0BC3">
      <w:pPr>
        <w:ind w:firstLine="360"/>
        <w:divId w:val="177543840"/>
        <w:rPr>
          <w:rFonts w:eastAsia="Times New Roman"/>
        </w:rPr>
      </w:pPr>
      <w:r>
        <w:rPr>
          <w:rFonts w:eastAsia="Times New Roman"/>
          <w:color w:val="000000"/>
          <w:sz w:val="20"/>
          <w:szCs w:val="20"/>
        </w:rPr>
        <w:t>We work with employees of EIMG to identify and include appropriate underlying investment options in our variable life products, as well as to control</w:t>
      </w:r>
      <w:r>
        <w:rPr>
          <w:rFonts w:eastAsia="Times New Roman"/>
          <w:color w:val="000000"/>
          <w:sz w:val="20"/>
          <w:szCs w:val="20"/>
        </w:rPr>
        <w:t xml:space="preserve"> the costs of these options.</w:t>
      </w:r>
    </w:p>
    <w:p w:rsidR="00000000" w:rsidRDefault="005B0BC3">
      <w:pPr>
        <w:ind w:firstLine="360"/>
        <w:divId w:val="1824158680"/>
        <w:rPr>
          <w:rFonts w:eastAsia="Times New Roman"/>
        </w:rPr>
      </w:pPr>
      <w:r>
        <w:rPr>
          <w:rFonts w:eastAsia="Times New Roman"/>
          <w:i/>
          <w:iCs/>
          <w:color w:val="000000"/>
          <w:sz w:val="20"/>
          <w:szCs w:val="20"/>
        </w:rPr>
        <w:t>Term Life.</w:t>
      </w:r>
      <w:r>
        <w:rPr>
          <w:rFonts w:eastAsia="Times New Roman"/>
          <w:color w:val="000000"/>
          <w:sz w:val="20"/>
          <w:szCs w:val="20"/>
        </w:rPr>
        <w:t xml:space="preserve"> Term life provides basic life insurance protection for a specified period of time and is typically a client’s first life insurance purchase due to its simple design providing basic income protection. Life insurance b</w:t>
      </w:r>
      <w:r>
        <w:rPr>
          <w:rFonts w:eastAsia="Times New Roman"/>
          <w:color w:val="000000"/>
          <w:sz w:val="20"/>
          <w:szCs w:val="20"/>
        </w:rPr>
        <w:t>enefits are paid if death occurs during the term period, as long as required premiums have been paid. The required premiums are guaranteed not to increase during the term period, otherwise known as a level pay or fixed premium. Our term products include co</w:t>
      </w:r>
      <w:r>
        <w:rPr>
          <w:rFonts w:eastAsia="Times New Roman"/>
          <w:color w:val="000000"/>
          <w:sz w:val="20"/>
          <w:szCs w:val="20"/>
        </w:rPr>
        <w:t xml:space="preserve">nversion features that allow the policyholder to convert their term life insurance policy to permanent life insurance within policy limits. </w:t>
      </w:r>
    </w:p>
    <w:p w:rsidR="00000000" w:rsidRDefault="005B0BC3">
      <w:pPr>
        <w:ind w:firstLine="360"/>
        <w:divId w:val="1370495609"/>
        <w:rPr>
          <w:rFonts w:eastAsia="Times New Roman"/>
        </w:rPr>
      </w:pPr>
      <w:r>
        <w:rPr>
          <w:rFonts w:eastAsia="Times New Roman"/>
          <w:i/>
          <w:iCs/>
          <w:color w:val="000000"/>
          <w:sz w:val="20"/>
          <w:szCs w:val="20"/>
        </w:rPr>
        <w:t>Other Benefits.</w:t>
      </w:r>
      <w:r>
        <w:rPr>
          <w:rFonts w:eastAsia="Times New Roman"/>
          <w:color w:val="000000"/>
          <w:sz w:val="20"/>
          <w:szCs w:val="20"/>
        </w:rPr>
        <w:t xml:space="preserve"> We offer a portfolio of riders to provide clients with additional flexibility to protect the value </w:t>
      </w:r>
      <w:r>
        <w:rPr>
          <w:rFonts w:eastAsia="Times New Roman"/>
          <w:color w:val="000000"/>
          <w:sz w:val="20"/>
          <w:szCs w:val="20"/>
        </w:rPr>
        <w:t>of their investments and overcome challenges. Our Long-Term Care Services Rider provides an acceleration of the policy death benefit in the event of a chronic illness and has been elected on 28% of all eligible policies and elected on 21% of all new polici</w:t>
      </w:r>
      <w:r>
        <w:rPr>
          <w:rFonts w:eastAsia="Times New Roman"/>
          <w:color w:val="000000"/>
          <w:sz w:val="20"/>
          <w:szCs w:val="20"/>
        </w:rPr>
        <w:t xml:space="preserve">es sold during the year ended December 31, 2021. The MSO, referred to above and offered via a policy rider on our variable life products, provides policyholders with the opportunity to manage volatility. </w:t>
      </w:r>
    </w:p>
    <w:p w:rsidR="00000000" w:rsidRDefault="005B0BC3">
      <w:pPr>
        <w:ind w:firstLine="360"/>
        <w:divId w:val="848101566"/>
        <w:rPr>
          <w:rFonts w:eastAsia="Times New Roman"/>
        </w:rPr>
      </w:pPr>
      <w:r>
        <w:rPr>
          <w:rFonts w:eastAsia="Times New Roman"/>
          <w:color w:val="000000"/>
          <w:sz w:val="20"/>
          <w:szCs w:val="20"/>
        </w:rPr>
        <w:t>The following table presents individual life insura</w:t>
      </w:r>
      <w:r>
        <w:rPr>
          <w:rFonts w:eastAsia="Times New Roman"/>
          <w:color w:val="000000"/>
          <w:sz w:val="20"/>
          <w:szCs w:val="20"/>
        </w:rPr>
        <w:t>nce annualized premiums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7"/>
        <w:gridCol w:w="4658"/>
        <w:gridCol w:w="36"/>
        <w:gridCol w:w="120"/>
        <w:gridCol w:w="990"/>
        <w:gridCol w:w="36"/>
        <w:gridCol w:w="36"/>
        <w:gridCol w:w="36"/>
        <w:gridCol w:w="36"/>
        <w:gridCol w:w="120"/>
        <w:gridCol w:w="950"/>
        <w:gridCol w:w="36"/>
        <w:gridCol w:w="36"/>
        <w:gridCol w:w="36"/>
        <w:gridCol w:w="36"/>
        <w:gridCol w:w="120"/>
        <w:gridCol w:w="951"/>
        <w:gridCol w:w="36"/>
      </w:tblGrid>
      <w:tr w:rsidR="00000000">
        <w:trPr>
          <w:divId w:val="1739789601"/>
        </w:trPr>
        <w:tc>
          <w:tcPr>
            <w:tcW w:w="50" w:type="pct"/>
            <w:vAlign w:val="center"/>
            <w:hideMark/>
          </w:tcPr>
          <w:p w:rsidR="00000000" w:rsidRDefault="005B0BC3">
            <w:pPr>
              <w:ind w:firstLine="360"/>
              <w:rPr>
                <w:rFonts w:eastAsia="Times New Roman"/>
              </w:rPr>
            </w:pPr>
          </w:p>
        </w:tc>
        <w:tc>
          <w:tcPr>
            <w:tcW w:w="283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739789601"/>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r>
      <w:tr w:rsidR="00000000">
        <w:trPr>
          <w:divId w:val="1739789601"/>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1739789601"/>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1739789601"/>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Annualized Premium</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739789601"/>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Indexed Universal Life</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39789601"/>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Variable Universal Life</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39789601"/>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Term</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39789601"/>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Other (1)</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39789601"/>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210</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169 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206 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ind w:hanging="360"/>
        <w:divId w:val="609161780"/>
        <w:rPr>
          <w:rFonts w:eastAsia="Times New Roman"/>
        </w:rPr>
      </w:pPr>
      <w:r>
        <w:rPr>
          <w:rFonts w:eastAsia="Times New Roman"/>
          <w:color w:val="000000"/>
          <w:sz w:val="18"/>
          <w:szCs w:val="18"/>
        </w:rPr>
        <w:t>______________</w:t>
      </w:r>
    </w:p>
    <w:p w:rsidR="00000000" w:rsidRDefault="005B0BC3">
      <w:pPr>
        <w:ind w:hanging="360"/>
        <w:divId w:val="1962882420"/>
        <w:rPr>
          <w:rFonts w:eastAsia="Times New Roman"/>
        </w:rPr>
      </w:pPr>
      <w:r>
        <w:rPr>
          <w:rFonts w:eastAsia="Times New Roman"/>
          <w:color w:val="000000"/>
          <w:sz w:val="18"/>
          <w:szCs w:val="18"/>
        </w:rPr>
        <w:t>(1)For the individual life insurance in-force, </w:t>
      </w:r>
      <w:r>
        <w:rPr>
          <w:rFonts w:eastAsia="Times New Roman"/>
          <w:color w:val="000000"/>
          <w:sz w:val="18"/>
          <w:szCs w:val="18"/>
        </w:rPr>
        <w:t>other includes current assumption universal life insurance, whole life insurance and other products available for sale but not actively marketed.</w:t>
      </w:r>
    </w:p>
    <w:p w:rsidR="00000000" w:rsidRDefault="005B0BC3">
      <w:pPr>
        <w:ind w:firstLine="360"/>
        <w:divId w:val="838152922"/>
        <w:rPr>
          <w:rFonts w:eastAsia="Times New Roman"/>
        </w:rPr>
      </w:pPr>
      <w:r>
        <w:rPr>
          <w:rFonts w:eastAsia="Times New Roman"/>
          <w:color w:val="000000"/>
          <w:sz w:val="20"/>
          <w:szCs w:val="20"/>
        </w:rPr>
        <w:t>The following table presents individual life insurance FYP and renewals by product and total gross premiums fo</w:t>
      </w:r>
      <w:r>
        <w:rPr>
          <w:rFonts w:eastAsia="Times New Roman"/>
          <w:color w:val="000000"/>
          <w:sz w:val="20"/>
          <w:szCs w:val="20"/>
        </w:rPr>
        <w:t>r the periods indicated:</w:t>
      </w:r>
    </w:p>
    <w:p w:rsidR="00000000" w:rsidRDefault="005B0BC3">
      <w:pPr>
        <w:jc w:val="center"/>
        <w:divId w:val="1586769813"/>
        <w:rPr>
          <w:rFonts w:eastAsia="Times New Roman"/>
        </w:rPr>
      </w:pPr>
      <w:r>
        <w:rPr>
          <w:rFonts w:eastAsia="Times New Roman"/>
          <w:color w:val="000000"/>
          <w:sz w:val="20"/>
          <w:szCs w:val="20"/>
        </w:rPr>
        <w:t>32</w:t>
      </w:r>
    </w:p>
    <w:p w:rsidR="00000000" w:rsidRDefault="005B0BC3">
      <w:pPr>
        <w:rPr>
          <w:rFonts w:eastAsia="Times New Roman"/>
        </w:rPr>
      </w:pPr>
      <w:r>
        <w:rPr>
          <w:rFonts w:eastAsia="Times New Roman"/>
        </w:rPr>
        <w:pict>
          <v:rect id="_x0000_i1067" style="width:0;height:1.5pt" o:hralign="center" o:hrstd="t" o:hr="t" fillcolor="#a0a0a0" stroked="f"/>
        </w:pict>
      </w:r>
    </w:p>
    <w:p w:rsidR="00000000" w:rsidRDefault="005B0BC3">
      <w:pPr>
        <w:divId w:val="1910530606"/>
        <w:rPr>
          <w:rFonts w:eastAsia="Times New Roman"/>
        </w:rPr>
      </w:pPr>
      <w:hyperlink w:anchor="i2ac35847634046b3a89f93d9b422e8f5_421" w:history="1">
        <w:r>
          <w:rPr>
            <w:rStyle w:val="a3"/>
            <w:rFonts w:eastAsia="Times New Roman"/>
            <w:b/>
            <w:bCs/>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8"/>
        <w:gridCol w:w="4657"/>
        <w:gridCol w:w="37"/>
        <w:gridCol w:w="120"/>
        <w:gridCol w:w="989"/>
        <w:gridCol w:w="36"/>
        <w:gridCol w:w="36"/>
        <w:gridCol w:w="36"/>
        <w:gridCol w:w="36"/>
        <w:gridCol w:w="120"/>
        <w:gridCol w:w="950"/>
        <w:gridCol w:w="36"/>
        <w:gridCol w:w="36"/>
        <w:gridCol w:w="36"/>
        <w:gridCol w:w="36"/>
        <w:gridCol w:w="120"/>
        <w:gridCol w:w="951"/>
        <w:gridCol w:w="36"/>
      </w:tblGrid>
      <w:tr w:rsidR="00000000">
        <w:trPr>
          <w:divId w:val="1781802073"/>
        </w:trPr>
        <w:tc>
          <w:tcPr>
            <w:tcW w:w="50" w:type="pct"/>
            <w:vAlign w:val="center"/>
            <w:hideMark/>
          </w:tcPr>
          <w:p w:rsidR="00000000" w:rsidRDefault="005B0BC3">
            <w:pPr>
              <w:rPr>
                <w:rFonts w:eastAsia="Times New Roman"/>
              </w:rPr>
            </w:pPr>
          </w:p>
        </w:tc>
        <w:tc>
          <w:tcPr>
            <w:tcW w:w="283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781802073"/>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r>
      <w:tr w:rsidR="00000000">
        <w:trPr>
          <w:divId w:val="1781802073"/>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1781802073"/>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1781802073"/>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FYP by Product Line</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781802073"/>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Universal Life</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81802073"/>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Indexed Universal Life</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203 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81802073"/>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Variable Universal Life</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181 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81802073"/>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Term</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81802073"/>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Other (1)</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81802073"/>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349</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307 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407 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81802073"/>
          <w:trHeight w:val="280"/>
        </w:trPr>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781802073"/>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Renewals by Product Line</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781802073"/>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Universal Life</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845 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895 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81802073"/>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Indexed Universal Life</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276 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248 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81802073"/>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Variable Universal Life</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947 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921 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81802073"/>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Term</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375 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498 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81802073"/>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Other (1)</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81802073"/>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2,500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2,462 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2,584 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81802073"/>
          <w:trHeight w:val="280"/>
        </w:trPr>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781802073"/>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Gross Premiums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2,849</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2,769 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2,991 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ind w:hanging="360"/>
        <w:divId w:val="158690777"/>
        <w:rPr>
          <w:rFonts w:eastAsia="Times New Roman"/>
        </w:rPr>
      </w:pPr>
      <w:r>
        <w:rPr>
          <w:rFonts w:eastAsia="Times New Roman"/>
          <w:color w:val="000000"/>
          <w:sz w:val="18"/>
          <w:szCs w:val="18"/>
        </w:rPr>
        <w:t>______________</w:t>
      </w:r>
    </w:p>
    <w:p w:rsidR="00000000" w:rsidRDefault="005B0BC3">
      <w:pPr>
        <w:ind w:hanging="360"/>
        <w:divId w:val="1138760744"/>
        <w:rPr>
          <w:rFonts w:eastAsia="Times New Roman"/>
        </w:rPr>
      </w:pPr>
      <w:r>
        <w:rPr>
          <w:rFonts w:eastAsia="Times New Roman"/>
          <w:color w:val="000000"/>
          <w:sz w:val="18"/>
          <w:szCs w:val="18"/>
        </w:rPr>
        <w:t xml:space="preserve">(1)For the individual life insurance in-force, other includes current assumption universal life insurance, whole life insurance and other products available for sale but </w:t>
      </w:r>
      <w:r>
        <w:rPr>
          <w:rFonts w:eastAsia="Times New Roman"/>
          <w:color w:val="000000"/>
          <w:sz w:val="18"/>
          <w:szCs w:val="18"/>
        </w:rPr>
        <w:t>not actively marketed.</w:t>
      </w:r>
    </w:p>
    <w:p w:rsidR="00000000" w:rsidRDefault="005B0BC3">
      <w:pPr>
        <w:ind w:firstLine="360"/>
        <w:divId w:val="796921745"/>
        <w:rPr>
          <w:rFonts w:eastAsia="Times New Roman"/>
        </w:rPr>
      </w:pPr>
      <w:r>
        <w:rPr>
          <w:rFonts w:eastAsia="Times New Roman"/>
          <w:color w:val="000000"/>
          <w:sz w:val="20"/>
          <w:szCs w:val="20"/>
        </w:rPr>
        <w:t>Our in-force book spans three insurance companies, Equitable Financial, Equitable America and Equitable L&amp;A. Equitable L&amp;A is closed for new business. Certain term products and permanent products riders from Equitable America and Equ</w:t>
      </w:r>
      <w:r>
        <w:rPr>
          <w:rFonts w:eastAsia="Times New Roman"/>
          <w:color w:val="000000"/>
          <w:sz w:val="20"/>
          <w:szCs w:val="20"/>
        </w:rPr>
        <w:t>itable Financial have been reinsured to our captive reinsurer EQ AZ Life Re. Our in-force portfolio is made up of core product offerings as described above, as well as past generation product offerings that include current assumption universal life insuran</w:t>
      </w:r>
      <w:r>
        <w:rPr>
          <w:rFonts w:eastAsia="Times New Roman"/>
          <w:color w:val="000000"/>
          <w:sz w:val="20"/>
          <w:szCs w:val="20"/>
        </w:rPr>
        <w:t>ce, whole life insurance and other products.</w:t>
      </w:r>
    </w:p>
    <w:p w:rsidR="00000000" w:rsidRDefault="005B0BC3">
      <w:pPr>
        <w:ind w:firstLine="360"/>
        <w:divId w:val="1216353046"/>
        <w:rPr>
          <w:rFonts w:eastAsia="Times New Roman"/>
        </w:rPr>
      </w:pPr>
      <w:r>
        <w:rPr>
          <w:rFonts w:eastAsia="Times New Roman"/>
          <w:color w:val="000000"/>
          <w:sz w:val="20"/>
          <w:szCs w:val="20"/>
        </w:rPr>
        <w:t>The following table presents our in-force face amount and Protection Solutions Reserves as of the dates indicated, respectively, for the individual life insurance products we offer:</w:t>
      </w:r>
    </w:p>
    <w:tbl>
      <w:tblPr>
        <w:tblW w:w="5000" w:type="pct"/>
        <w:tblCellMar>
          <w:top w:w="15" w:type="dxa"/>
          <w:left w:w="15" w:type="dxa"/>
          <w:bottom w:w="15" w:type="dxa"/>
          <w:right w:w="15" w:type="dxa"/>
        </w:tblCellMar>
        <w:tblLook w:val="04A0" w:firstRow="1" w:lastRow="0" w:firstColumn="1" w:lastColumn="0" w:noHBand="0" w:noVBand="1"/>
      </w:tblPr>
      <w:tblGrid>
        <w:gridCol w:w="37"/>
        <w:gridCol w:w="4658"/>
        <w:gridCol w:w="36"/>
        <w:gridCol w:w="120"/>
        <w:gridCol w:w="990"/>
        <w:gridCol w:w="36"/>
        <w:gridCol w:w="36"/>
        <w:gridCol w:w="36"/>
        <w:gridCol w:w="36"/>
        <w:gridCol w:w="120"/>
        <w:gridCol w:w="950"/>
        <w:gridCol w:w="36"/>
        <w:gridCol w:w="36"/>
        <w:gridCol w:w="36"/>
        <w:gridCol w:w="36"/>
        <w:gridCol w:w="120"/>
        <w:gridCol w:w="951"/>
        <w:gridCol w:w="36"/>
      </w:tblGrid>
      <w:tr w:rsidR="00000000">
        <w:trPr>
          <w:divId w:val="379399641"/>
        </w:trPr>
        <w:tc>
          <w:tcPr>
            <w:tcW w:w="50" w:type="pct"/>
            <w:vAlign w:val="center"/>
            <w:hideMark/>
          </w:tcPr>
          <w:p w:rsidR="00000000" w:rsidRDefault="005B0BC3">
            <w:pPr>
              <w:ind w:firstLine="360"/>
              <w:rPr>
                <w:rFonts w:eastAsia="Times New Roman"/>
              </w:rPr>
            </w:pPr>
          </w:p>
        </w:tc>
        <w:tc>
          <w:tcPr>
            <w:tcW w:w="283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379399641"/>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December 31,</w:t>
            </w:r>
          </w:p>
        </w:tc>
      </w:tr>
      <w:tr w:rsidR="00000000">
        <w:trPr>
          <w:divId w:val="379399641"/>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379399641"/>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billions)</w:t>
            </w:r>
          </w:p>
        </w:tc>
      </w:tr>
      <w:tr w:rsidR="00000000">
        <w:trPr>
          <w:divId w:val="379399641"/>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In-force face amount by product: (1)</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379399641"/>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Universal Life (2)</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48.7 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53.3 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379399641"/>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Indexed Universal Life</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27.7 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25.8 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379399641"/>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Variable Universal Life (3)</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132.8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127.7 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127.5 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379399641"/>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Term (4)</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215.4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215.2 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234.9 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379399641"/>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Whole Life</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379399641"/>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Total in-force face amount</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423.2</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420.6 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442.9 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4704"/>
        <w:gridCol w:w="144"/>
        <w:gridCol w:w="144"/>
        <w:gridCol w:w="1036"/>
        <w:gridCol w:w="144"/>
        <w:gridCol w:w="144"/>
        <w:gridCol w:w="144"/>
        <w:gridCol w:w="144"/>
        <w:gridCol w:w="144"/>
        <w:gridCol w:w="1036"/>
        <w:gridCol w:w="144"/>
        <w:gridCol w:w="144"/>
        <w:gridCol w:w="144"/>
        <w:gridCol w:w="144"/>
        <w:gridCol w:w="144"/>
        <w:gridCol w:w="1038"/>
        <w:gridCol w:w="144"/>
      </w:tblGrid>
      <w:tr w:rsidR="00000000">
        <w:tc>
          <w:tcPr>
            <w:tcW w:w="50" w:type="pct"/>
            <w:vAlign w:val="center"/>
            <w:hideMark/>
          </w:tcPr>
          <w:p w:rsidR="00000000" w:rsidRDefault="005B0BC3">
            <w:pPr>
              <w:rPr>
                <w:rFonts w:eastAsia="Times New Roman"/>
              </w:rPr>
            </w:pPr>
          </w:p>
        </w:tc>
        <w:tc>
          <w:tcPr>
            <w:tcW w:w="283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December 31,</w:t>
            </w:r>
          </w:p>
        </w:tc>
      </w:tr>
      <w:tr w:rsidR="00000000">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Protection Solutions Reserves (5)</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General Account</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18,625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18,905 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17,300 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Separate Accounts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17,012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14,771 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13,616 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Total Protection Solutions Reserves</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35,637</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33,676 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30,916 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ind w:hanging="360"/>
        <w:divId w:val="111018173"/>
        <w:rPr>
          <w:rFonts w:eastAsia="Times New Roman"/>
        </w:rPr>
      </w:pPr>
      <w:r>
        <w:rPr>
          <w:rFonts w:eastAsia="Times New Roman"/>
          <w:color w:val="000000"/>
          <w:sz w:val="18"/>
          <w:szCs w:val="18"/>
        </w:rPr>
        <w:t>______________</w:t>
      </w:r>
    </w:p>
    <w:p w:rsidR="00000000" w:rsidRDefault="005B0BC3">
      <w:pPr>
        <w:jc w:val="center"/>
        <w:divId w:val="1346517956"/>
        <w:rPr>
          <w:rFonts w:eastAsia="Times New Roman"/>
        </w:rPr>
      </w:pPr>
      <w:r>
        <w:rPr>
          <w:rFonts w:eastAsia="Times New Roman"/>
          <w:color w:val="000000"/>
          <w:sz w:val="20"/>
          <w:szCs w:val="20"/>
        </w:rPr>
        <w:t>33</w:t>
      </w:r>
    </w:p>
    <w:p w:rsidR="00000000" w:rsidRDefault="005B0BC3">
      <w:pPr>
        <w:rPr>
          <w:rFonts w:eastAsia="Times New Roman"/>
        </w:rPr>
      </w:pPr>
      <w:r>
        <w:rPr>
          <w:rFonts w:eastAsia="Times New Roman"/>
        </w:rPr>
        <w:pict>
          <v:rect id="_x0000_i1068" style="width:0;height:1.5pt" o:hralign="center" o:hrstd="t" o:hr="t" fillcolor="#a0a0a0" stroked="f"/>
        </w:pict>
      </w:r>
    </w:p>
    <w:p w:rsidR="00000000" w:rsidRDefault="005B0BC3">
      <w:pPr>
        <w:divId w:val="1759642306"/>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ind w:hanging="360"/>
        <w:divId w:val="1591425963"/>
        <w:rPr>
          <w:rFonts w:eastAsia="Times New Roman"/>
        </w:rPr>
      </w:pPr>
      <w:r>
        <w:rPr>
          <w:rFonts w:eastAsia="Times New Roman"/>
          <w:color w:val="000000"/>
          <w:sz w:val="18"/>
          <w:szCs w:val="18"/>
        </w:rPr>
        <w:t>(1)</w:t>
      </w:r>
      <w:r>
        <w:rPr>
          <w:rFonts w:eastAsia="Times New Roman"/>
          <w:color w:val="000000"/>
          <w:sz w:val="18"/>
          <w:szCs w:val="18"/>
        </w:rPr>
        <w:t>Does not include life insurance sold as part of our employee benefits business as it is a start-up business with a limited amount of in-force policies.</w:t>
      </w:r>
    </w:p>
    <w:p w:rsidR="00000000" w:rsidRDefault="005B0BC3">
      <w:pPr>
        <w:ind w:hanging="360"/>
        <w:divId w:val="949819358"/>
        <w:rPr>
          <w:rFonts w:eastAsia="Times New Roman"/>
        </w:rPr>
      </w:pPr>
      <w:r>
        <w:rPr>
          <w:rFonts w:eastAsia="Times New Roman"/>
          <w:color w:val="000000"/>
          <w:sz w:val="18"/>
          <w:szCs w:val="18"/>
        </w:rPr>
        <w:t>(2)UL includes guaranteed universal life insurance products.</w:t>
      </w:r>
    </w:p>
    <w:p w:rsidR="00000000" w:rsidRDefault="005B0BC3">
      <w:pPr>
        <w:ind w:hanging="360"/>
        <w:divId w:val="755247590"/>
        <w:rPr>
          <w:rFonts w:eastAsia="Times New Roman"/>
        </w:rPr>
      </w:pPr>
      <w:r>
        <w:rPr>
          <w:rFonts w:eastAsia="Times New Roman"/>
          <w:color w:val="000000"/>
          <w:sz w:val="18"/>
          <w:szCs w:val="18"/>
        </w:rPr>
        <w:t>(3)VUL includes variable life insurance and</w:t>
      </w:r>
      <w:r>
        <w:rPr>
          <w:rFonts w:eastAsia="Times New Roman"/>
          <w:color w:val="000000"/>
          <w:sz w:val="18"/>
          <w:szCs w:val="18"/>
        </w:rPr>
        <w:t xml:space="preserve"> COLI.</w:t>
      </w:r>
    </w:p>
    <w:p w:rsidR="00000000" w:rsidRDefault="005B0BC3">
      <w:pPr>
        <w:ind w:hanging="360"/>
        <w:divId w:val="1763333543"/>
        <w:rPr>
          <w:rFonts w:eastAsia="Times New Roman"/>
        </w:rPr>
      </w:pPr>
      <w:r>
        <w:rPr>
          <w:rFonts w:eastAsia="Times New Roman"/>
          <w:color w:val="000000"/>
          <w:sz w:val="18"/>
          <w:szCs w:val="18"/>
        </w:rPr>
        <w:t>(4)Decrease from 2019 to 2020 was driven by the sale of USFL.</w:t>
      </w:r>
    </w:p>
    <w:p w:rsidR="00000000" w:rsidRDefault="005B0BC3">
      <w:pPr>
        <w:ind w:hanging="360"/>
        <w:divId w:val="8220447"/>
        <w:rPr>
          <w:rFonts w:eastAsia="Times New Roman"/>
        </w:rPr>
      </w:pPr>
      <w:r>
        <w:rPr>
          <w:rFonts w:eastAsia="Times New Roman"/>
          <w:color w:val="000000"/>
          <w:sz w:val="18"/>
          <w:szCs w:val="18"/>
        </w:rPr>
        <w:t>(5)Does not include Protection Solutions Reserves for our employee benefits business as it is a start-up business and therefore has immaterial in-force policies.</w:t>
      </w:r>
    </w:p>
    <w:p w:rsidR="00000000" w:rsidRDefault="005B0BC3">
      <w:pPr>
        <w:ind w:firstLine="360"/>
        <w:divId w:val="756249378"/>
        <w:rPr>
          <w:rFonts w:eastAsia="Times New Roman"/>
        </w:rPr>
      </w:pPr>
    </w:p>
    <w:p w:rsidR="00000000" w:rsidRDefault="005B0BC3">
      <w:pPr>
        <w:divId w:val="148133105"/>
        <w:rPr>
          <w:rFonts w:eastAsia="Times New Roman"/>
        </w:rPr>
      </w:pPr>
      <w:r>
        <w:rPr>
          <w:rFonts w:eastAsia="Times New Roman"/>
          <w:color w:val="000000"/>
          <w:sz w:val="20"/>
          <w:szCs w:val="20"/>
        </w:rPr>
        <w:t>In order to optimize ou</w:t>
      </w:r>
      <w:r>
        <w:rPr>
          <w:rFonts w:eastAsia="Times New Roman"/>
          <w:color w:val="000000"/>
          <w:sz w:val="20"/>
          <w:szCs w:val="20"/>
        </w:rPr>
        <w:t>r capital efficiency and improve the profitability of new business, in 2009, we made a strategic decision to exit the GUL insurance and 30-year term life insurance markets. In recent years, we have refocused our product offering and distribution towards le</w:t>
      </w:r>
      <w:r>
        <w:rPr>
          <w:rFonts w:eastAsia="Times New Roman"/>
          <w:color w:val="000000"/>
          <w:sz w:val="20"/>
          <w:szCs w:val="20"/>
        </w:rPr>
        <w:t>ss capital intensive, higher return accumulation and protection products. For example, in January 2021, we discontinued offering our most interest sensitive IUL product (IUL Protect). The following chart shows this shift in our product sales (annualized pr</w:t>
      </w:r>
      <w:r>
        <w:rPr>
          <w:rFonts w:eastAsia="Times New Roman"/>
          <w:color w:val="000000"/>
          <w:sz w:val="20"/>
          <w:szCs w:val="20"/>
        </w:rPr>
        <w:t>emiums) from 2008 to 2021:</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598756468"/>
          <w:jc w:val="center"/>
        </w:trPr>
        <w:tc>
          <w:tcPr>
            <w:tcW w:w="50" w:type="pct"/>
            <w:vAlign w:val="center"/>
            <w:hideMark/>
          </w:tcPr>
          <w:p w:rsidR="00000000" w:rsidRDefault="005B0BC3">
            <w:pPr>
              <w:rPr>
                <w:rFonts w:eastAsia="Times New Roman"/>
              </w:rPr>
            </w:pPr>
          </w:p>
        </w:tc>
        <w:tc>
          <w:tcPr>
            <w:tcW w:w="494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598756468"/>
          <w:jc w:val="center"/>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20"/>
                <w:szCs w:val="20"/>
              </w:rPr>
              <w:t>Shift in Product Sales (Annualized Premiums)</w:t>
            </w:r>
          </w:p>
        </w:tc>
      </w:tr>
    </w:tbl>
    <w:p w:rsidR="00000000" w:rsidRDefault="005B0BC3">
      <w:pPr>
        <w:spacing w:after="240"/>
        <w:ind w:firstLine="360"/>
        <w:jc w:val="center"/>
        <w:divId w:val="737216652"/>
        <w:rPr>
          <w:rFonts w:eastAsia="Times New Roman"/>
        </w:rPr>
      </w:pPr>
      <w:r>
        <w:rPr>
          <w:rFonts w:eastAsia="Times New Roman"/>
          <w:noProof/>
        </w:rPr>
        <w:drawing>
          <wp:inline distT="0" distB="0" distL="0" distR="0">
            <wp:extent cx="304800" cy="3048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eastAsia="Times New Roman"/>
          <w:noProof/>
        </w:rPr>
        <w:drawing>
          <wp:inline distT="0" distB="0" distL="0" distR="0">
            <wp:extent cx="304800" cy="3048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5B0BC3">
      <w:pPr>
        <w:ind w:hanging="360"/>
        <w:divId w:val="2037264678"/>
        <w:rPr>
          <w:rFonts w:eastAsia="Times New Roman"/>
        </w:rPr>
      </w:pPr>
      <w:r>
        <w:rPr>
          <w:rFonts w:eastAsia="Times New Roman"/>
          <w:color w:val="000000"/>
          <w:sz w:val="18"/>
          <w:szCs w:val="18"/>
        </w:rPr>
        <w:t xml:space="preserve">(1) </w:t>
      </w:r>
      <w:r>
        <w:rPr>
          <w:rFonts w:eastAsia="Times New Roman"/>
          <w:color w:val="000000"/>
          <w:sz w:val="18"/>
          <w:szCs w:val="18"/>
        </w:rPr>
        <w:t>UL includes GUL insurance products.</w:t>
      </w:r>
    </w:p>
    <w:p w:rsidR="00000000" w:rsidRDefault="005B0BC3">
      <w:pPr>
        <w:ind w:firstLine="360"/>
        <w:divId w:val="214126130"/>
        <w:rPr>
          <w:rFonts w:eastAsia="Times New Roman"/>
        </w:rPr>
      </w:pPr>
      <w:r>
        <w:rPr>
          <w:rFonts w:eastAsia="Times New Roman"/>
          <w:color w:val="000000"/>
          <w:sz w:val="20"/>
          <w:szCs w:val="20"/>
        </w:rPr>
        <w:t>As part of our in-force management function, we monitor the performance of our life insurance portfolio against our expectations at the time of pricing of the products. It is our objective to align the performance of our</w:t>
      </w:r>
      <w:r>
        <w:rPr>
          <w:rFonts w:eastAsia="Times New Roman"/>
          <w:color w:val="000000"/>
          <w:sz w:val="20"/>
          <w:szCs w:val="20"/>
        </w:rPr>
        <w:t xml:space="preserve"> portfolio to pricing expectations and take in-force actions where appropriate, in accordance with our contracts, applicable law and our governance processes. </w:t>
      </w:r>
    </w:p>
    <w:p w:rsidR="00000000" w:rsidRDefault="005B0BC3">
      <w:pPr>
        <w:divId w:val="2049714782"/>
        <w:rPr>
          <w:rFonts w:eastAsia="Times New Roman"/>
        </w:rPr>
      </w:pPr>
      <w:r>
        <w:rPr>
          <w:rFonts w:eastAsia="Times New Roman"/>
          <w:i/>
          <w:iCs/>
          <w:color w:val="000000"/>
          <w:sz w:val="20"/>
          <w:szCs w:val="20"/>
          <w:u w:val="single"/>
        </w:rPr>
        <w:t>Markets</w:t>
      </w:r>
    </w:p>
    <w:p w:rsidR="00000000" w:rsidRDefault="005B0BC3">
      <w:pPr>
        <w:ind w:firstLine="360"/>
        <w:divId w:val="1782339188"/>
        <w:rPr>
          <w:rFonts w:eastAsia="Times New Roman"/>
        </w:rPr>
      </w:pPr>
      <w:r>
        <w:rPr>
          <w:rFonts w:eastAsia="Times New Roman"/>
          <w:color w:val="000000"/>
          <w:sz w:val="20"/>
          <w:szCs w:val="20"/>
        </w:rPr>
        <w:t>We focus on certain segments of the life insurance market, particularly affluent and hig</w:t>
      </w:r>
      <w:r>
        <w:rPr>
          <w:rFonts w:eastAsia="Times New Roman"/>
          <w:color w:val="000000"/>
          <w:sz w:val="20"/>
          <w:szCs w:val="20"/>
        </w:rPr>
        <w:t>h net worth individuals, as well as small and medium-sized businesses. We focus on creating value for our customers through the differentiated features and benefits we offer on our products. We distribute these products through retail advisors and third-pa</w:t>
      </w:r>
      <w:r>
        <w:rPr>
          <w:rFonts w:eastAsia="Times New Roman"/>
          <w:color w:val="000000"/>
          <w:sz w:val="20"/>
          <w:szCs w:val="20"/>
        </w:rPr>
        <w:t>rty firms who demonstrate the value of life insurance in helping clients to accumulate wealth and protect their assets.</w:t>
      </w:r>
    </w:p>
    <w:p w:rsidR="00000000" w:rsidRDefault="005B0BC3">
      <w:pPr>
        <w:divId w:val="1051228421"/>
        <w:rPr>
          <w:rFonts w:eastAsia="Times New Roman"/>
        </w:rPr>
      </w:pPr>
      <w:r>
        <w:rPr>
          <w:rFonts w:eastAsia="Times New Roman"/>
          <w:i/>
          <w:iCs/>
          <w:color w:val="000000"/>
          <w:sz w:val="20"/>
          <w:szCs w:val="20"/>
          <w:u w:val="single"/>
        </w:rPr>
        <w:t>Distribution</w:t>
      </w:r>
    </w:p>
    <w:p w:rsidR="00000000" w:rsidRDefault="005B0BC3">
      <w:pPr>
        <w:ind w:firstLine="360"/>
        <w:divId w:val="1644459531"/>
        <w:rPr>
          <w:rFonts w:eastAsia="Times New Roman"/>
        </w:rPr>
      </w:pPr>
      <w:r>
        <w:rPr>
          <w:rFonts w:eastAsia="Times New Roman"/>
          <w:color w:val="000000"/>
          <w:sz w:val="20"/>
          <w:szCs w:val="20"/>
        </w:rPr>
        <w:t xml:space="preserve">We primarily distribute life insurance through two channels: Equitable Advisors and third-party firms. We are shifting our </w:t>
      </w:r>
      <w:r>
        <w:rPr>
          <w:rFonts w:eastAsia="Times New Roman"/>
          <w:color w:val="000000"/>
          <w:sz w:val="20"/>
          <w:szCs w:val="20"/>
        </w:rPr>
        <w:t>third-party distribution focus in 2021 to bypass intermediaries by working directly with broker dealers and registered investment advisors that assist clients. This shift will allow us to build stronger distribution by aligning directly with experienced li</w:t>
      </w:r>
      <w:r>
        <w:rPr>
          <w:rFonts w:eastAsia="Times New Roman"/>
          <w:color w:val="000000"/>
          <w:sz w:val="20"/>
          <w:szCs w:val="20"/>
        </w:rPr>
        <w:t>fe producers and by providing digital, transactional capabilities to non-life experts, such as investment advisors. As part of this restructuring, we have aligned our Retail and Third-Party wholesalers into one Omni Channel.</w:t>
      </w:r>
    </w:p>
    <w:p w:rsidR="00000000" w:rsidRDefault="005B0BC3">
      <w:pPr>
        <w:ind w:firstLine="360"/>
        <w:divId w:val="752581254"/>
        <w:rPr>
          <w:rFonts w:eastAsia="Times New Roman"/>
        </w:rPr>
      </w:pPr>
      <w:r>
        <w:rPr>
          <w:rFonts w:eastAsia="Times New Roman"/>
          <w:color w:val="000000"/>
          <w:sz w:val="20"/>
          <w:szCs w:val="20"/>
        </w:rPr>
        <w:t>The following table presents in</w:t>
      </w:r>
      <w:r>
        <w:rPr>
          <w:rFonts w:eastAsia="Times New Roman"/>
          <w:color w:val="000000"/>
          <w:sz w:val="20"/>
          <w:szCs w:val="20"/>
        </w:rPr>
        <w:t>dividual life insurance annualized premium by distribution channel for the periods indicated:</w:t>
      </w:r>
    </w:p>
    <w:p w:rsidR="00000000" w:rsidRDefault="005B0BC3">
      <w:pPr>
        <w:jc w:val="center"/>
        <w:divId w:val="54164307"/>
        <w:rPr>
          <w:rFonts w:eastAsia="Times New Roman"/>
        </w:rPr>
      </w:pPr>
      <w:r>
        <w:rPr>
          <w:rFonts w:eastAsia="Times New Roman"/>
          <w:color w:val="000000"/>
          <w:sz w:val="20"/>
          <w:szCs w:val="20"/>
        </w:rPr>
        <w:t>34</w:t>
      </w:r>
    </w:p>
    <w:p w:rsidR="00000000" w:rsidRDefault="005B0BC3">
      <w:pPr>
        <w:rPr>
          <w:rFonts w:eastAsia="Times New Roman"/>
        </w:rPr>
      </w:pPr>
      <w:r>
        <w:rPr>
          <w:rFonts w:eastAsia="Times New Roman"/>
        </w:rPr>
        <w:pict>
          <v:rect id="_x0000_i1071" style="width:0;height:1.5pt" o:hralign="center" o:hrstd="t" o:hr="t" fillcolor="#a0a0a0" stroked="f"/>
        </w:pict>
      </w:r>
    </w:p>
    <w:p w:rsidR="00000000" w:rsidRDefault="005B0BC3">
      <w:pPr>
        <w:divId w:val="1767574395"/>
        <w:rPr>
          <w:rFonts w:eastAsia="Times New Roman"/>
        </w:rPr>
      </w:pPr>
      <w:hyperlink w:anchor="i2ac35847634046b3a89f93d9b422e8f5_421" w:history="1">
        <w:r>
          <w:rPr>
            <w:rStyle w:val="a3"/>
            <w:rFonts w:eastAsia="Times New Roman"/>
            <w:b/>
            <w:bCs/>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7"/>
        <w:gridCol w:w="4658"/>
        <w:gridCol w:w="36"/>
        <w:gridCol w:w="120"/>
        <w:gridCol w:w="990"/>
        <w:gridCol w:w="36"/>
        <w:gridCol w:w="36"/>
        <w:gridCol w:w="36"/>
        <w:gridCol w:w="36"/>
        <w:gridCol w:w="120"/>
        <w:gridCol w:w="950"/>
        <w:gridCol w:w="36"/>
        <w:gridCol w:w="36"/>
        <w:gridCol w:w="36"/>
        <w:gridCol w:w="36"/>
        <w:gridCol w:w="120"/>
        <w:gridCol w:w="951"/>
        <w:gridCol w:w="36"/>
      </w:tblGrid>
      <w:tr w:rsidR="00000000">
        <w:trPr>
          <w:divId w:val="358745732"/>
        </w:trPr>
        <w:tc>
          <w:tcPr>
            <w:tcW w:w="50" w:type="pct"/>
            <w:vAlign w:val="center"/>
            <w:hideMark/>
          </w:tcPr>
          <w:p w:rsidR="00000000" w:rsidRDefault="005B0BC3">
            <w:pPr>
              <w:rPr>
                <w:rFonts w:eastAsia="Times New Roman"/>
              </w:rPr>
            </w:pPr>
          </w:p>
        </w:tc>
        <w:tc>
          <w:tcPr>
            <w:tcW w:w="283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358745732"/>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r>
      <w:tr w:rsidR="00000000">
        <w:trPr>
          <w:divId w:val="358745732"/>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358745732"/>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358745732"/>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Annualized Premium by Distribution</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358745732"/>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divId w:val="1958561857"/>
              <w:rPr>
                <w:rFonts w:eastAsia="Times New Roman"/>
              </w:rPr>
            </w:pPr>
            <w:r>
              <w:rPr>
                <w:rFonts w:eastAsia="Times New Roman"/>
                <w:color w:val="000000"/>
                <w:sz w:val="20"/>
                <w:szCs w:val="20"/>
              </w:rPr>
              <w:t>Equitable Advisors</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358745732"/>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Third-Party Firms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358745732"/>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210</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168 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206 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divId w:val="1832745926"/>
        <w:rPr>
          <w:rFonts w:eastAsia="Times New Roman"/>
        </w:rPr>
      </w:pPr>
      <w:r>
        <w:rPr>
          <w:rFonts w:eastAsia="Times New Roman"/>
          <w:i/>
          <w:iCs/>
          <w:color w:val="000000"/>
          <w:sz w:val="20"/>
          <w:szCs w:val="20"/>
          <w:u w:val="single"/>
        </w:rPr>
        <w:t>Competition</w:t>
      </w:r>
    </w:p>
    <w:p w:rsidR="00000000" w:rsidRDefault="005B0BC3">
      <w:pPr>
        <w:ind w:firstLine="360"/>
        <w:divId w:val="299044351"/>
        <w:rPr>
          <w:rFonts w:eastAsia="Times New Roman"/>
        </w:rPr>
      </w:pPr>
      <w:r>
        <w:rPr>
          <w:rFonts w:eastAsia="Times New Roman"/>
          <w:color w:val="000000"/>
          <w:sz w:val="20"/>
          <w:szCs w:val="20"/>
        </w:rPr>
        <w:t>The life insurance industry consists of many companies with no single company dominating the market for all products. We selectively compete with large, well-established life insurance companies in a mature market, where product features, price and service</w:t>
      </w:r>
      <w:r>
        <w:rPr>
          <w:rFonts w:eastAsia="Times New Roman"/>
          <w:color w:val="000000"/>
          <w:sz w:val="20"/>
          <w:szCs w:val="20"/>
        </w:rPr>
        <w:t xml:space="preserve"> are key drivers. We primarily compete with others based on these drivers as well as distribution channel relationships, brand recognition, financial strength ratings of our insurance subsidiaries and financial stability. We are selective in our markets of</w:t>
      </w:r>
      <w:r>
        <w:rPr>
          <w:rFonts w:eastAsia="Times New Roman"/>
          <w:color w:val="000000"/>
          <w:sz w:val="20"/>
          <w:szCs w:val="20"/>
        </w:rPr>
        <w:t xml:space="preserve"> interest and will continue to focus deeply in those areas that align to our offering.</w:t>
      </w:r>
    </w:p>
    <w:p w:rsidR="00000000" w:rsidRDefault="005B0BC3">
      <w:pPr>
        <w:divId w:val="147596526"/>
        <w:rPr>
          <w:rFonts w:eastAsia="Times New Roman"/>
        </w:rPr>
      </w:pPr>
      <w:r>
        <w:rPr>
          <w:rFonts w:eastAsia="Times New Roman"/>
          <w:i/>
          <w:iCs/>
          <w:color w:val="000000"/>
          <w:sz w:val="20"/>
          <w:szCs w:val="20"/>
          <w:u w:val="single"/>
        </w:rPr>
        <w:t>Underwriting</w:t>
      </w:r>
    </w:p>
    <w:p w:rsidR="00000000" w:rsidRDefault="005B0BC3">
      <w:pPr>
        <w:ind w:firstLine="360"/>
        <w:divId w:val="1122114295"/>
        <w:rPr>
          <w:rFonts w:eastAsia="Times New Roman"/>
        </w:rPr>
      </w:pPr>
      <w:r>
        <w:rPr>
          <w:rFonts w:eastAsia="Times New Roman"/>
          <w:color w:val="000000"/>
          <w:sz w:val="20"/>
          <w:szCs w:val="20"/>
        </w:rPr>
        <w:t>Our underwriting process, built around extensive underwriting guidelines, is designed to assign prospective insureds to risk classes in a manner that is con</w:t>
      </w:r>
      <w:r>
        <w:rPr>
          <w:rFonts w:eastAsia="Times New Roman"/>
          <w:color w:val="000000"/>
          <w:sz w:val="20"/>
          <w:szCs w:val="20"/>
        </w:rPr>
        <w:t>sistent with our business and financial objectives, including our risk appetite and pricing expectations.</w:t>
      </w:r>
    </w:p>
    <w:p w:rsidR="00000000" w:rsidRDefault="005B0BC3">
      <w:pPr>
        <w:ind w:firstLine="360"/>
        <w:divId w:val="2034840428"/>
        <w:rPr>
          <w:rFonts w:eastAsia="Times New Roman"/>
        </w:rPr>
      </w:pPr>
      <w:r>
        <w:rPr>
          <w:rFonts w:eastAsia="Times New Roman"/>
          <w:color w:val="000000"/>
          <w:sz w:val="20"/>
          <w:szCs w:val="20"/>
        </w:rPr>
        <w:t>As part of making an underwriting decision, our underwriters evaluate information disclosed as part of the application process as well as information obtained from other sources after the application. This information includes, but is not limited to, the i</w:t>
      </w:r>
      <w:r>
        <w:rPr>
          <w:rFonts w:eastAsia="Times New Roman"/>
          <w:color w:val="000000"/>
          <w:sz w:val="20"/>
          <w:szCs w:val="20"/>
        </w:rPr>
        <w:t>nsured’s age and sex, results from medical exams and financial information.</w:t>
      </w:r>
    </w:p>
    <w:p w:rsidR="00000000" w:rsidRDefault="005B0BC3">
      <w:pPr>
        <w:ind w:firstLine="360"/>
        <w:divId w:val="1242637145"/>
        <w:rPr>
          <w:rFonts w:eastAsia="Times New Roman"/>
        </w:rPr>
      </w:pPr>
      <w:r>
        <w:rPr>
          <w:rFonts w:eastAsia="Times New Roman"/>
          <w:color w:val="000000"/>
          <w:sz w:val="20"/>
          <w:szCs w:val="20"/>
        </w:rPr>
        <w:t>We continue to research and develop guideline changes to increase the efficiency of our underwriting process (e.g., through the use of predictive models), both from an internal cos</w:t>
      </w:r>
      <w:r>
        <w:rPr>
          <w:rFonts w:eastAsia="Times New Roman"/>
          <w:color w:val="000000"/>
          <w:sz w:val="20"/>
          <w:szCs w:val="20"/>
        </w:rPr>
        <w:t>t perspective and our customer experience perspective. For example due to effects of the COVID-19 pandemic, we modified our underwriting policies to offer a fluid-less, touchless process to help more clients access the protection they need.</w:t>
      </w:r>
    </w:p>
    <w:p w:rsidR="00000000" w:rsidRDefault="005B0BC3">
      <w:pPr>
        <w:ind w:firstLine="360"/>
        <w:divId w:val="244387576"/>
        <w:rPr>
          <w:rFonts w:eastAsia="Times New Roman"/>
        </w:rPr>
      </w:pPr>
      <w:r>
        <w:rPr>
          <w:rFonts w:eastAsia="Times New Roman"/>
          <w:color w:val="000000"/>
          <w:sz w:val="20"/>
          <w:szCs w:val="20"/>
        </w:rPr>
        <w:t>We manage chang</w:t>
      </w:r>
      <w:r>
        <w:rPr>
          <w:rFonts w:eastAsia="Times New Roman"/>
          <w:color w:val="000000"/>
          <w:sz w:val="20"/>
          <w:szCs w:val="20"/>
        </w:rPr>
        <w:t>es to our underwriting guidelines though a robust governance process that ensures that our underwriting decisions continue to align with our business and financial objectives, including risk appetite and pricing expectations.</w:t>
      </w:r>
    </w:p>
    <w:p w:rsidR="00000000" w:rsidRDefault="005B0BC3">
      <w:pPr>
        <w:ind w:firstLine="360"/>
        <w:divId w:val="969477658"/>
        <w:rPr>
          <w:rFonts w:eastAsia="Times New Roman"/>
        </w:rPr>
      </w:pPr>
      <w:r>
        <w:rPr>
          <w:rFonts w:eastAsia="Times New Roman"/>
          <w:color w:val="000000"/>
          <w:sz w:val="20"/>
          <w:szCs w:val="20"/>
        </w:rPr>
        <w:t>Our team of underwriters and m</w:t>
      </w:r>
      <w:r>
        <w:rPr>
          <w:rFonts w:eastAsia="Times New Roman"/>
          <w:color w:val="000000"/>
          <w:sz w:val="20"/>
          <w:szCs w:val="20"/>
        </w:rPr>
        <w:t>edical directors is dedicated to making accurate, timely and competitive underwriting decisions. Our line underwriters are empowered to make decisions and receive support of underwriting managers and medical directors when needed.</w:t>
      </w:r>
    </w:p>
    <w:p w:rsidR="00000000" w:rsidRDefault="005B0BC3">
      <w:pPr>
        <w:ind w:firstLine="360"/>
        <w:divId w:val="356007097"/>
        <w:rPr>
          <w:rFonts w:eastAsia="Times New Roman"/>
        </w:rPr>
      </w:pPr>
      <w:r>
        <w:rPr>
          <w:rFonts w:eastAsia="Times New Roman"/>
          <w:color w:val="000000"/>
          <w:sz w:val="20"/>
          <w:szCs w:val="20"/>
        </w:rPr>
        <w:t>Our financial due diligen</w:t>
      </w:r>
      <w:r>
        <w:rPr>
          <w:rFonts w:eastAsia="Times New Roman"/>
          <w:color w:val="000000"/>
          <w:sz w:val="20"/>
          <w:szCs w:val="20"/>
        </w:rPr>
        <w:t>ce team combines legal, financial and investigative expertise to support the financial underwriting of complex cases, assist in case design and plays an important role in fraud prevention. We continuously monitor our underwriting decisions through internal</w:t>
      </w:r>
      <w:r>
        <w:rPr>
          <w:rFonts w:eastAsia="Times New Roman"/>
          <w:color w:val="000000"/>
          <w:sz w:val="20"/>
          <w:szCs w:val="20"/>
        </w:rPr>
        <w:t xml:space="preserve"> audits and other quality control processes, to ensure accurate and consistent application of our underwriting guidelines.</w:t>
      </w:r>
    </w:p>
    <w:p w:rsidR="00000000" w:rsidRDefault="005B0BC3">
      <w:pPr>
        <w:ind w:firstLine="360"/>
        <w:divId w:val="694884496"/>
        <w:rPr>
          <w:rFonts w:eastAsia="Times New Roman"/>
        </w:rPr>
      </w:pPr>
      <w:r>
        <w:rPr>
          <w:rFonts w:eastAsia="Times New Roman"/>
          <w:color w:val="000000"/>
          <w:sz w:val="20"/>
          <w:szCs w:val="20"/>
        </w:rPr>
        <w:t>We use reinsurance to manage our mortality risk and volatility. Our reinsurer partners regularly review our underwriting practices an</w:t>
      </w:r>
      <w:r>
        <w:rPr>
          <w:rFonts w:eastAsia="Times New Roman"/>
          <w:color w:val="000000"/>
          <w:sz w:val="20"/>
          <w:szCs w:val="20"/>
        </w:rPr>
        <w:t>d mortality and lapse experience through audits and experience studies, the outcome of which have consistently validated the high-quality underwriting process and decisions.</w:t>
      </w:r>
    </w:p>
    <w:p w:rsidR="00000000" w:rsidRDefault="005B0BC3">
      <w:pPr>
        <w:divId w:val="1541164273"/>
        <w:rPr>
          <w:rFonts w:eastAsia="Times New Roman"/>
        </w:rPr>
      </w:pPr>
      <w:r>
        <w:rPr>
          <w:rFonts w:eastAsia="Times New Roman"/>
          <w:i/>
          <w:iCs/>
          <w:color w:val="000000"/>
          <w:sz w:val="20"/>
          <w:szCs w:val="20"/>
          <w:u w:val="single"/>
        </w:rPr>
        <w:t>Pricing and Fees</w:t>
      </w:r>
    </w:p>
    <w:p w:rsidR="00000000" w:rsidRDefault="005B0BC3">
      <w:pPr>
        <w:ind w:firstLine="360"/>
        <w:divId w:val="1249383740"/>
        <w:rPr>
          <w:rFonts w:eastAsia="Times New Roman"/>
        </w:rPr>
      </w:pPr>
      <w:r>
        <w:rPr>
          <w:rFonts w:eastAsia="Times New Roman"/>
          <w:color w:val="000000"/>
          <w:sz w:val="20"/>
          <w:szCs w:val="20"/>
        </w:rPr>
        <w:t>Life insurance products are priced based upon assumptions includi</w:t>
      </w:r>
      <w:r>
        <w:rPr>
          <w:rFonts w:eastAsia="Times New Roman"/>
          <w:color w:val="000000"/>
          <w:sz w:val="20"/>
          <w:szCs w:val="20"/>
        </w:rPr>
        <w:t>ng, but not limited to, expected future premium payments, surrender rates, mortality and morbidity rates, investment returns, hedging costs, equity returns, expenses and inflation and capital requirements. The primary source of revenue from our life insura</w:t>
      </w:r>
      <w:r>
        <w:rPr>
          <w:rFonts w:eastAsia="Times New Roman"/>
          <w:color w:val="000000"/>
          <w:sz w:val="20"/>
          <w:szCs w:val="20"/>
        </w:rPr>
        <w:t>nce business is premiums, investment income, asset-based fees (including investment management and 12b-1 fees) and policy charges (expense loads, surrender charges, mortality charges and other policy charges).</w:t>
      </w:r>
    </w:p>
    <w:p w:rsidR="00000000" w:rsidRDefault="005B0BC3">
      <w:pPr>
        <w:jc w:val="center"/>
        <w:divId w:val="525483951"/>
        <w:rPr>
          <w:rFonts w:eastAsia="Times New Roman"/>
        </w:rPr>
      </w:pPr>
      <w:r>
        <w:rPr>
          <w:rFonts w:eastAsia="Times New Roman"/>
          <w:color w:val="000000"/>
          <w:sz w:val="20"/>
          <w:szCs w:val="20"/>
        </w:rPr>
        <w:t>35</w:t>
      </w:r>
    </w:p>
    <w:p w:rsidR="00000000" w:rsidRDefault="005B0BC3">
      <w:pPr>
        <w:rPr>
          <w:rFonts w:eastAsia="Times New Roman"/>
        </w:rPr>
      </w:pPr>
      <w:r>
        <w:rPr>
          <w:rFonts w:eastAsia="Times New Roman"/>
        </w:rPr>
        <w:pict>
          <v:rect id="_x0000_i1072" style="width:0;height:1.5pt" o:hralign="center" o:hrstd="t" o:hr="t" fillcolor="#a0a0a0" stroked="f"/>
        </w:pict>
      </w:r>
    </w:p>
    <w:p w:rsidR="00000000" w:rsidRDefault="005B0BC3">
      <w:pPr>
        <w:divId w:val="1762676432"/>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divId w:val="1325065"/>
        <w:rPr>
          <w:rFonts w:eastAsia="Times New Roman"/>
        </w:rPr>
      </w:pPr>
      <w:r>
        <w:rPr>
          <w:rFonts w:eastAsia="Times New Roman"/>
          <w:i/>
          <w:iCs/>
          <w:color w:val="000000"/>
          <w:sz w:val="20"/>
          <w:szCs w:val="20"/>
          <w:u w:val="single"/>
        </w:rPr>
        <w:t>Risk Management</w:t>
      </w:r>
    </w:p>
    <w:p w:rsidR="00000000" w:rsidRDefault="005B0BC3">
      <w:pPr>
        <w:divId w:val="1053235389"/>
        <w:rPr>
          <w:rFonts w:eastAsia="Times New Roman"/>
        </w:rPr>
      </w:pPr>
      <w:r>
        <w:rPr>
          <w:rFonts w:eastAsia="Times New Roman"/>
          <w:b/>
          <w:bCs/>
          <w:color w:val="000000"/>
          <w:sz w:val="20"/>
          <w:szCs w:val="20"/>
        </w:rPr>
        <w:t>Reinsurance</w:t>
      </w:r>
    </w:p>
    <w:p w:rsidR="00000000" w:rsidRDefault="005B0BC3">
      <w:pPr>
        <w:ind w:firstLine="360"/>
        <w:divId w:val="156121383"/>
        <w:rPr>
          <w:rFonts w:eastAsia="Times New Roman"/>
        </w:rPr>
      </w:pPr>
      <w:r>
        <w:rPr>
          <w:rFonts w:eastAsia="Times New Roman"/>
          <w:color w:val="000000"/>
          <w:sz w:val="20"/>
          <w:szCs w:val="20"/>
        </w:rPr>
        <w:t>We use reinsurance to mitigate a portion of our risk and optimize the capital efficiency and operating returns of our life insurance portfolio. As part of o</w:t>
      </w:r>
      <w:r>
        <w:rPr>
          <w:rFonts w:eastAsia="Times New Roman"/>
          <w:color w:val="000000"/>
          <w:sz w:val="20"/>
          <w:szCs w:val="20"/>
        </w:rPr>
        <w:t>ur risk management function, we continuously monitor the financial condition of our reinsurers in an effort to minimize our exposure to significant losses from reinsurer insolvencies. In addition, effective April 1, 2020, we reinsured a material portion of</w:t>
      </w:r>
      <w:r>
        <w:rPr>
          <w:rFonts w:eastAsia="Times New Roman"/>
          <w:color w:val="000000"/>
          <w:sz w:val="20"/>
          <w:szCs w:val="20"/>
        </w:rPr>
        <w:t xml:space="preserve"> our inforce term block. In most cases, amounts in excess of $2 million are reinsured.</w:t>
      </w:r>
    </w:p>
    <w:p w:rsidR="00000000" w:rsidRDefault="005B0BC3">
      <w:pPr>
        <w:ind w:firstLine="360"/>
        <w:divId w:val="331570745"/>
        <w:rPr>
          <w:rFonts w:eastAsia="Times New Roman"/>
        </w:rPr>
      </w:pPr>
      <w:r>
        <w:rPr>
          <w:rFonts w:eastAsia="Times New Roman"/>
          <w:i/>
          <w:iCs/>
          <w:color w:val="000000"/>
          <w:sz w:val="20"/>
          <w:szCs w:val="20"/>
        </w:rPr>
        <w:t>Non-affiliate Reinsurance.</w:t>
      </w:r>
      <w:r>
        <w:rPr>
          <w:rFonts w:eastAsia="Times New Roman"/>
          <w:color w:val="000000"/>
          <w:sz w:val="20"/>
          <w:szCs w:val="20"/>
        </w:rPr>
        <w:t xml:space="preserve"> We generally obtain reinsurance for the portion of a life insurance policy that exceeds $10 million. We have set up reinsurance pools with hig</w:t>
      </w:r>
      <w:r>
        <w:rPr>
          <w:rFonts w:eastAsia="Times New Roman"/>
          <w:color w:val="000000"/>
          <w:sz w:val="20"/>
          <w:szCs w:val="20"/>
        </w:rPr>
        <w:t>hly rated unaffiliated reinsurers that obligate the pool participants to pay death claim amounts in excess of our retention limits for an agreed-upon premium.</w:t>
      </w:r>
    </w:p>
    <w:p w:rsidR="00000000" w:rsidRDefault="005B0BC3">
      <w:pPr>
        <w:ind w:firstLine="360"/>
        <w:divId w:val="1310019695"/>
        <w:rPr>
          <w:rFonts w:eastAsia="Times New Roman"/>
        </w:rPr>
      </w:pPr>
      <w:r>
        <w:rPr>
          <w:rFonts w:eastAsia="Times New Roman"/>
          <w:i/>
          <w:iCs/>
          <w:color w:val="000000"/>
          <w:sz w:val="20"/>
          <w:szCs w:val="20"/>
        </w:rPr>
        <w:t xml:space="preserve">Captive Reinsurance. </w:t>
      </w:r>
      <w:r>
        <w:rPr>
          <w:rFonts w:eastAsia="Times New Roman"/>
          <w:color w:val="000000"/>
          <w:sz w:val="20"/>
          <w:szCs w:val="20"/>
        </w:rPr>
        <w:t>EQ AZ Life Re Company reinsures a 90% quota share of level premium term insu</w:t>
      </w:r>
      <w:r>
        <w:rPr>
          <w:rFonts w:eastAsia="Times New Roman"/>
          <w:color w:val="000000"/>
          <w:sz w:val="20"/>
          <w:szCs w:val="20"/>
        </w:rPr>
        <w:t>rance issued by Equitable Financial on or after March 1, 2003 through December 31, 2008 and 90% of the risk of the lapse protection riders under UL insurance policies issued by Equitable Financial on or after June 1, 2003 through June 30, 2007 and those is</w:t>
      </w:r>
      <w:r>
        <w:rPr>
          <w:rFonts w:eastAsia="Times New Roman"/>
          <w:color w:val="000000"/>
          <w:sz w:val="20"/>
          <w:szCs w:val="20"/>
        </w:rPr>
        <w:t>sued by Equitable America on or after June 1, 2003 through June 30, 2007 on a 90% quota share basis as well as excess claims relating to certain variable annuities with GMIB riders issued by Equitable Financial. We use captive reinsurance as part of our ca</w:t>
      </w:r>
      <w:r>
        <w:rPr>
          <w:rFonts w:eastAsia="Times New Roman"/>
          <w:color w:val="000000"/>
          <w:sz w:val="20"/>
          <w:szCs w:val="20"/>
        </w:rPr>
        <w:t>pital management strategy. For additional information regarding our use of captives, see “—Regulation—Insurance Regulation—Captive Reinsurance Regulation and Variable Annuity Capital Standards”, “Risk Factors—Risks Relating to Our Retirement and Protection</w:t>
      </w:r>
      <w:r>
        <w:rPr>
          <w:rFonts w:eastAsia="Times New Roman"/>
          <w:color w:val="000000"/>
          <w:sz w:val="20"/>
          <w:szCs w:val="20"/>
        </w:rPr>
        <w:t xml:space="preserve"> Businesses—Risks Relating to Reinsurance and Hedging—Our reinsurance arrangement with an affiliated captive” and “Management’s Discussion and Analysis of Financial Condition and Results of Operations—Liquidity and Capital Resources—Captive Reinsurance Com</w:t>
      </w:r>
      <w:r>
        <w:rPr>
          <w:rFonts w:eastAsia="Times New Roman"/>
          <w:color w:val="000000"/>
          <w:sz w:val="20"/>
          <w:szCs w:val="20"/>
        </w:rPr>
        <w:t>pany.”</w:t>
      </w:r>
    </w:p>
    <w:p w:rsidR="00000000" w:rsidRDefault="005B0BC3">
      <w:pPr>
        <w:divId w:val="1167600819"/>
        <w:rPr>
          <w:rFonts w:eastAsia="Times New Roman"/>
        </w:rPr>
      </w:pPr>
      <w:r>
        <w:rPr>
          <w:rFonts w:eastAsia="Times New Roman"/>
          <w:b/>
          <w:bCs/>
          <w:color w:val="000000"/>
          <w:sz w:val="20"/>
          <w:szCs w:val="20"/>
        </w:rPr>
        <w:t>Hedging</w:t>
      </w:r>
    </w:p>
    <w:p w:rsidR="00000000" w:rsidRDefault="005B0BC3">
      <w:pPr>
        <w:ind w:firstLine="360"/>
        <w:divId w:val="1594128099"/>
        <w:rPr>
          <w:rFonts w:eastAsia="Times New Roman"/>
        </w:rPr>
      </w:pPr>
      <w:r>
        <w:rPr>
          <w:rFonts w:eastAsia="Times New Roman"/>
          <w:color w:val="000000"/>
          <w:sz w:val="20"/>
          <w:szCs w:val="20"/>
        </w:rPr>
        <w:t>We hedge the exposure contained in our IUL products and the MSO rider we offer on our VUL products. These products and riders allow the policyholder to participate in the performance of an index price movement up to certain caps and/or prote</w:t>
      </w:r>
      <w:r>
        <w:rPr>
          <w:rFonts w:eastAsia="Times New Roman"/>
          <w:color w:val="000000"/>
          <w:sz w:val="20"/>
          <w:szCs w:val="20"/>
        </w:rPr>
        <w:t>ct the policyholder in a movement down for a set period of time. In order to support our obligations under these investment options, we enter into derivatives contracts whose payouts, in combination with returns from the underlying fixed income investments</w:t>
      </w:r>
      <w:r>
        <w:rPr>
          <w:rFonts w:eastAsia="Times New Roman"/>
          <w:color w:val="000000"/>
          <w:sz w:val="20"/>
          <w:szCs w:val="20"/>
        </w:rPr>
        <w:t>, seek to replicate those of the index price, subject to prescribed caps and buffers.</w:t>
      </w:r>
    </w:p>
    <w:p w:rsidR="00000000" w:rsidRDefault="005B0BC3">
      <w:pPr>
        <w:jc w:val="both"/>
        <w:divId w:val="2125032330"/>
        <w:rPr>
          <w:rFonts w:eastAsia="Times New Roman"/>
        </w:rPr>
      </w:pPr>
      <w:r>
        <w:rPr>
          <w:rFonts w:eastAsia="Times New Roman"/>
          <w:b/>
          <w:bCs/>
          <w:i/>
          <w:iCs/>
          <w:color w:val="000000"/>
          <w:sz w:val="20"/>
          <w:szCs w:val="20"/>
        </w:rPr>
        <w:t>Employee Benefits</w:t>
      </w:r>
    </w:p>
    <w:p w:rsidR="00000000" w:rsidRDefault="005B0BC3">
      <w:pPr>
        <w:ind w:firstLine="360"/>
        <w:divId w:val="942999785"/>
        <w:rPr>
          <w:rFonts w:eastAsia="Times New Roman"/>
        </w:rPr>
      </w:pPr>
      <w:r>
        <w:rPr>
          <w:rFonts w:eastAsia="Times New Roman"/>
          <w:color w:val="000000"/>
          <w:sz w:val="20"/>
          <w:szCs w:val="20"/>
        </w:rPr>
        <w:t>Our employee benefits business focuses on serving small and medium-sized businesses, a priority segment for us, offering these businesses a differentiat</w:t>
      </w:r>
      <w:r>
        <w:rPr>
          <w:rFonts w:eastAsia="Times New Roman"/>
          <w:color w:val="000000"/>
          <w:sz w:val="20"/>
          <w:szCs w:val="20"/>
        </w:rPr>
        <w:t>ed technology platform and competitive suite of group insurance products. Leveraging our innovative technology platform, we have formed strategic partnerships with large insurance and health carriers as their primary group benefits provider. As a new entra</w:t>
      </w:r>
      <w:r>
        <w:rPr>
          <w:rFonts w:eastAsia="Times New Roman"/>
          <w:color w:val="000000"/>
          <w:sz w:val="20"/>
          <w:szCs w:val="20"/>
        </w:rPr>
        <w:t>nt in the employee benefits market we were able to build a platform from the ground up, without reliance on legacy systems. This puts us in a position to embrace industry shifts quickly and provides us with an advantage over many competitors.</w:t>
      </w:r>
    </w:p>
    <w:p w:rsidR="00000000" w:rsidRDefault="005B0BC3">
      <w:pPr>
        <w:divId w:val="1797522083"/>
        <w:rPr>
          <w:rFonts w:eastAsia="Times New Roman"/>
        </w:rPr>
      </w:pPr>
      <w:r>
        <w:rPr>
          <w:rFonts w:eastAsia="Times New Roman"/>
          <w:i/>
          <w:iCs/>
          <w:color w:val="000000"/>
          <w:sz w:val="20"/>
          <w:szCs w:val="20"/>
          <w:u w:val="single"/>
        </w:rPr>
        <w:t>Products</w:t>
      </w:r>
    </w:p>
    <w:p w:rsidR="00000000" w:rsidRDefault="005B0BC3">
      <w:pPr>
        <w:ind w:firstLine="360"/>
        <w:divId w:val="1073964987"/>
        <w:rPr>
          <w:rFonts w:eastAsia="Times New Roman"/>
        </w:rPr>
      </w:pPr>
      <w:r>
        <w:rPr>
          <w:rFonts w:eastAsia="Times New Roman"/>
          <w:color w:val="000000"/>
          <w:sz w:val="20"/>
          <w:szCs w:val="20"/>
        </w:rPr>
        <w:t xml:space="preserve">Our </w:t>
      </w:r>
      <w:r>
        <w:rPr>
          <w:rFonts w:eastAsia="Times New Roman"/>
          <w:color w:val="000000"/>
          <w:sz w:val="20"/>
          <w:szCs w:val="20"/>
        </w:rPr>
        <w:t>products are designed to provide valuable protection for employees as well as help employers attract employees and control costs. We currently offer a suite of Group Life Insurance (including Accidental Death &amp; Dismemberment), Supplemental Life, Dental, Vi</w:t>
      </w:r>
      <w:r>
        <w:rPr>
          <w:rFonts w:eastAsia="Times New Roman"/>
          <w:color w:val="000000"/>
          <w:sz w:val="20"/>
          <w:szCs w:val="20"/>
        </w:rPr>
        <w:t>sion, Short-Term Disability, Long-Term Disability, Critical Illness and Accident insurance products.</w:t>
      </w:r>
    </w:p>
    <w:p w:rsidR="00000000" w:rsidRDefault="005B0BC3">
      <w:pPr>
        <w:divId w:val="272370441"/>
        <w:rPr>
          <w:rFonts w:eastAsia="Times New Roman"/>
        </w:rPr>
      </w:pPr>
    </w:p>
    <w:p w:rsidR="00000000" w:rsidRDefault="005B0BC3">
      <w:pPr>
        <w:ind w:hanging="450"/>
        <w:divId w:val="1495102455"/>
        <w:rPr>
          <w:rFonts w:eastAsia="Times New Roman"/>
        </w:rPr>
      </w:pPr>
      <w:r>
        <w:rPr>
          <w:rFonts w:eastAsia="Times New Roman"/>
          <w:color w:val="000000"/>
          <w:sz w:val="20"/>
          <w:szCs w:val="20"/>
        </w:rPr>
        <w:t>The following table presents employee benefits gross premiums and annualized premium for the periods indicated:</w:t>
      </w:r>
    </w:p>
    <w:p w:rsidR="00000000" w:rsidRDefault="005B0BC3">
      <w:pPr>
        <w:jc w:val="center"/>
        <w:divId w:val="1861234554"/>
        <w:rPr>
          <w:rFonts w:eastAsia="Times New Roman"/>
        </w:rPr>
      </w:pPr>
      <w:r>
        <w:rPr>
          <w:rFonts w:eastAsia="Times New Roman"/>
          <w:color w:val="000000"/>
          <w:sz w:val="20"/>
          <w:szCs w:val="20"/>
        </w:rPr>
        <w:t>36</w:t>
      </w:r>
    </w:p>
    <w:p w:rsidR="00000000" w:rsidRDefault="005B0BC3">
      <w:pPr>
        <w:rPr>
          <w:rFonts w:eastAsia="Times New Roman"/>
        </w:rPr>
      </w:pPr>
      <w:r>
        <w:rPr>
          <w:rFonts w:eastAsia="Times New Roman"/>
        </w:rPr>
        <w:pict>
          <v:rect id="_x0000_i1073" style="width:0;height:1.5pt" o:hralign="center" o:hrstd="t" o:hr="t" fillcolor="#a0a0a0" stroked="f"/>
        </w:pict>
      </w:r>
    </w:p>
    <w:p w:rsidR="00000000" w:rsidRDefault="005B0BC3">
      <w:pPr>
        <w:divId w:val="1602880916"/>
        <w:rPr>
          <w:rFonts w:eastAsia="Times New Roman"/>
        </w:rPr>
      </w:pPr>
      <w:hyperlink w:anchor="i2ac35847634046b3a89f93d9b422e8f5_421" w:history="1">
        <w:r>
          <w:rPr>
            <w:rStyle w:val="a3"/>
            <w:rFonts w:eastAsia="Times New Roman"/>
            <w:b/>
            <w:bCs/>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7"/>
        <w:gridCol w:w="4658"/>
        <w:gridCol w:w="36"/>
        <w:gridCol w:w="120"/>
        <w:gridCol w:w="990"/>
        <w:gridCol w:w="36"/>
        <w:gridCol w:w="36"/>
        <w:gridCol w:w="36"/>
        <w:gridCol w:w="36"/>
        <w:gridCol w:w="120"/>
        <w:gridCol w:w="950"/>
        <w:gridCol w:w="36"/>
        <w:gridCol w:w="36"/>
        <w:gridCol w:w="36"/>
        <w:gridCol w:w="36"/>
        <w:gridCol w:w="120"/>
        <w:gridCol w:w="951"/>
        <w:gridCol w:w="36"/>
      </w:tblGrid>
      <w:tr w:rsidR="00000000">
        <w:trPr>
          <w:divId w:val="1062681232"/>
        </w:trPr>
        <w:tc>
          <w:tcPr>
            <w:tcW w:w="50" w:type="pct"/>
            <w:vAlign w:val="center"/>
            <w:hideMark/>
          </w:tcPr>
          <w:p w:rsidR="00000000" w:rsidRDefault="005B0BC3">
            <w:pPr>
              <w:rPr>
                <w:rFonts w:eastAsia="Times New Roman"/>
              </w:rPr>
            </w:pPr>
          </w:p>
        </w:tc>
        <w:tc>
          <w:tcPr>
            <w:tcW w:w="283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062681232"/>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r>
      <w:tr w:rsidR="00000000">
        <w:trPr>
          <w:divId w:val="1062681232"/>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1062681232"/>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1062681232"/>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Employee Benefits Gross Premiums</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062681232"/>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Group life insurance sales</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062681232"/>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Short-term disability</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062681232"/>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Long-term disability</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062681232"/>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Dental</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062681232"/>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Vision</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062681232"/>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Other (1)</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062681232"/>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216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062681232"/>
          <w:trHeight w:val="280"/>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062681232"/>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Annualized premium</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divId w:val="827012407"/>
        <w:rPr>
          <w:rFonts w:eastAsia="Times New Roman"/>
        </w:rPr>
      </w:pPr>
      <w:r>
        <w:rPr>
          <w:rFonts w:eastAsia="Times New Roman"/>
          <w:color w:val="000000"/>
          <w:sz w:val="20"/>
          <w:szCs w:val="20"/>
        </w:rPr>
        <w:t>_______________</w:t>
      </w:r>
    </w:p>
    <w:p w:rsidR="00000000" w:rsidRDefault="005B0BC3">
      <w:pPr>
        <w:divId w:val="125516730"/>
        <w:rPr>
          <w:rFonts w:eastAsia="Times New Roman"/>
        </w:rPr>
      </w:pPr>
      <w:r>
        <w:rPr>
          <w:rFonts w:eastAsia="Times New Roman"/>
          <w:color w:val="000000"/>
          <w:sz w:val="20"/>
          <w:szCs w:val="20"/>
        </w:rPr>
        <w:t>(1) Other includes Critical Illness and Accident insurance products.</w:t>
      </w:r>
    </w:p>
    <w:p w:rsidR="00000000" w:rsidRDefault="005B0BC3">
      <w:pPr>
        <w:divId w:val="1923442713"/>
        <w:rPr>
          <w:rFonts w:eastAsia="Times New Roman"/>
        </w:rPr>
      </w:pPr>
      <w:r>
        <w:rPr>
          <w:rFonts w:eastAsia="Times New Roman"/>
          <w:i/>
          <w:iCs/>
          <w:color w:val="000000"/>
          <w:sz w:val="20"/>
          <w:szCs w:val="20"/>
          <w:u w:val="single"/>
        </w:rPr>
        <w:t>Markets</w:t>
      </w:r>
    </w:p>
    <w:p w:rsidR="00000000" w:rsidRDefault="005B0BC3">
      <w:pPr>
        <w:ind w:firstLine="360"/>
        <w:divId w:val="630130152"/>
        <w:rPr>
          <w:rFonts w:eastAsia="Times New Roman"/>
        </w:rPr>
      </w:pPr>
      <w:r>
        <w:rPr>
          <w:rFonts w:eastAsia="Times New Roman"/>
          <w:color w:val="000000"/>
          <w:sz w:val="20"/>
          <w:szCs w:val="20"/>
        </w:rPr>
        <w:t>Our employee benefit product suite is focused on small and medium-sized businesses seeking simple, technology-driven employee benefits</w:t>
      </w:r>
      <w:r>
        <w:rPr>
          <w:rFonts w:eastAsia="Times New Roman"/>
          <w:color w:val="000000"/>
          <w:sz w:val="20"/>
          <w:szCs w:val="20"/>
        </w:rPr>
        <w:t xml:space="preserve"> management. We built the employee benefits business based on feedback from brokers and employers, ensuring the business’ relevance to the market we address. We are committed to continuously evolving our product suite and technology platform to meet market</w:t>
      </w:r>
      <w:r>
        <w:rPr>
          <w:rFonts w:eastAsia="Times New Roman"/>
          <w:color w:val="000000"/>
          <w:sz w:val="20"/>
          <w:szCs w:val="20"/>
        </w:rPr>
        <w:t xml:space="preserve"> needs.</w:t>
      </w:r>
    </w:p>
    <w:p w:rsidR="00000000" w:rsidRDefault="005B0BC3">
      <w:pPr>
        <w:divId w:val="411466230"/>
        <w:rPr>
          <w:rFonts w:eastAsia="Times New Roman"/>
        </w:rPr>
      </w:pPr>
      <w:r>
        <w:rPr>
          <w:rFonts w:eastAsia="Times New Roman"/>
          <w:i/>
          <w:iCs/>
          <w:color w:val="000000"/>
          <w:sz w:val="20"/>
          <w:szCs w:val="20"/>
          <w:u w:val="single"/>
        </w:rPr>
        <w:t>Distribution</w:t>
      </w:r>
    </w:p>
    <w:p w:rsidR="00000000" w:rsidRDefault="005B0BC3">
      <w:pPr>
        <w:ind w:firstLine="270"/>
        <w:divId w:val="2147165533"/>
        <w:rPr>
          <w:rFonts w:eastAsia="Times New Roman"/>
        </w:rPr>
      </w:pPr>
      <w:r>
        <w:rPr>
          <w:rFonts w:eastAsia="Times New Roman"/>
          <w:color w:val="000000"/>
          <w:sz w:val="20"/>
          <w:szCs w:val="20"/>
        </w:rPr>
        <w:t>Our Employee Benefits’ solutions are distributed through the traditional broker channel, strategic partnerships (medical partners, PEOs, and associations), General Agencies, TPAs and Equitable Advisors.</w:t>
      </w:r>
    </w:p>
    <w:p w:rsidR="00000000" w:rsidRDefault="005B0BC3">
      <w:pPr>
        <w:divId w:val="1979919333"/>
        <w:rPr>
          <w:rFonts w:eastAsia="Times New Roman"/>
        </w:rPr>
      </w:pPr>
      <w:r>
        <w:rPr>
          <w:rFonts w:eastAsia="Times New Roman"/>
          <w:i/>
          <w:iCs/>
          <w:color w:val="000000"/>
          <w:sz w:val="20"/>
          <w:szCs w:val="20"/>
          <w:u w:val="single"/>
        </w:rPr>
        <w:t>Competition</w:t>
      </w:r>
    </w:p>
    <w:p w:rsidR="00000000" w:rsidRDefault="005B0BC3">
      <w:pPr>
        <w:ind w:firstLine="360"/>
        <w:divId w:val="2145268691"/>
        <w:rPr>
          <w:rFonts w:eastAsia="Times New Roman"/>
        </w:rPr>
      </w:pPr>
      <w:r>
        <w:rPr>
          <w:rFonts w:eastAsia="Times New Roman"/>
          <w:color w:val="000000"/>
          <w:sz w:val="20"/>
          <w:szCs w:val="20"/>
        </w:rPr>
        <w:t>The employee benefit</w:t>
      </w:r>
      <w:r>
        <w:rPr>
          <w:rFonts w:eastAsia="Times New Roman"/>
          <w:color w:val="000000"/>
          <w:sz w:val="20"/>
          <w:szCs w:val="20"/>
        </w:rPr>
        <w:t>s space is a competitive environment. The main factors of competition include price, quality of customer service and claims management, technological capabilities, quality of distribution and financial strength ratings. In this market, we compete with seve</w:t>
      </w:r>
      <w:r>
        <w:rPr>
          <w:rFonts w:eastAsia="Times New Roman"/>
          <w:color w:val="000000"/>
          <w:sz w:val="20"/>
          <w:szCs w:val="20"/>
        </w:rPr>
        <w:t>ral companies offering similar products. In addition, there is competition in attracting brokers to actively market our products. Key competitive factors in attracting brokers include product offerings and features, financial strength, support services and</w:t>
      </w:r>
      <w:r>
        <w:rPr>
          <w:rFonts w:eastAsia="Times New Roman"/>
          <w:color w:val="000000"/>
          <w:sz w:val="20"/>
          <w:szCs w:val="20"/>
        </w:rPr>
        <w:t xml:space="preserve"> compensation.</w:t>
      </w:r>
    </w:p>
    <w:p w:rsidR="00000000" w:rsidRDefault="005B0BC3">
      <w:pPr>
        <w:divId w:val="764423693"/>
        <w:rPr>
          <w:rFonts w:eastAsia="Times New Roman"/>
        </w:rPr>
      </w:pPr>
      <w:r>
        <w:rPr>
          <w:rFonts w:eastAsia="Times New Roman"/>
          <w:i/>
          <w:iCs/>
          <w:color w:val="000000"/>
          <w:sz w:val="20"/>
          <w:szCs w:val="20"/>
          <w:u w:val="single"/>
        </w:rPr>
        <w:t>Underwriting</w:t>
      </w:r>
    </w:p>
    <w:p w:rsidR="00000000" w:rsidRDefault="005B0BC3">
      <w:pPr>
        <w:ind w:firstLine="360"/>
        <w:divId w:val="1004667552"/>
        <w:rPr>
          <w:rFonts w:eastAsia="Times New Roman"/>
        </w:rPr>
      </w:pPr>
      <w:r>
        <w:rPr>
          <w:rFonts w:eastAsia="Times New Roman"/>
          <w:color w:val="000000"/>
          <w:sz w:val="20"/>
          <w:szCs w:val="20"/>
        </w:rPr>
        <w:t>We manage the underwriting process to facilitate quality sales and serve the needs of our customers, while supporting our financial strength and business objectives. The application of our underwriting guidelines is continuously</w:t>
      </w:r>
      <w:r>
        <w:rPr>
          <w:rFonts w:eastAsia="Times New Roman"/>
          <w:color w:val="000000"/>
          <w:sz w:val="20"/>
          <w:szCs w:val="20"/>
        </w:rPr>
        <w:t xml:space="preserve"> monitored through internal underwriting controls and audits to achieve high standards of underwriting and consistency.</w:t>
      </w:r>
    </w:p>
    <w:p w:rsidR="00000000" w:rsidRDefault="005B0BC3">
      <w:pPr>
        <w:divId w:val="802191718"/>
        <w:rPr>
          <w:rFonts w:eastAsia="Times New Roman"/>
        </w:rPr>
      </w:pPr>
      <w:r>
        <w:rPr>
          <w:rFonts w:eastAsia="Times New Roman"/>
          <w:i/>
          <w:iCs/>
          <w:color w:val="000000"/>
          <w:sz w:val="20"/>
          <w:szCs w:val="20"/>
          <w:u w:val="single"/>
        </w:rPr>
        <w:t>Pricing and Fees</w:t>
      </w:r>
    </w:p>
    <w:p w:rsidR="00000000" w:rsidRDefault="005B0BC3">
      <w:pPr>
        <w:ind w:firstLine="360"/>
        <w:divId w:val="1623076844"/>
        <w:rPr>
          <w:rFonts w:eastAsia="Times New Roman"/>
        </w:rPr>
      </w:pPr>
      <w:r>
        <w:rPr>
          <w:rFonts w:eastAsia="Times New Roman"/>
          <w:color w:val="000000"/>
          <w:sz w:val="20"/>
          <w:szCs w:val="20"/>
        </w:rPr>
        <w:t>Employee benefits pricing reflects the claims experience and the risk characteristics of each group. We set appropriate plans for the group based on demographic information and, for larger groups, also evaluate the experience of the group. The claims exper</w:t>
      </w:r>
      <w:r>
        <w:rPr>
          <w:rFonts w:eastAsia="Times New Roman"/>
          <w:color w:val="000000"/>
          <w:sz w:val="20"/>
          <w:szCs w:val="20"/>
        </w:rPr>
        <w:t>ience is reviewed at the time of policy issuance and during the renewal timeframes, resulting in periodic pricing adjustments at the group level.</w:t>
      </w:r>
    </w:p>
    <w:p w:rsidR="00000000" w:rsidRDefault="005B0BC3">
      <w:pPr>
        <w:divId w:val="181281510"/>
        <w:rPr>
          <w:rFonts w:eastAsia="Times New Roman"/>
        </w:rPr>
      </w:pPr>
      <w:r>
        <w:rPr>
          <w:rFonts w:eastAsia="Times New Roman"/>
          <w:i/>
          <w:iCs/>
          <w:color w:val="000000"/>
          <w:sz w:val="20"/>
          <w:szCs w:val="20"/>
          <w:u w:val="single"/>
        </w:rPr>
        <w:t>Reinsurance</w:t>
      </w:r>
    </w:p>
    <w:p w:rsidR="00000000" w:rsidRDefault="005B0BC3">
      <w:pPr>
        <w:ind w:firstLine="360"/>
        <w:divId w:val="1595015897"/>
        <w:rPr>
          <w:rFonts w:eastAsia="Times New Roman"/>
        </w:rPr>
      </w:pPr>
      <w:r>
        <w:rPr>
          <w:rFonts w:eastAsia="Times New Roman"/>
          <w:color w:val="000000"/>
          <w:sz w:val="20"/>
          <w:szCs w:val="20"/>
        </w:rPr>
        <w:t>We reinsure our group life, disability, critical illness, and accident products. These treaties in</w:t>
      </w:r>
      <w:r>
        <w:rPr>
          <w:rFonts w:eastAsia="Times New Roman"/>
          <w:color w:val="000000"/>
          <w:sz w:val="20"/>
          <w:szCs w:val="20"/>
        </w:rPr>
        <w:t>clude both quota share reinsurance and excess of loss. Specifics of each treaty vary by product and support our risk management objectives.</w:t>
      </w:r>
    </w:p>
    <w:p w:rsidR="00000000" w:rsidRDefault="005B0BC3">
      <w:pPr>
        <w:divId w:val="1379551244"/>
        <w:rPr>
          <w:rFonts w:eastAsia="Times New Roman"/>
        </w:rPr>
      </w:pPr>
      <w:r>
        <w:rPr>
          <w:rFonts w:eastAsia="Times New Roman"/>
          <w:b/>
          <w:bCs/>
          <w:color w:val="000000"/>
          <w:sz w:val="20"/>
          <w:szCs w:val="20"/>
        </w:rPr>
        <w:t>Corporate and Other</w:t>
      </w:r>
    </w:p>
    <w:p w:rsidR="00000000" w:rsidRDefault="005B0BC3">
      <w:pPr>
        <w:ind w:firstLine="360"/>
        <w:divId w:val="221525551"/>
        <w:rPr>
          <w:rFonts w:eastAsia="Times New Roman"/>
        </w:rPr>
      </w:pPr>
      <w:r>
        <w:rPr>
          <w:rFonts w:eastAsia="Times New Roman"/>
          <w:color w:val="000000"/>
          <w:sz w:val="20"/>
          <w:szCs w:val="20"/>
        </w:rPr>
        <w:t>Corporate and Other includes certain of our financing and investment expenses. It also includes:</w:t>
      </w:r>
      <w:r>
        <w:rPr>
          <w:rFonts w:eastAsia="Times New Roman"/>
          <w:color w:val="000000"/>
          <w:sz w:val="20"/>
          <w:szCs w:val="20"/>
        </w:rPr>
        <w:t xml:space="preserve"> the Equitable Advisors broker-dealer business, Closed Block, run-off group pension business, run-off health business, benefit plans for our employees and certain unallocated items, including capital and related investments, interest expense and corporate </w:t>
      </w:r>
      <w:r>
        <w:rPr>
          <w:rFonts w:eastAsia="Times New Roman"/>
          <w:color w:val="000000"/>
          <w:sz w:val="20"/>
          <w:szCs w:val="20"/>
        </w:rPr>
        <w:t xml:space="preserve">expense. AB’s results of </w:t>
      </w:r>
    </w:p>
    <w:p w:rsidR="00000000" w:rsidRDefault="005B0BC3">
      <w:pPr>
        <w:jc w:val="center"/>
        <w:divId w:val="984969922"/>
        <w:rPr>
          <w:rFonts w:eastAsia="Times New Roman"/>
        </w:rPr>
      </w:pPr>
      <w:r>
        <w:rPr>
          <w:rFonts w:eastAsia="Times New Roman"/>
          <w:color w:val="000000"/>
          <w:sz w:val="20"/>
          <w:szCs w:val="20"/>
        </w:rPr>
        <w:t>37</w:t>
      </w:r>
    </w:p>
    <w:p w:rsidR="00000000" w:rsidRDefault="005B0BC3">
      <w:pPr>
        <w:rPr>
          <w:rFonts w:eastAsia="Times New Roman"/>
        </w:rPr>
      </w:pPr>
      <w:r>
        <w:rPr>
          <w:rFonts w:eastAsia="Times New Roman"/>
        </w:rPr>
        <w:pict>
          <v:rect id="_x0000_i1074" style="width:0;height:1.5pt" o:hralign="center" o:hrstd="t" o:hr="t" fillcolor="#a0a0a0" stroked="f"/>
        </w:pict>
      </w:r>
    </w:p>
    <w:p w:rsidR="00000000" w:rsidRDefault="005B0BC3">
      <w:pPr>
        <w:divId w:val="1358921169"/>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divId w:val="1425882713"/>
        <w:rPr>
          <w:rFonts w:eastAsia="Times New Roman"/>
        </w:rPr>
      </w:pPr>
      <w:r>
        <w:rPr>
          <w:rFonts w:eastAsia="Times New Roman"/>
          <w:color w:val="000000"/>
          <w:sz w:val="20"/>
          <w:szCs w:val="20"/>
        </w:rPr>
        <w:t>operations are reflected in the Investment Management and Research segment. Accordingly, Corporate and Other doe</w:t>
      </w:r>
      <w:r>
        <w:rPr>
          <w:rFonts w:eastAsia="Times New Roman"/>
          <w:color w:val="000000"/>
          <w:sz w:val="20"/>
          <w:szCs w:val="20"/>
        </w:rPr>
        <w:t xml:space="preserve">s not include any items applicable to AB. </w:t>
      </w:r>
    </w:p>
    <w:p w:rsidR="00000000" w:rsidRDefault="005B0BC3">
      <w:pPr>
        <w:jc w:val="both"/>
        <w:divId w:val="1884831284"/>
        <w:rPr>
          <w:rFonts w:eastAsia="Times New Roman"/>
        </w:rPr>
      </w:pPr>
      <w:r>
        <w:rPr>
          <w:rFonts w:eastAsia="Times New Roman"/>
          <w:b/>
          <w:bCs/>
          <w:i/>
          <w:iCs/>
          <w:color w:val="000000"/>
          <w:sz w:val="20"/>
          <w:szCs w:val="20"/>
        </w:rPr>
        <w:t>Equitable Advisors Broker-Dealer Business</w:t>
      </w:r>
    </w:p>
    <w:p w:rsidR="00000000" w:rsidRDefault="005B0BC3">
      <w:pPr>
        <w:ind w:firstLine="360"/>
        <w:divId w:val="2106145027"/>
        <w:rPr>
          <w:rFonts w:eastAsia="Times New Roman"/>
        </w:rPr>
      </w:pPr>
      <w:r>
        <w:rPr>
          <w:rFonts w:eastAsia="Times New Roman"/>
          <w:color w:val="000000"/>
          <w:sz w:val="20"/>
          <w:szCs w:val="20"/>
        </w:rPr>
        <w:t>Equitable Advisors provides financial planning and advice, insurance and savings solutions, as well as full-service brokerage services through our financial advisors who have access to a broad selection of both affiliated and non-affiliated products to hel</w:t>
      </w:r>
      <w:r>
        <w:rPr>
          <w:rFonts w:eastAsia="Times New Roman"/>
          <w:color w:val="000000"/>
          <w:sz w:val="20"/>
          <w:szCs w:val="20"/>
        </w:rPr>
        <w:t>p clients meet their financial needs. While the revenue from retirement and protection products sold through Equitable Advisors is recognized within the Individual Retirement, Group Retirement and Protection Solutions segments, Corporate and Other includes</w:t>
      </w:r>
      <w:r>
        <w:rPr>
          <w:rFonts w:eastAsia="Times New Roman"/>
          <w:color w:val="000000"/>
          <w:sz w:val="20"/>
          <w:szCs w:val="20"/>
        </w:rPr>
        <w:t xml:space="preserve"> revenue from the AUA of the Equitable Advisors broker-dealer business. As of December 31, 2021, the Equitable Advisors broker-dealer business included $83 billion in AUA.</w:t>
      </w:r>
    </w:p>
    <w:p w:rsidR="00000000" w:rsidRDefault="005B0BC3">
      <w:pPr>
        <w:jc w:val="both"/>
        <w:divId w:val="1092160473"/>
        <w:rPr>
          <w:rFonts w:eastAsia="Times New Roman"/>
        </w:rPr>
      </w:pPr>
      <w:r>
        <w:rPr>
          <w:rFonts w:eastAsia="Times New Roman"/>
          <w:b/>
          <w:bCs/>
          <w:i/>
          <w:iCs/>
          <w:color w:val="000000"/>
          <w:sz w:val="20"/>
          <w:szCs w:val="20"/>
        </w:rPr>
        <w:t>Closed Block</w:t>
      </w:r>
    </w:p>
    <w:p w:rsidR="00000000" w:rsidRDefault="005B0BC3">
      <w:pPr>
        <w:ind w:firstLine="360"/>
        <w:divId w:val="116873887"/>
        <w:rPr>
          <w:rFonts w:eastAsia="Times New Roman"/>
        </w:rPr>
      </w:pPr>
      <w:r>
        <w:rPr>
          <w:rFonts w:eastAsia="Times New Roman"/>
          <w:color w:val="000000"/>
          <w:sz w:val="20"/>
          <w:szCs w:val="20"/>
        </w:rPr>
        <w:t xml:space="preserve">In connection with the demutualization of Equitable Financial in 1992, </w:t>
      </w:r>
      <w:r>
        <w:rPr>
          <w:rFonts w:eastAsia="Times New Roman"/>
          <w:color w:val="000000"/>
          <w:sz w:val="20"/>
          <w:szCs w:val="20"/>
        </w:rPr>
        <w:t>the Closed Block was established for the benefit of certain classes of individual participating policies for which Equitable Financial had a dividend scale payable in 1991 and which were in force on that date. Assets were allocated to the Closed Block in a</w:t>
      </w:r>
      <w:r>
        <w:rPr>
          <w:rFonts w:eastAsia="Times New Roman"/>
          <w:color w:val="000000"/>
          <w:sz w:val="20"/>
          <w:szCs w:val="20"/>
        </w:rPr>
        <w:t>n amount which, together with anticipated revenues from policies included in the Closed Block, was reasonably expected to be sufficient to support such business, including provisions for the payment of claims, certain expenses and taxes, and for the contin</w:t>
      </w:r>
      <w:r>
        <w:rPr>
          <w:rFonts w:eastAsia="Times New Roman"/>
          <w:color w:val="000000"/>
          <w:sz w:val="20"/>
          <w:szCs w:val="20"/>
        </w:rPr>
        <w:t>uation of dividend scales payable in 1991, assuming the experience underlying such scales continues.</w:t>
      </w:r>
    </w:p>
    <w:p w:rsidR="00000000" w:rsidRDefault="005B0BC3">
      <w:pPr>
        <w:ind w:firstLine="360"/>
        <w:divId w:val="556626928"/>
        <w:rPr>
          <w:rFonts w:eastAsia="Times New Roman"/>
        </w:rPr>
      </w:pPr>
      <w:r>
        <w:rPr>
          <w:rFonts w:eastAsia="Times New Roman"/>
          <w:color w:val="000000"/>
          <w:sz w:val="20"/>
          <w:szCs w:val="20"/>
        </w:rPr>
        <w:t>Assets allocated to the Closed Block inure solely to the benefit of the holders of policies included in the Closed Block and will not revert to the benefit</w:t>
      </w:r>
      <w:r>
        <w:rPr>
          <w:rFonts w:eastAsia="Times New Roman"/>
          <w:color w:val="000000"/>
          <w:sz w:val="20"/>
          <w:szCs w:val="20"/>
        </w:rPr>
        <w:t xml:space="preserve"> of the Company. The plan of demutualization prohibits the reallocation, transfer, borrowing or lending of assets between the Closed Block and other portions of the General Account, any of our Separate Accounts or to any affiliate of ours without the appro</w:t>
      </w:r>
      <w:r>
        <w:rPr>
          <w:rFonts w:eastAsia="Times New Roman"/>
          <w:color w:val="000000"/>
          <w:sz w:val="20"/>
          <w:szCs w:val="20"/>
        </w:rPr>
        <w:t>val of the NYDFS. Closed Block assets and liabilities are carried on the same basis as similar assets and liabilities held in the General Account. The excess of Closed Block liabilities over Closed Block assets represents the expected future post-tax contr</w:t>
      </w:r>
      <w:r>
        <w:rPr>
          <w:rFonts w:eastAsia="Times New Roman"/>
          <w:color w:val="000000"/>
          <w:sz w:val="20"/>
          <w:szCs w:val="20"/>
        </w:rPr>
        <w:t>ibution from the Closed Block which would be recognized in income over the period the policies and contracts in the Closed Block remain in force.</w:t>
      </w:r>
    </w:p>
    <w:p w:rsidR="00000000" w:rsidRDefault="005B0BC3">
      <w:pPr>
        <w:ind w:firstLine="360"/>
        <w:divId w:val="1668513731"/>
        <w:rPr>
          <w:rFonts w:eastAsia="Times New Roman"/>
        </w:rPr>
      </w:pPr>
      <w:r>
        <w:rPr>
          <w:rFonts w:eastAsia="Times New Roman"/>
          <w:color w:val="000000"/>
          <w:sz w:val="20"/>
          <w:szCs w:val="20"/>
        </w:rPr>
        <w:t>For additional information on the Closed Block, see Note 6 of the Notes to these Consolidated Financial Statem</w:t>
      </w:r>
      <w:r>
        <w:rPr>
          <w:rFonts w:eastAsia="Times New Roman"/>
          <w:color w:val="000000"/>
          <w:sz w:val="20"/>
          <w:szCs w:val="20"/>
        </w:rPr>
        <w:t>ents.</w:t>
      </w:r>
    </w:p>
    <w:p w:rsidR="00000000" w:rsidRDefault="005B0BC3">
      <w:pPr>
        <w:divId w:val="403720955"/>
        <w:rPr>
          <w:rFonts w:eastAsia="Times New Roman"/>
        </w:rPr>
      </w:pPr>
      <w:r>
        <w:rPr>
          <w:rFonts w:eastAsia="Times New Roman"/>
          <w:b/>
          <w:bCs/>
          <w:color w:val="000000"/>
          <w:sz w:val="20"/>
          <w:szCs w:val="20"/>
        </w:rPr>
        <w:t>Equitable Investment Management</w:t>
      </w:r>
    </w:p>
    <w:p w:rsidR="00000000" w:rsidRDefault="005B0BC3">
      <w:pPr>
        <w:ind w:firstLine="360"/>
        <w:divId w:val="453332178"/>
        <w:rPr>
          <w:rFonts w:eastAsia="Times New Roman"/>
        </w:rPr>
      </w:pPr>
      <w:r>
        <w:rPr>
          <w:rFonts w:eastAsia="Times New Roman"/>
          <w:color w:val="000000"/>
          <w:sz w:val="20"/>
          <w:szCs w:val="20"/>
        </w:rPr>
        <w:t>EIMG is the investment manager and formerly the administrator for our proprietary variable funds. On June 22, 2021, Equitable Holdings completed the formation of Equitable Investment Management, LLC, (“EIM”, and collec</w:t>
      </w:r>
      <w:r>
        <w:rPr>
          <w:rFonts w:eastAsia="Times New Roman"/>
          <w:color w:val="000000"/>
          <w:sz w:val="20"/>
          <w:szCs w:val="20"/>
        </w:rPr>
        <w:t>tively with EIMG, “Equitable Investment Management”), a wholly owned indirect subsidiary of Holdings. Effective August 1, 2021, the Board of Trustees of EQAT, EQ Premier VIP and 1290 Funds (each, a “Trust” and collectively, the “Trusts”) terminated EIMG as</w:t>
      </w:r>
      <w:r>
        <w:rPr>
          <w:rFonts w:eastAsia="Times New Roman"/>
          <w:color w:val="000000"/>
          <w:sz w:val="20"/>
          <w:szCs w:val="20"/>
        </w:rPr>
        <w:t xml:space="preserve"> administrator of the Trusts, and EIM entered into certain administrative agreements with each Trust. In addition, on October 1, 2021, Equitable Financial entered into an investment advisory and management agreement by which EIM became the investment manag</w:t>
      </w:r>
      <w:r>
        <w:rPr>
          <w:rFonts w:eastAsia="Times New Roman"/>
          <w:color w:val="000000"/>
          <w:sz w:val="20"/>
          <w:szCs w:val="20"/>
        </w:rPr>
        <w:t>er for the Equitable Financial’s general account portfolio.</w:t>
      </w:r>
    </w:p>
    <w:p w:rsidR="00000000" w:rsidRDefault="005B0BC3">
      <w:pPr>
        <w:ind w:firstLine="360"/>
        <w:divId w:val="948782061"/>
        <w:rPr>
          <w:rFonts w:eastAsia="Times New Roman"/>
        </w:rPr>
      </w:pPr>
      <w:r>
        <w:rPr>
          <w:rFonts w:eastAsia="Times New Roman"/>
          <w:color w:val="000000"/>
          <w:sz w:val="20"/>
          <w:szCs w:val="20"/>
        </w:rPr>
        <w:t>Equitable Investment Management supports each of our retirement and protection businesses. Accordingly, Equitable Investment Management results are embedded in the Individual Retirement, Group Ret</w:t>
      </w:r>
      <w:r>
        <w:rPr>
          <w:rFonts w:eastAsia="Times New Roman"/>
          <w:color w:val="000000"/>
          <w:sz w:val="20"/>
          <w:szCs w:val="20"/>
        </w:rPr>
        <w:t>irement and Protection Solutions segments. EIMG helps add value and marketing appeal to our retirement and protection solutions products by bringing investment management expertise and specialized strategies to the underlying investment lineup of each prod</w:t>
      </w:r>
      <w:r>
        <w:rPr>
          <w:rFonts w:eastAsia="Times New Roman"/>
          <w:color w:val="000000"/>
          <w:sz w:val="20"/>
          <w:szCs w:val="20"/>
        </w:rPr>
        <w:t>uct. In addition, by advising on an attractive array of proprietary investment portfolios (each, a “Portfolio,” and together, the “Portfolios”), EIMG brings investment acumen, financial controls and economies of scale to the construction of underlying inve</w:t>
      </w:r>
      <w:r>
        <w:rPr>
          <w:rFonts w:eastAsia="Times New Roman"/>
          <w:color w:val="000000"/>
          <w:sz w:val="20"/>
          <w:szCs w:val="20"/>
        </w:rPr>
        <w:t>stment options for our products.</w:t>
      </w:r>
    </w:p>
    <w:p w:rsidR="00000000" w:rsidRDefault="005B0BC3">
      <w:pPr>
        <w:ind w:firstLine="360"/>
        <w:divId w:val="122385302"/>
        <w:rPr>
          <w:rFonts w:eastAsia="Times New Roman"/>
        </w:rPr>
      </w:pPr>
      <w:r>
        <w:rPr>
          <w:rFonts w:eastAsia="Times New Roman"/>
          <w:color w:val="000000"/>
          <w:sz w:val="20"/>
          <w:szCs w:val="20"/>
        </w:rPr>
        <w:t>EIMG provides investment management to proprietary investment vehicles sponsored by the Company, including investment companies that are underlying investment options for our variable insurance and annuity products. EIMG is</w:t>
      </w:r>
      <w:r>
        <w:rPr>
          <w:rFonts w:eastAsia="Times New Roman"/>
          <w:color w:val="000000"/>
          <w:sz w:val="20"/>
          <w:szCs w:val="20"/>
        </w:rPr>
        <w:t xml:space="preserve"> registered as an investment adviser under the Investment Advisers Act. EIMG serves as the investment adviser to each Trust —and to two private investment trusts established in the Cayman Islands. Each Trust and private investment trusts is a “series” type</w:t>
      </w:r>
      <w:r>
        <w:rPr>
          <w:rFonts w:eastAsia="Times New Roman"/>
          <w:color w:val="000000"/>
          <w:sz w:val="20"/>
          <w:szCs w:val="20"/>
        </w:rPr>
        <w:t xml:space="preserve"> of trust with multiple Portfolios. EIMG provides discretionary investment management services to the Portfolios, including, among other things, (1) portfolio management services for the Portfolios; (2) selecting, monitoring and overseeing investment sub-a</w:t>
      </w:r>
      <w:r>
        <w:rPr>
          <w:rFonts w:eastAsia="Times New Roman"/>
          <w:color w:val="000000"/>
          <w:sz w:val="20"/>
          <w:szCs w:val="20"/>
        </w:rPr>
        <w:t>dvisers; and (3) developing and executing asset allocation strategies for multi-advised Portfolios and Portfolios structured as funds-of-funds. EIMG is further charged with ensuring that the other parts of the Company that interact with the Trusts, such as</w:t>
      </w:r>
      <w:r>
        <w:rPr>
          <w:rFonts w:eastAsia="Times New Roman"/>
          <w:color w:val="000000"/>
          <w:sz w:val="20"/>
          <w:szCs w:val="20"/>
        </w:rPr>
        <w:t xml:space="preserve"> product management, the distribution system and the financial organization, have a specific point of contact.</w:t>
      </w:r>
    </w:p>
    <w:p w:rsidR="00000000" w:rsidRDefault="005B0BC3">
      <w:pPr>
        <w:jc w:val="center"/>
        <w:divId w:val="1624379616"/>
        <w:rPr>
          <w:rFonts w:eastAsia="Times New Roman"/>
        </w:rPr>
      </w:pPr>
      <w:r>
        <w:rPr>
          <w:rFonts w:eastAsia="Times New Roman"/>
          <w:color w:val="000000"/>
          <w:sz w:val="20"/>
          <w:szCs w:val="20"/>
        </w:rPr>
        <w:t>38</w:t>
      </w:r>
    </w:p>
    <w:p w:rsidR="00000000" w:rsidRDefault="005B0BC3">
      <w:pPr>
        <w:rPr>
          <w:rFonts w:eastAsia="Times New Roman"/>
        </w:rPr>
      </w:pPr>
      <w:r>
        <w:rPr>
          <w:rFonts w:eastAsia="Times New Roman"/>
        </w:rPr>
        <w:pict>
          <v:rect id="_x0000_i1075" style="width:0;height:1.5pt" o:hralign="center" o:hrstd="t" o:hr="t" fillcolor="#a0a0a0" stroked="f"/>
        </w:pict>
      </w:r>
    </w:p>
    <w:p w:rsidR="00000000" w:rsidRDefault="005B0BC3">
      <w:pPr>
        <w:divId w:val="1051419634"/>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ind w:firstLine="360"/>
        <w:divId w:val="1672247238"/>
        <w:rPr>
          <w:rFonts w:eastAsia="Times New Roman"/>
        </w:rPr>
      </w:pPr>
      <w:r>
        <w:rPr>
          <w:rFonts w:eastAsia="Times New Roman"/>
          <w:color w:val="000000"/>
          <w:sz w:val="20"/>
          <w:szCs w:val="20"/>
        </w:rPr>
        <w:t>EIMG has a variety of respon</w:t>
      </w:r>
      <w:r>
        <w:rPr>
          <w:rFonts w:eastAsia="Times New Roman"/>
          <w:color w:val="000000"/>
          <w:sz w:val="20"/>
          <w:szCs w:val="20"/>
        </w:rPr>
        <w:t>sibilities for the management of its investment company clients. One of EIMG’s primary responsibilities is to provide clients with portfolio management and investment advisory services, principally by reviewing whether to appoint, dismiss or replace sub-ad</w:t>
      </w:r>
      <w:r>
        <w:rPr>
          <w:rFonts w:eastAsia="Times New Roman"/>
          <w:color w:val="000000"/>
          <w:sz w:val="20"/>
          <w:szCs w:val="20"/>
        </w:rPr>
        <w:t>visers to each Portfolio, and thereafter monitoring and reviewing each sub-adviser’s performance through qualitative and quantitative analysis, as well as periodic in-person, telephonic and written consultations with the sub-advisers. Currently, EIMG has e</w:t>
      </w:r>
      <w:r>
        <w:rPr>
          <w:rFonts w:eastAsia="Times New Roman"/>
          <w:color w:val="000000"/>
          <w:sz w:val="20"/>
          <w:szCs w:val="20"/>
        </w:rPr>
        <w:t>ntered into sub-advisory agreements with more than 45 different sub-advisers, including AB. Another primary responsibility of EIMG is to develop and monitor the investment program of each Portfolio, including Portfolio investment objectives, policies and a</w:t>
      </w:r>
      <w:r>
        <w:rPr>
          <w:rFonts w:eastAsia="Times New Roman"/>
          <w:color w:val="000000"/>
          <w:sz w:val="20"/>
          <w:szCs w:val="20"/>
        </w:rPr>
        <w:t>sset allocations for the Portfolios, select investments for Portfolios (or portions thereof) for which it provides direct investment selection services, and ensure that investments and asset allocations are consistent with the guidelines that have been app</w:t>
      </w:r>
      <w:r>
        <w:rPr>
          <w:rFonts w:eastAsia="Times New Roman"/>
          <w:color w:val="000000"/>
          <w:sz w:val="20"/>
          <w:szCs w:val="20"/>
        </w:rPr>
        <w:t xml:space="preserve">roved by clients. </w:t>
      </w:r>
    </w:p>
    <w:p w:rsidR="00000000" w:rsidRDefault="005B0BC3">
      <w:pPr>
        <w:ind w:firstLine="360"/>
        <w:divId w:val="478303701"/>
        <w:rPr>
          <w:rFonts w:eastAsia="Times New Roman"/>
        </w:rPr>
      </w:pPr>
      <w:r>
        <w:rPr>
          <w:rFonts w:eastAsia="Times New Roman"/>
          <w:color w:val="000000"/>
          <w:sz w:val="20"/>
          <w:szCs w:val="20"/>
        </w:rPr>
        <w:t xml:space="preserve">EIM provides administrative services to the Portfolios effective August 1, 2021. The administrative services that EIM provides to the Portfolios include, among others, coordination of each Portfolio’s audit, financial statements and tax </w:t>
      </w:r>
      <w:r>
        <w:rPr>
          <w:rFonts w:eastAsia="Times New Roman"/>
          <w:color w:val="000000"/>
          <w:sz w:val="20"/>
          <w:szCs w:val="20"/>
        </w:rPr>
        <w:t>returns; expense management and budgeting; legal administrative services and compliance monitoring; portfolio accounting services, including daily net asset value accounting; risk management; oversight of proxy voting procedures and an anti-money launderin</w:t>
      </w:r>
      <w:r>
        <w:rPr>
          <w:rFonts w:eastAsia="Times New Roman"/>
          <w:color w:val="000000"/>
          <w:sz w:val="20"/>
          <w:szCs w:val="20"/>
        </w:rPr>
        <w:t xml:space="preserve">g program. </w:t>
      </w:r>
    </w:p>
    <w:p w:rsidR="00000000" w:rsidRDefault="005B0BC3">
      <w:pPr>
        <w:ind w:firstLine="360"/>
        <w:divId w:val="2056394676"/>
        <w:rPr>
          <w:rFonts w:eastAsia="Times New Roman"/>
        </w:rPr>
      </w:pPr>
      <w:r>
        <w:rPr>
          <w:rFonts w:eastAsia="Times New Roman"/>
          <w:color w:val="000000"/>
          <w:sz w:val="20"/>
          <w:szCs w:val="20"/>
        </w:rPr>
        <w:t>EIM also provides investment management services to the Equitable Financial’s General Account portfolio. EIM provides non-discretionary investment advisory and asset management services including, but not limited to, providing investment advice</w:t>
      </w:r>
      <w:r>
        <w:rPr>
          <w:rFonts w:eastAsia="Times New Roman"/>
          <w:color w:val="000000"/>
          <w:sz w:val="20"/>
          <w:szCs w:val="20"/>
        </w:rPr>
        <w:t xml:space="preserve"> on strategic investment management activities, asset strategies through affiliated and unaffiliated asset managers, strategic oversight of the General Account portfolio, portfolio management, yield/duration optimization, asset liability management, asset </w:t>
      </w:r>
      <w:r>
        <w:rPr>
          <w:rFonts w:eastAsia="Times New Roman"/>
          <w:color w:val="000000"/>
          <w:sz w:val="20"/>
          <w:szCs w:val="20"/>
        </w:rPr>
        <w:t>allocation, liquidity and close alignment to business strategies, as well as advising on other services in accordance with the investment advisory and management agreement. Subject to oversight and supervision by EIM, EIM may delegate any of its duties wit</w:t>
      </w:r>
      <w:r>
        <w:rPr>
          <w:rFonts w:eastAsia="Times New Roman"/>
          <w:color w:val="000000"/>
          <w:sz w:val="20"/>
          <w:szCs w:val="20"/>
        </w:rPr>
        <w:t xml:space="preserve">h respect to some or all of the assets of the General Account to a sub-adviser. </w:t>
      </w:r>
    </w:p>
    <w:p w:rsidR="00000000" w:rsidRDefault="005B0BC3">
      <w:pPr>
        <w:divId w:val="1901091509"/>
        <w:rPr>
          <w:rFonts w:eastAsia="Times New Roman"/>
        </w:rPr>
      </w:pPr>
      <w:r>
        <w:rPr>
          <w:rFonts w:eastAsia="Times New Roman"/>
          <w:b/>
          <w:bCs/>
          <w:color w:val="000000"/>
          <w:sz w:val="20"/>
          <w:szCs w:val="20"/>
        </w:rPr>
        <w:t xml:space="preserve">Regulation </w:t>
      </w:r>
    </w:p>
    <w:p w:rsidR="00000000" w:rsidRDefault="005B0BC3">
      <w:pPr>
        <w:jc w:val="both"/>
        <w:divId w:val="1954046084"/>
        <w:rPr>
          <w:rFonts w:eastAsia="Times New Roman"/>
        </w:rPr>
      </w:pPr>
      <w:r>
        <w:rPr>
          <w:rFonts w:eastAsia="Times New Roman"/>
          <w:b/>
          <w:bCs/>
          <w:i/>
          <w:iCs/>
          <w:color w:val="000000"/>
          <w:sz w:val="20"/>
          <w:szCs w:val="20"/>
        </w:rPr>
        <w:t>Insurance Regulation</w:t>
      </w:r>
    </w:p>
    <w:p w:rsidR="00000000" w:rsidRDefault="005B0BC3">
      <w:pPr>
        <w:ind w:firstLine="360"/>
        <w:divId w:val="1128088670"/>
        <w:rPr>
          <w:rFonts w:eastAsia="Times New Roman"/>
        </w:rPr>
      </w:pPr>
      <w:r>
        <w:rPr>
          <w:rFonts w:eastAsia="Times New Roman"/>
          <w:color w:val="000000"/>
          <w:sz w:val="20"/>
          <w:szCs w:val="20"/>
        </w:rPr>
        <w:t>Our insurance subsidiaries are licensed to transact insurance business and are subject to extensive regulation and supervision by insurance regulators, in all 50 states of the United States, the District of Columbia, Puerto Rico, the U.S. Virgin Islands an</w:t>
      </w:r>
      <w:r>
        <w:rPr>
          <w:rFonts w:eastAsia="Times New Roman"/>
          <w:color w:val="000000"/>
          <w:sz w:val="20"/>
          <w:szCs w:val="20"/>
        </w:rPr>
        <w:t xml:space="preserve">d nine of Canada’s thirteen provinces and territories. The primary regulator of an insurance company, however, is located in its state of domicile. Equitable Financial is domiciled in New York and is primarily regulated by the superintendent of the NYDFS. </w:t>
      </w:r>
      <w:r>
        <w:rPr>
          <w:rFonts w:eastAsia="Times New Roman"/>
          <w:color w:val="000000"/>
          <w:sz w:val="20"/>
          <w:szCs w:val="20"/>
        </w:rPr>
        <w:t>Equitable America and EQ AZ Life Re are domiciled in Arizona and are primarily regulated by the Director of Insurance of the Arizona Department of Insurance and Financial Institutions. Equitable L&amp;A is domiciled in Colorado and is primarily regulated by th</w:t>
      </w:r>
      <w:r>
        <w:rPr>
          <w:rFonts w:eastAsia="Times New Roman"/>
          <w:color w:val="000000"/>
          <w:sz w:val="20"/>
          <w:szCs w:val="20"/>
        </w:rPr>
        <w:t xml:space="preserve">e Commissioner of Insurance of the Colorado Division of Insurance. The extent of regulation by jurisdiction varies, but most jurisdictions have laws and regulations governing the financial aspects and business conduct of insurers. State laws in the United </w:t>
      </w:r>
      <w:r>
        <w:rPr>
          <w:rFonts w:eastAsia="Times New Roman"/>
          <w:color w:val="000000"/>
          <w:sz w:val="20"/>
          <w:szCs w:val="20"/>
        </w:rPr>
        <w:t>States grant insurance regulatory authorities broad administrative powers with respect to, among other things, licensing companies to transact business, sales practices, establishing statutory capital and reserve requirements and solvency standards, reinsu</w:t>
      </w:r>
      <w:r>
        <w:rPr>
          <w:rFonts w:eastAsia="Times New Roman"/>
          <w:color w:val="000000"/>
          <w:sz w:val="20"/>
          <w:szCs w:val="20"/>
        </w:rPr>
        <w:t>rance and hedging, protecting privacy, regulating advertising, restricting the payment of dividends and other transactions between affiliates, permitted types and concentrations of investments and business conduct to be maintained by insurance companies as</w:t>
      </w:r>
      <w:r>
        <w:rPr>
          <w:rFonts w:eastAsia="Times New Roman"/>
          <w:color w:val="000000"/>
          <w:sz w:val="20"/>
          <w:szCs w:val="20"/>
        </w:rPr>
        <w:t xml:space="preserve"> well as agent and insurance producer licensing, and, to the extent applicable to the particular type of insurance, approval or filing of policy forms and rates. Insurance regulators have the discretionary authority to limit or prohibit new issuances of bu</w:t>
      </w:r>
      <w:r>
        <w:rPr>
          <w:rFonts w:eastAsia="Times New Roman"/>
          <w:color w:val="000000"/>
          <w:sz w:val="20"/>
          <w:szCs w:val="20"/>
        </w:rPr>
        <w:t>siness to policyholders within their jurisdictions when, in their judgment, such regulators determine that the issuing company is not maintaining adequate statutory surplus or capital. Additionally, the New York Insurance Law limits sales commissions and c</w:t>
      </w:r>
      <w:r>
        <w:rPr>
          <w:rFonts w:eastAsia="Times New Roman"/>
          <w:color w:val="000000"/>
          <w:sz w:val="20"/>
          <w:szCs w:val="20"/>
        </w:rPr>
        <w:t>ertain other marketing expenses that Equitable Financial may incur.</w:t>
      </w:r>
    </w:p>
    <w:p w:rsidR="00000000" w:rsidRDefault="005B0BC3">
      <w:pPr>
        <w:ind w:firstLine="360"/>
        <w:divId w:val="1682732509"/>
        <w:rPr>
          <w:rFonts w:eastAsia="Times New Roman"/>
        </w:rPr>
      </w:pPr>
      <w:r>
        <w:rPr>
          <w:rFonts w:eastAsia="Times New Roman"/>
          <w:color w:val="000000"/>
          <w:sz w:val="20"/>
          <w:szCs w:val="20"/>
        </w:rPr>
        <w:t>Supervisory agencies in each of the jurisdictions in which we do business may conduct regular or targeted examinations of our operations and accounts and make requests for particular infor</w:t>
      </w:r>
      <w:r>
        <w:rPr>
          <w:rFonts w:eastAsia="Times New Roman"/>
          <w:color w:val="000000"/>
          <w:sz w:val="20"/>
          <w:szCs w:val="20"/>
        </w:rPr>
        <w:t>mation from us. For example, periodic financial examinations of the books, records, accounts and business practices of insurers domiciled in their states are generally conducted by such supervisory agencies every three to five years. From time to time, reg</w:t>
      </w:r>
      <w:r>
        <w:rPr>
          <w:rFonts w:eastAsia="Times New Roman"/>
          <w:color w:val="000000"/>
          <w:sz w:val="20"/>
          <w:szCs w:val="20"/>
        </w:rPr>
        <w:t>ulators raise issues during examinations or audits of us that could, if determined adversely, have a material adverse effect on us. In addition, the interpretations of regulations by regulators may change and statutes may be enacted with retroactive impact</w:t>
      </w:r>
      <w:r>
        <w:rPr>
          <w:rFonts w:eastAsia="Times New Roman"/>
          <w:color w:val="000000"/>
          <w:sz w:val="20"/>
          <w:szCs w:val="20"/>
        </w:rPr>
        <w:t>, particularly in areas such as accounting or statutory reserve requirements. In addition to oversight by state insurance regulators in recent years, the insurance industry has seen an increase in inquiries from state attorneys general and other state offi</w:t>
      </w:r>
      <w:r>
        <w:rPr>
          <w:rFonts w:eastAsia="Times New Roman"/>
          <w:color w:val="000000"/>
          <w:sz w:val="20"/>
          <w:szCs w:val="20"/>
        </w:rPr>
        <w:t>cials regarding compliance with certain state insurance, securities and other applicable laws. We have received and responded to such inquiries from time to time. For additional information on legal and regulatory risks, see “Risk Factors—Legal and Regulat</w:t>
      </w:r>
      <w:r>
        <w:rPr>
          <w:rFonts w:eastAsia="Times New Roman"/>
          <w:color w:val="000000"/>
          <w:sz w:val="20"/>
          <w:szCs w:val="20"/>
        </w:rPr>
        <w:t>ory Risks.”</w:t>
      </w:r>
    </w:p>
    <w:p w:rsidR="00000000" w:rsidRDefault="005B0BC3">
      <w:pPr>
        <w:jc w:val="center"/>
        <w:divId w:val="1290092833"/>
        <w:rPr>
          <w:rFonts w:eastAsia="Times New Roman"/>
        </w:rPr>
      </w:pPr>
      <w:r>
        <w:rPr>
          <w:rFonts w:eastAsia="Times New Roman"/>
          <w:color w:val="000000"/>
          <w:sz w:val="20"/>
          <w:szCs w:val="20"/>
        </w:rPr>
        <w:t>39</w:t>
      </w:r>
    </w:p>
    <w:p w:rsidR="00000000" w:rsidRDefault="005B0BC3">
      <w:pPr>
        <w:rPr>
          <w:rFonts w:eastAsia="Times New Roman"/>
        </w:rPr>
      </w:pPr>
      <w:r>
        <w:rPr>
          <w:rFonts w:eastAsia="Times New Roman"/>
        </w:rPr>
        <w:pict>
          <v:rect id="_x0000_i1076" style="width:0;height:1.5pt" o:hralign="center" o:hrstd="t" o:hr="t" fillcolor="#a0a0a0" stroked="f"/>
        </w:pict>
      </w:r>
    </w:p>
    <w:p w:rsidR="00000000" w:rsidRDefault="005B0BC3">
      <w:pPr>
        <w:divId w:val="858619889"/>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ind w:firstLine="360"/>
        <w:divId w:val="970092474"/>
        <w:rPr>
          <w:rFonts w:eastAsia="Times New Roman"/>
        </w:rPr>
      </w:pPr>
      <w:r>
        <w:rPr>
          <w:rFonts w:eastAsia="Times New Roman"/>
          <w:color w:val="000000"/>
          <w:sz w:val="20"/>
          <w:szCs w:val="20"/>
        </w:rPr>
        <w:t>Each of our insurance subsidiaries is required to file detailed annual and, with the exception of EQ AZ Life Re, quarterly fin</w:t>
      </w:r>
      <w:r>
        <w:rPr>
          <w:rFonts w:eastAsia="Times New Roman"/>
          <w:color w:val="000000"/>
          <w:sz w:val="20"/>
          <w:szCs w:val="20"/>
        </w:rPr>
        <w:t>ancial statements, prepared on a statutory accounting basis or in accordance with other accounting practices prescribed or permitted by the applicable regulator, with supervisory agencies in each of the jurisdictions in which such subsidiary does business.</w:t>
      </w:r>
      <w:r>
        <w:rPr>
          <w:rFonts w:eastAsia="Times New Roman"/>
          <w:color w:val="000000"/>
          <w:sz w:val="20"/>
          <w:szCs w:val="20"/>
        </w:rPr>
        <w:t xml:space="preserve"> The NAIC has approved a series of uniform SAP that has been adopted by all state insurance regulators, in some cases with certain modifications. As a basis of accounting, SAP was developed to monitor and regulate the solvency of insurance companies. In de</w:t>
      </w:r>
      <w:r>
        <w:rPr>
          <w:rFonts w:eastAsia="Times New Roman"/>
          <w:color w:val="000000"/>
          <w:sz w:val="20"/>
          <w:szCs w:val="20"/>
        </w:rPr>
        <w:t>veloping SAP, insurance regulators were primarily concerned with ensuring an insurer’s ability to pay all its current and future obligations to policyholders. As a result, statutory accounting focuses on conservatively valuing the assets and liabilities of</w:t>
      </w:r>
      <w:r>
        <w:rPr>
          <w:rFonts w:eastAsia="Times New Roman"/>
          <w:color w:val="000000"/>
          <w:sz w:val="20"/>
          <w:szCs w:val="20"/>
        </w:rPr>
        <w:t xml:space="preserve"> insurers, generally in accordance with standards specified by the insurer’s domiciliary state. The values for assets, liabilities and equity reflected in financial statements prepared in accordance with U.S. GAAP are usually different from those reflected</w:t>
      </w:r>
      <w:r>
        <w:rPr>
          <w:rFonts w:eastAsia="Times New Roman"/>
          <w:color w:val="000000"/>
          <w:sz w:val="20"/>
          <w:szCs w:val="20"/>
        </w:rPr>
        <w:t xml:space="preserve"> in financial statements prepared under SAP. See Note 18 of the Notes to these Consolidated Financial Statements.</w:t>
      </w:r>
    </w:p>
    <w:p w:rsidR="00000000" w:rsidRDefault="005B0BC3">
      <w:pPr>
        <w:divId w:val="1858157796"/>
        <w:rPr>
          <w:rFonts w:eastAsia="Times New Roman"/>
        </w:rPr>
      </w:pPr>
      <w:r>
        <w:rPr>
          <w:rFonts w:eastAsia="Times New Roman"/>
          <w:i/>
          <w:iCs/>
          <w:color w:val="000000"/>
          <w:sz w:val="20"/>
          <w:szCs w:val="20"/>
          <w:u w:val="single"/>
        </w:rPr>
        <w:t>Holding Company and Shareholder Dividend Regulation</w:t>
      </w:r>
    </w:p>
    <w:p w:rsidR="00000000" w:rsidRDefault="005B0BC3">
      <w:pPr>
        <w:ind w:firstLine="360"/>
        <w:divId w:val="446972037"/>
        <w:rPr>
          <w:rFonts w:eastAsia="Times New Roman"/>
        </w:rPr>
      </w:pPr>
      <w:r>
        <w:rPr>
          <w:rFonts w:eastAsia="Times New Roman"/>
          <w:color w:val="000000"/>
          <w:sz w:val="20"/>
          <w:szCs w:val="20"/>
        </w:rPr>
        <w:t>All states regulate transactions between an insurer and its affiliates under insurance holding company acts. The insurance holding company laws and regulations vary from jurisdiction to jurisdiction, but generally require that all transactions affecting in</w:t>
      </w:r>
      <w:r>
        <w:rPr>
          <w:rFonts w:eastAsia="Times New Roman"/>
          <w:color w:val="000000"/>
          <w:sz w:val="20"/>
          <w:szCs w:val="20"/>
        </w:rPr>
        <w:t>surers within a holding company system be fair and reasonable and, in many cases, require prior notice and approval or non-disapproval by the state’s insurance regulator.</w:t>
      </w:r>
    </w:p>
    <w:p w:rsidR="00000000" w:rsidRDefault="005B0BC3">
      <w:pPr>
        <w:ind w:firstLine="360"/>
        <w:divId w:val="1083256077"/>
        <w:rPr>
          <w:rFonts w:eastAsia="Times New Roman"/>
        </w:rPr>
      </w:pPr>
      <w:r>
        <w:rPr>
          <w:rFonts w:eastAsia="Times New Roman"/>
          <w:color w:val="000000"/>
          <w:sz w:val="20"/>
          <w:szCs w:val="20"/>
        </w:rPr>
        <w:t>The insurance holding company laws and regulations generally also require a controlle</w:t>
      </w:r>
      <w:r>
        <w:rPr>
          <w:rFonts w:eastAsia="Times New Roman"/>
          <w:color w:val="000000"/>
          <w:sz w:val="20"/>
          <w:szCs w:val="20"/>
        </w:rPr>
        <w:t>d insurance company (</w:t>
      </w:r>
      <w:r>
        <w:rPr>
          <w:rFonts w:eastAsia="Times New Roman"/>
          <w:i/>
          <w:iCs/>
          <w:color w:val="000000"/>
          <w:sz w:val="20"/>
          <w:szCs w:val="20"/>
        </w:rPr>
        <w:t>i.e.</w:t>
      </w:r>
      <w:r>
        <w:rPr>
          <w:rFonts w:eastAsia="Times New Roman"/>
          <w:color w:val="000000"/>
          <w:sz w:val="20"/>
          <w:szCs w:val="20"/>
        </w:rPr>
        <w:t>, an insurer that is a subsidiary of an insurance holding company) to register and file with state insurance regulatory authorities certain reports, including information concerning its capital structure, ownership, financial condi</w:t>
      </w:r>
      <w:r>
        <w:rPr>
          <w:rFonts w:eastAsia="Times New Roman"/>
          <w:color w:val="000000"/>
          <w:sz w:val="20"/>
          <w:szCs w:val="20"/>
        </w:rPr>
        <w:t>tion, certain intercompany transactions and general business operations. States generally require the ultimate controlling person of a U.S. insurer to file an annual enterprise risk report with the lead state of the insurance holding company system identif</w:t>
      </w:r>
      <w:r>
        <w:rPr>
          <w:rFonts w:eastAsia="Times New Roman"/>
          <w:color w:val="000000"/>
          <w:sz w:val="20"/>
          <w:szCs w:val="20"/>
        </w:rPr>
        <w:t>ying risks likely to have a material adverse effect upon the financial condition or liquidity of the insurer or its insurance holding company system as a whole.</w:t>
      </w:r>
    </w:p>
    <w:p w:rsidR="00000000" w:rsidRDefault="005B0BC3">
      <w:pPr>
        <w:ind w:firstLine="360"/>
        <w:divId w:val="1711952637"/>
        <w:rPr>
          <w:rFonts w:eastAsia="Times New Roman"/>
        </w:rPr>
      </w:pPr>
      <w:r>
        <w:rPr>
          <w:rFonts w:eastAsia="Times New Roman"/>
          <w:color w:val="000000"/>
          <w:sz w:val="20"/>
          <w:szCs w:val="20"/>
        </w:rPr>
        <w:t>State insurance statutes also typically place restrictions and limitations on the amount of div</w:t>
      </w:r>
      <w:r>
        <w:rPr>
          <w:rFonts w:eastAsia="Times New Roman"/>
          <w:color w:val="000000"/>
          <w:sz w:val="20"/>
          <w:szCs w:val="20"/>
        </w:rPr>
        <w:t xml:space="preserve">idends or other distributions payable by insurance company subsidiaries to their parent companies, as well as on transactions between an insurer and its affiliates. Under the New York insurance laws, which are applicable to Equitable Financial, a domestic </w:t>
      </w:r>
      <w:r>
        <w:rPr>
          <w:rFonts w:eastAsia="Times New Roman"/>
          <w:color w:val="000000"/>
          <w:sz w:val="20"/>
          <w:szCs w:val="20"/>
        </w:rPr>
        <w:t xml:space="preserve">stock life insurer may not, without prior approval of the NYDFS, pay an ordinary dividend to its stockholders exceeding an amount calculated based on a statutory formula (“Ordinary Dividend”). Dividends in excess of this amount require the insurer to file </w:t>
      </w:r>
      <w:r>
        <w:rPr>
          <w:rFonts w:eastAsia="Times New Roman"/>
          <w:color w:val="000000"/>
          <w:sz w:val="20"/>
          <w:szCs w:val="20"/>
        </w:rPr>
        <w:t>a notice of its intent to declare the dividends with the NYDFS and obtain prior approval or non-disapproval from the NYDFS with respect to such dividends (“Extraordinary Dividend”). Due to a permitted statutory accounting practice agreed to with the NYDFS,</w:t>
      </w:r>
      <w:r>
        <w:rPr>
          <w:rFonts w:eastAsia="Times New Roman"/>
          <w:color w:val="000000"/>
          <w:sz w:val="20"/>
          <w:szCs w:val="20"/>
        </w:rPr>
        <w:t xml:space="preserve"> Equitable Financial will need the prior approval of the NYDFS to pay the portion, if any, of any Ordinary Dividend that exceeds the Ordinary Dividend that Equitable Financial would be permitted to pay under New York insurance law absent the application of</w:t>
      </w:r>
      <w:r>
        <w:rPr>
          <w:rFonts w:eastAsia="Times New Roman"/>
          <w:color w:val="000000"/>
          <w:sz w:val="20"/>
          <w:szCs w:val="20"/>
        </w:rPr>
        <w:t xml:space="preserve"> such permitted practice (such excess, the “Permitted Practice Ordinary Dividend”).</w:t>
      </w:r>
    </w:p>
    <w:p w:rsidR="00000000" w:rsidRDefault="005B0BC3">
      <w:pPr>
        <w:ind w:firstLine="360"/>
        <w:divId w:val="1129545289"/>
        <w:rPr>
          <w:rFonts w:eastAsia="Times New Roman"/>
        </w:rPr>
      </w:pPr>
      <w:r>
        <w:rPr>
          <w:rFonts w:eastAsia="Times New Roman"/>
          <w:color w:val="000000"/>
          <w:sz w:val="20"/>
          <w:szCs w:val="20"/>
        </w:rPr>
        <w:t>Other states have limitations on dividends similar to New York’s, providing that dividends in excess of prescribed limits, based on prior year’s earnings and surplus of the</w:t>
      </w:r>
      <w:r>
        <w:rPr>
          <w:rFonts w:eastAsia="Times New Roman"/>
          <w:color w:val="000000"/>
          <w:sz w:val="20"/>
          <w:szCs w:val="20"/>
        </w:rPr>
        <w:t xml:space="preserve"> insurance company, established by applicable state regulation, are considered to be extraordinary dividends and require explicit approval from the applicable state regulator. In addition, the insurance laws of some states require that any dividend to a do</w:t>
      </w:r>
      <w:r>
        <w:rPr>
          <w:rFonts w:eastAsia="Times New Roman"/>
          <w:color w:val="000000"/>
          <w:sz w:val="20"/>
          <w:szCs w:val="20"/>
        </w:rPr>
        <w:t>mestic insurance company’s stockholders be paid from the insurer’s earned surplus or that prior approval or non-disapproval be obtained from the state’s domiciliary insurance regulator for any dividend that would be paid from other than the insurer’s earne</w:t>
      </w:r>
      <w:r>
        <w:rPr>
          <w:rFonts w:eastAsia="Times New Roman"/>
          <w:color w:val="000000"/>
          <w:sz w:val="20"/>
          <w:szCs w:val="20"/>
        </w:rPr>
        <w:t>d surplus. As a holding company, we depend on dividends from our subsidiaries to meet our obligations. For additional information on shareholder dividends, see “Management’s Discussion and Analysis of Financial Condition and Results of Operations—Liquidity</w:t>
      </w:r>
      <w:r>
        <w:rPr>
          <w:rFonts w:eastAsia="Times New Roman"/>
          <w:color w:val="000000"/>
          <w:sz w:val="20"/>
          <w:szCs w:val="20"/>
        </w:rPr>
        <w:t xml:space="preserve"> and Capital Resources.”</w:t>
      </w:r>
    </w:p>
    <w:p w:rsidR="00000000" w:rsidRDefault="005B0BC3">
      <w:pPr>
        <w:ind w:firstLine="360"/>
        <w:divId w:val="1586920855"/>
        <w:rPr>
          <w:rFonts w:eastAsia="Times New Roman"/>
        </w:rPr>
      </w:pPr>
      <w:r>
        <w:rPr>
          <w:rFonts w:eastAsia="Times New Roman"/>
          <w:color w:val="000000"/>
          <w:sz w:val="20"/>
          <w:szCs w:val="20"/>
        </w:rPr>
        <w:t>State insurance holding company laws and regulations also regulate changes in control. State laws generally provide that no person, corporation or other entity may acquire control of a domestic insurance company, or any parent comp</w:t>
      </w:r>
      <w:r>
        <w:rPr>
          <w:rFonts w:eastAsia="Times New Roman"/>
          <w:color w:val="000000"/>
          <w:sz w:val="20"/>
          <w:szCs w:val="20"/>
        </w:rPr>
        <w:t>any of such insurance company, without the prior approval of the insurance company’s domiciliary state insurance regulator. Generally, any person acquiring, directly or indirectly, 10% or more of the voting securities of an insurance company is presumed to</w:t>
      </w:r>
      <w:r>
        <w:rPr>
          <w:rFonts w:eastAsia="Times New Roman"/>
          <w:color w:val="000000"/>
          <w:sz w:val="20"/>
          <w:szCs w:val="20"/>
        </w:rPr>
        <w:t xml:space="preserve"> have acquired “control” of the company. This statutory presumption may be rebutted by a showing that control does not exist in fact. State insurance regulators, however, may find that “control” exists in circumstances in which a person owns or controls, d</w:t>
      </w:r>
      <w:r>
        <w:rPr>
          <w:rFonts w:eastAsia="Times New Roman"/>
          <w:color w:val="000000"/>
          <w:sz w:val="20"/>
          <w:szCs w:val="20"/>
        </w:rPr>
        <w:t>irectly or indirectly, less than 10% of the voting securities.</w:t>
      </w:r>
    </w:p>
    <w:p w:rsidR="00000000" w:rsidRDefault="005B0BC3">
      <w:pPr>
        <w:ind w:firstLine="360"/>
        <w:divId w:val="1021513277"/>
        <w:rPr>
          <w:rFonts w:eastAsia="Times New Roman"/>
        </w:rPr>
      </w:pPr>
      <w:r>
        <w:rPr>
          <w:rFonts w:eastAsia="Times New Roman"/>
          <w:color w:val="000000"/>
          <w:sz w:val="20"/>
          <w:szCs w:val="20"/>
        </w:rPr>
        <w:t>The laws and regulations regarding acquisition of control transactions may discourage potential acquisition proposals and may delay or prevent a change of control involving us, including throug</w:t>
      </w:r>
      <w:r>
        <w:rPr>
          <w:rFonts w:eastAsia="Times New Roman"/>
          <w:color w:val="000000"/>
          <w:sz w:val="20"/>
          <w:szCs w:val="20"/>
        </w:rPr>
        <w:t>h unsolicited transactions that some of our shareholders might consider desirable.</w:t>
      </w:r>
    </w:p>
    <w:p w:rsidR="00000000" w:rsidRDefault="005B0BC3">
      <w:pPr>
        <w:jc w:val="center"/>
        <w:divId w:val="973363278"/>
        <w:rPr>
          <w:rFonts w:eastAsia="Times New Roman"/>
        </w:rPr>
      </w:pPr>
      <w:r>
        <w:rPr>
          <w:rFonts w:eastAsia="Times New Roman"/>
          <w:color w:val="000000"/>
          <w:sz w:val="20"/>
          <w:szCs w:val="20"/>
        </w:rPr>
        <w:t>40</w:t>
      </w:r>
    </w:p>
    <w:p w:rsidR="00000000" w:rsidRDefault="005B0BC3">
      <w:pPr>
        <w:rPr>
          <w:rFonts w:eastAsia="Times New Roman"/>
        </w:rPr>
      </w:pPr>
      <w:r>
        <w:rPr>
          <w:rFonts w:eastAsia="Times New Roman"/>
        </w:rPr>
        <w:pict>
          <v:rect id="_x0000_i1077" style="width:0;height:1.5pt" o:hralign="center" o:hrstd="t" o:hr="t" fillcolor="#a0a0a0" stroked="f"/>
        </w:pict>
      </w:r>
    </w:p>
    <w:p w:rsidR="00000000" w:rsidRDefault="005B0BC3">
      <w:pPr>
        <w:divId w:val="1168207313"/>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divId w:val="1759055479"/>
        <w:rPr>
          <w:rFonts w:eastAsia="Times New Roman"/>
        </w:rPr>
      </w:pPr>
      <w:r>
        <w:rPr>
          <w:rFonts w:eastAsia="Times New Roman"/>
          <w:i/>
          <w:iCs/>
          <w:color w:val="000000"/>
          <w:sz w:val="20"/>
          <w:szCs w:val="20"/>
          <w:u w:val="single"/>
        </w:rPr>
        <w:t>NAIC</w:t>
      </w:r>
    </w:p>
    <w:p w:rsidR="00000000" w:rsidRDefault="005B0BC3">
      <w:pPr>
        <w:ind w:firstLine="360"/>
        <w:divId w:val="1932736779"/>
        <w:rPr>
          <w:rFonts w:eastAsia="Times New Roman"/>
        </w:rPr>
      </w:pPr>
      <w:r>
        <w:rPr>
          <w:rFonts w:eastAsia="Times New Roman"/>
          <w:color w:val="000000"/>
          <w:sz w:val="20"/>
          <w:szCs w:val="20"/>
        </w:rPr>
        <w:t>The mandate of the NAIC is to benefit state insuran</w:t>
      </w:r>
      <w:r>
        <w:rPr>
          <w:rFonts w:eastAsia="Times New Roman"/>
          <w:color w:val="000000"/>
          <w:sz w:val="20"/>
          <w:szCs w:val="20"/>
        </w:rPr>
        <w:t>ce regulatory authorities and consumers by promulgating model insurance laws and regulations for adoption by the states. The NAIC has established statutory accounting principles set forth in its Manual. However, a state may have adopted or in the future ma</w:t>
      </w:r>
      <w:r>
        <w:rPr>
          <w:rFonts w:eastAsia="Times New Roman"/>
          <w:color w:val="000000"/>
          <w:sz w:val="20"/>
          <w:szCs w:val="20"/>
        </w:rPr>
        <w:t>y adopt statutory accounting principles that differ from the Manual. Changes to the Manual or states’ adoption of prescribed differences to the Manual may impact the statutory capital and surplus of our U.S. insurance companies.</w:t>
      </w:r>
    </w:p>
    <w:p w:rsidR="00000000" w:rsidRDefault="005B0BC3">
      <w:pPr>
        <w:ind w:firstLine="360"/>
        <w:divId w:val="1951164422"/>
        <w:rPr>
          <w:rFonts w:eastAsia="Times New Roman"/>
        </w:rPr>
      </w:pPr>
      <w:r>
        <w:rPr>
          <w:rFonts w:eastAsia="Times New Roman"/>
          <w:color w:val="000000"/>
          <w:sz w:val="20"/>
          <w:szCs w:val="20"/>
        </w:rPr>
        <w:t xml:space="preserve">The NAIC’s Risk Management </w:t>
      </w:r>
      <w:r>
        <w:rPr>
          <w:rFonts w:eastAsia="Times New Roman"/>
          <w:color w:val="000000"/>
          <w:sz w:val="20"/>
          <w:szCs w:val="20"/>
        </w:rPr>
        <w:t>and Own Risk and Solvency Assessment Model Act (“ORSA”), which has been enacted by our insurance subsidiaries’ domiciliary states requires insurers to maintain a risk management framework and conduct an internal risk and solvency assessment of the insurer’</w:t>
      </w:r>
      <w:r>
        <w:rPr>
          <w:rFonts w:eastAsia="Times New Roman"/>
          <w:color w:val="000000"/>
          <w:sz w:val="20"/>
          <w:szCs w:val="20"/>
        </w:rPr>
        <w:t>s material risks in normal and stressed environments. The assessment is documented in a confidential annual ORSA summary report, a copy of which must be made available to regulators as required or upon request.</w:t>
      </w:r>
    </w:p>
    <w:p w:rsidR="00000000" w:rsidRDefault="005B0BC3">
      <w:pPr>
        <w:ind w:firstLine="360"/>
        <w:divId w:val="1542597924"/>
        <w:rPr>
          <w:rFonts w:eastAsia="Times New Roman"/>
        </w:rPr>
      </w:pPr>
      <w:r>
        <w:rPr>
          <w:rFonts w:eastAsia="Times New Roman"/>
          <w:color w:val="000000"/>
          <w:sz w:val="20"/>
          <w:szCs w:val="20"/>
        </w:rPr>
        <w:t>The NAIC adopted the Corporate Governance Ann</w:t>
      </w:r>
      <w:r>
        <w:rPr>
          <w:rFonts w:eastAsia="Times New Roman"/>
          <w:color w:val="000000"/>
          <w:sz w:val="20"/>
          <w:szCs w:val="20"/>
        </w:rPr>
        <w:t xml:space="preserve">ual Disclosure Model Act, which has been adopted by our insurance subsidiaries’ domiciliary states, requires insurers to annually file detailed information regarding their corporate governance policies. </w:t>
      </w:r>
    </w:p>
    <w:p w:rsidR="00000000" w:rsidRDefault="005B0BC3">
      <w:pPr>
        <w:ind w:firstLine="360"/>
        <w:divId w:val="1512644299"/>
        <w:rPr>
          <w:rFonts w:eastAsia="Times New Roman"/>
        </w:rPr>
      </w:pPr>
      <w:r>
        <w:rPr>
          <w:rFonts w:eastAsia="Times New Roman"/>
          <w:color w:val="000000"/>
          <w:sz w:val="20"/>
          <w:szCs w:val="20"/>
        </w:rPr>
        <w:t>The NAIC amended the Standard Valuation Law to requi</w:t>
      </w:r>
      <w:r>
        <w:rPr>
          <w:rFonts w:eastAsia="Times New Roman"/>
          <w:color w:val="000000"/>
          <w:sz w:val="20"/>
          <w:szCs w:val="20"/>
        </w:rPr>
        <w:t>re a principle-based approach to reserving for life and annuity contracts, which resulted in corresponding amendments to the NAIC’s Valuation Manual (the “Valuation Manual”). Principle-based reserving is designed to better address reserving for life insura</w:t>
      </w:r>
      <w:r>
        <w:rPr>
          <w:rFonts w:eastAsia="Times New Roman"/>
          <w:color w:val="000000"/>
          <w:sz w:val="20"/>
          <w:szCs w:val="20"/>
        </w:rPr>
        <w:t>nce and annuity products. It became effective on January 1, 2017 in the states where the amended Standard Valuation Law and Valuation Manual had been adopted, which was followed by a three-year phase-in period that ended on January 1, 2020. Principle-based</w:t>
      </w:r>
      <w:r>
        <w:rPr>
          <w:rFonts w:eastAsia="Times New Roman"/>
          <w:color w:val="000000"/>
          <w:sz w:val="20"/>
          <w:szCs w:val="20"/>
        </w:rPr>
        <w:t xml:space="preserve"> reserving has been adopted by our insurance subsidiaries’ domiciliary states, although in New York, principle-based reserving became effective with the adoption of Regulation 213, which differs from the NAIC Standard Valuation Law, as discussed further be</w:t>
      </w:r>
      <w:r>
        <w:rPr>
          <w:rFonts w:eastAsia="Times New Roman"/>
          <w:color w:val="000000"/>
          <w:sz w:val="20"/>
          <w:szCs w:val="20"/>
        </w:rPr>
        <w:t>low.</w:t>
      </w:r>
    </w:p>
    <w:p w:rsidR="00000000" w:rsidRDefault="005B0BC3">
      <w:pPr>
        <w:ind w:firstLine="360"/>
        <w:divId w:val="1942638233"/>
        <w:rPr>
          <w:rFonts w:eastAsia="Times New Roman"/>
        </w:rPr>
      </w:pPr>
      <w:r>
        <w:rPr>
          <w:rFonts w:eastAsia="Times New Roman"/>
          <w:color w:val="000000"/>
          <w:sz w:val="20"/>
          <w:szCs w:val="20"/>
        </w:rPr>
        <w:t>The NAIC has been focused on a macro-prudential initiative since 2017, that is intended to enhance risk identification efforts by building on the state-based regulation system through proposed potential enhancements in supervisory practices related to</w:t>
      </w:r>
      <w:r>
        <w:rPr>
          <w:rFonts w:eastAsia="Times New Roman"/>
          <w:color w:val="000000"/>
          <w:sz w:val="20"/>
          <w:szCs w:val="20"/>
        </w:rPr>
        <w:t xml:space="preserve"> liquidity, recovery and resolution, capital stress testing and counterparty exposure concentrations for life insurers. In December 2020, the NAIC adopted amendments to the Model Holding Company Act and Regulation that implement requirements related to a l</w:t>
      </w:r>
      <w:r>
        <w:rPr>
          <w:rFonts w:eastAsia="Times New Roman"/>
          <w:color w:val="000000"/>
          <w:sz w:val="20"/>
          <w:szCs w:val="20"/>
        </w:rPr>
        <w:t>iquidity stress-testing framework for certain large U.S. life insurers and insurance groups (based on amounts of certain types of business written or material exposure to certain investment transactions, such as derivatives and securities lending) that wil</w:t>
      </w:r>
      <w:r>
        <w:rPr>
          <w:rFonts w:eastAsia="Times New Roman"/>
          <w:color w:val="000000"/>
          <w:sz w:val="20"/>
          <w:szCs w:val="20"/>
        </w:rPr>
        <w:t>l be used as a regulatory tool. These amendments have to be adopted by state legislatures to become effective, including our insurance subsidiaries’ domiciliary states. We cannot predict whether state legislatures will adopt the amendments or what impact t</w:t>
      </w:r>
      <w:r>
        <w:rPr>
          <w:rFonts w:eastAsia="Times New Roman"/>
          <w:color w:val="000000"/>
          <w:sz w:val="20"/>
          <w:szCs w:val="20"/>
        </w:rPr>
        <w:t>hey would have on the Company.</w:t>
      </w:r>
    </w:p>
    <w:p w:rsidR="00000000" w:rsidRDefault="005B0BC3">
      <w:pPr>
        <w:ind w:firstLine="360"/>
        <w:divId w:val="1793085276"/>
        <w:rPr>
          <w:rFonts w:eastAsia="Times New Roman"/>
        </w:rPr>
      </w:pPr>
      <w:r>
        <w:rPr>
          <w:rFonts w:eastAsia="Times New Roman"/>
          <w:color w:val="000000"/>
          <w:sz w:val="20"/>
          <w:szCs w:val="20"/>
        </w:rPr>
        <w:t>The NAIC has also developed a group capital calculation tool using an RBC aggregation methodology for all entities within the insurance holding company system, including non-U.S. entities. The group capital calculation will p</w:t>
      </w:r>
      <w:r>
        <w:rPr>
          <w:rFonts w:eastAsia="Times New Roman"/>
          <w:color w:val="000000"/>
          <w:sz w:val="20"/>
          <w:szCs w:val="20"/>
        </w:rPr>
        <w:t>rovide U.S. solvency regulators with an additional analytical tool for conducting group-wide supervision. The NAIC’s amendments to the Model Holding Company Act and Regulation in 2020 also implement the Group Capital Calculation Template and Instructions a</w:t>
      </w:r>
      <w:r>
        <w:rPr>
          <w:rFonts w:eastAsia="Times New Roman"/>
          <w:color w:val="000000"/>
          <w:sz w:val="20"/>
          <w:szCs w:val="20"/>
        </w:rPr>
        <w:t>s well as the annual filing requirement for the group capital calculation. These amendments have to be adopted by state legislatures to become effective, as discussed above.</w:t>
      </w:r>
    </w:p>
    <w:p w:rsidR="00000000" w:rsidRDefault="005B0BC3">
      <w:pPr>
        <w:divId w:val="626594366"/>
        <w:rPr>
          <w:rFonts w:eastAsia="Times New Roman"/>
        </w:rPr>
      </w:pPr>
      <w:r>
        <w:rPr>
          <w:rFonts w:eastAsia="Times New Roman"/>
          <w:i/>
          <w:iCs/>
          <w:color w:val="000000"/>
          <w:sz w:val="20"/>
          <w:szCs w:val="20"/>
          <w:u w:val="single"/>
        </w:rPr>
        <w:t>Captive Reinsurance Regulation and Variable Annuity Capital Standards</w:t>
      </w:r>
    </w:p>
    <w:p w:rsidR="00000000" w:rsidRDefault="005B0BC3">
      <w:pPr>
        <w:ind w:firstLine="360"/>
        <w:divId w:val="1694450972"/>
        <w:rPr>
          <w:rFonts w:eastAsia="Times New Roman"/>
        </w:rPr>
      </w:pPr>
      <w:r>
        <w:rPr>
          <w:rFonts w:eastAsia="Times New Roman"/>
          <w:color w:val="000000"/>
          <w:sz w:val="20"/>
          <w:szCs w:val="20"/>
        </w:rPr>
        <w:t>We use an af</w:t>
      </w:r>
      <w:r>
        <w:rPr>
          <w:rFonts w:eastAsia="Times New Roman"/>
          <w:color w:val="000000"/>
          <w:sz w:val="20"/>
          <w:szCs w:val="20"/>
        </w:rPr>
        <w:t>filiated captive reinsurer as part of our capital management strategy. During the last few years, the NAIC and certain state regulators, including the NYDFS, have been scrutinizing insurance companies’ use of affiliated captive reinsurers or offshore entit</w:t>
      </w:r>
      <w:r>
        <w:rPr>
          <w:rFonts w:eastAsia="Times New Roman"/>
          <w:color w:val="000000"/>
          <w:sz w:val="20"/>
          <w:szCs w:val="20"/>
        </w:rPr>
        <w:t>ies.</w:t>
      </w:r>
    </w:p>
    <w:p w:rsidR="00000000" w:rsidRDefault="005B0BC3">
      <w:pPr>
        <w:ind w:firstLine="360"/>
        <w:divId w:val="1545021075"/>
        <w:rPr>
          <w:rFonts w:eastAsia="Times New Roman"/>
        </w:rPr>
      </w:pPr>
      <w:r>
        <w:rPr>
          <w:rFonts w:eastAsia="Times New Roman"/>
          <w:color w:val="000000"/>
          <w:sz w:val="20"/>
          <w:szCs w:val="20"/>
        </w:rPr>
        <w:t>The NAIC adopted a revised preamble to the NAIC accreditation standards (the “Standard”), effective as of January 1, 2016, that applies the Standard to captive insurers which assume level premium term life insurance (“XXX”) business and universal life</w:t>
      </w:r>
      <w:r>
        <w:rPr>
          <w:rFonts w:eastAsia="Times New Roman"/>
          <w:color w:val="000000"/>
          <w:sz w:val="20"/>
          <w:szCs w:val="20"/>
        </w:rPr>
        <w:t xml:space="preserve"> with secondary guarantees (“AXXX”) business. The NAIC also approved a regulatory framework, the XXX/AXXX Reinsurance Framework, for XXX/AXXX transactions. The framework requires more disclosure of an insurer’s use of captives in its statutory financial st</w:t>
      </w:r>
      <w:r>
        <w:rPr>
          <w:rFonts w:eastAsia="Times New Roman"/>
          <w:color w:val="000000"/>
          <w:sz w:val="20"/>
          <w:szCs w:val="20"/>
        </w:rPr>
        <w:t>atements and narrows the types of assets permitted to back statutory reserves that are required to support the insurer’s future obligations. The XXX/AXXX Reinsurance Framework was implemented through an actuarial guideline (“AG 48”), which requires the act</w:t>
      </w:r>
      <w:r>
        <w:rPr>
          <w:rFonts w:eastAsia="Times New Roman"/>
          <w:color w:val="000000"/>
          <w:sz w:val="20"/>
          <w:szCs w:val="20"/>
        </w:rPr>
        <w:t>uary of the ceding insurer that opines on the insurer’s reserves to issue a qualified opinion if the framework is not followed. AG 48 applies prospectively, so that XXX/AXXX captives are not subject to AG 48 if reinsured policies were issued prior to Janua</w:t>
      </w:r>
      <w:r>
        <w:rPr>
          <w:rFonts w:eastAsia="Times New Roman"/>
          <w:color w:val="000000"/>
          <w:sz w:val="20"/>
          <w:szCs w:val="20"/>
        </w:rPr>
        <w:t xml:space="preserve">ry 1, 2015 and ceded so that they were part of a reinsurance arrangement as of December 31, 2014, as is the case for the XXX business and AXXX business reinsured by our Arizona </w:t>
      </w:r>
    </w:p>
    <w:p w:rsidR="00000000" w:rsidRDefault="005B0BC3">
      <w:pPr>
        <w:jc w:val="center"/>
        <w:divId w:val="1548252695"/>
        <w:rPr>
          <w:rFonts w:eastAsia="Times New Roman"/>
        </w:rPr>
      </w:pPr>
      <w:r>
        <w:rPr>
          <w:rFonts w:eastAsia="Times New Roman"/>
          <w:color w:val="000000"/>
          <w:sz w:val="20"/>
          <w:szCs w:val="20"/>
        </w:rPr>
        <w:t>41</w:t>
      </w:r>
    </w:p>
    <w:p w:rsidR="00000000" w:rsidRDefault="005B0BC3">
      <w:pPr>
        <w:rPr>
          <w:rFonts w:eastAsia="Times New Roman"/>
        </w:rPr>
      </w:pPr>
      <w:r>
        <w:rPr>
          <w:rFonts w:eastAsia="Times New Roman"/>
        </w:rPr>
        <w:pict>
          <v:rect id="_x0000_i1078" style="width:0;height:1.5pt" o:hralign="center" o:hrstd="t" o:hr="t" fillcolor="#a0a0a0" stroked="f"/>
        </w:pict>
      </w:r>
    </w:p>
    <w:p w:rsidR="00000000" w:rsidRDefault="005B0BC3">
      <w:pPr>
        <w:divId w:val="728653664"/>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divId w:val="1752970023"/>
        <w:rPr>
          <w:rFonts w:eastAsia="Times New Roman"/>
        </w:rPr>
      </w:pPr>
      <w:r>
        <w:rPr>
          <w:rFonts w:eastAsia="Times New Roman"/>
          <w:color w:val="000000"/>
          <w:sz w:val="20"/>
          <w:szCs w:val="20"/>
        </w:rPr>
        <w:t>captive. The Standard is satisfied if the applicable reinsurance transaction satisfies the XXX/AXXX Reinsurance Framework requirements. The NA</w:t>
      </w:r>
      <w:r>
        <w:rPr>
          <w:rFonts w:eastAsia="Times New Roman"/>
          <w:color w:val="000000"/>
          <w:sz w:val="20"/>
          <w:szCs w:val="20"/>
        </w:rPr>
        <w:t>IC also adopted the Term and Universal Life Insurance Reserving Financing Model Regulation which contains the same substantive requirements as AG 48, as amended by the NAIC, and it establishes uniform, national standards governing reserve financing arrange</w:t>
      </w:r>
      <w:r>
        <w:rPr>
          <w:rFonts w:eastAsia="Times New Roman"/>
          <w:color w:val="000000"/>
          <w:sz w:val="20"/>
          <w:szCs w:val="20"/>
        </w:rPr>
        <w:t>ments pertaining to the term life and universal life insurance policies with secondary guarantees. The model regulation has not yet been adopted by our insurance subsidiaries’ domiciliary states, although it will become an NAIC accreditation standard as of</w:t>
      </w:r>
      <w:r>
        <w:rPr>
          <w:rFonts w:eastAsia="Times New Roman"/>
          <w:color w:val="000000"/>
          <w:sz w:val="20"/>
          <w:szCs w:val="20"/>
        </w:rPr>
        <w:t xml:space="preserve"> September 1, 2022. </w:t>
      </w:r>
    </w:p>
    <w:p w:rsidR="00000000" w:rsidRDefault="005B0BC3">
      <w:pPr>
        <w:ind w:firstLine="360"/>
        <w:divId w:val="2062240301"/>
        <w:rPr>
          <w:rFonts w:eastAsia="Times New Roman"/>
        </w:rPr>
      </w:pPr>
      <w:r>
        <w:rPr>
          <w:rFonts w:eastAsia="Times New Roman"/>
          <w:color w:val="000000"/>
          <w:sz w:val="20"/>
          <w:szCs w:val="20"/>
        </w:rPr>
        <w:t>The NAIC adopted a new framework for variable annuity captive reinsurance transactions that became operational in 2020, which includes reforms that improve the statutory reserve and RBC framework for insurance companies that sell varia</w:t>
      </w:r>
      <w:r>
        <w:rPr>
          <w:rFonts w:eastAsia="Times New Roman"/>
          <w:color w:val="000000"/>
          <w:sz w:val="20"/>
          <w:szCs w:val="20"/>
        </w:rPr>
        <w:t>ble annuity products. Among other changes, the framework includes new prescriptions for reflecting hedge effectiveness, investment returns, interest rates, mortality and policyholder behavior in calculating statutory reserves and RBC. Overall, we believe t</w:t>
      </w:r>
      <w:r>
        <w:rPr>
          <w:rFonts w:eastAsia="Times New Roman"/>
          <w:color w:val="000000"/>
          <w:sz w:val="20"/>
          <w:szCs w:val="20"/>
        </w:rPr>
        <w:t xml:space="preserve">he NAIC reform has moved variable annuity capital standards towards an economic framework which is consistent with how we manage our business. The Company adopted the NAIC reserve and capital framework for the year ended December 31, 2019. </w:t>
      </w:r>
    </w:p>
    <w:p w:rsidR="00000000" w:rsidRDefault="005B0BC3">
      <w:pPr>
        <w:ind w:firstLine="360"/>
        <w:divId w:val="730159998"/>
        <w:rPr>
          <w:rFonts w:eastAsia="Times New Roman"/>
        </w:rPr>
      </w:pPr>
      <w:r>
        <w:rPr>
          <w:rFonts w:eastAsia="Times New Roman"/>
          <w:color w:val="000000"/>
          <w:sz w:val="20"/>
          <w:szCs w:val="20"/>
        </w:rPr>
        <w:t>As noted above,</w:t>
      </w:r>
      <w:r>
        <w:rPr>
          <w:rFonts w:eastAsia="Times New Roman"/>
          <w:color w:val="000000"/>
          <w:sz w:val="20"/>
          <w:szCs w:val="20"/>
        </w:rPr>
        <w:t xml:space="preserve"> New York’s Regulation 213, which was adopted in 2019 and subsequently amended by the NYDFS, differs from the NAIC’s variable annuity reserve and capital framework described above. Regulation 213 does not materially affect Holdings’ GAAP financial conditio</w:t>
      </w:r>
      <w:r>
        <w:rPr>
          <w:rFonts w:eastAsia="Times New Roman"/>
          <w:color w:val="000000"/>
          <w:sz w:val="20"/>
          <w:szCs w:val="20"/>
        </w:rPr>
        <w:t xml:space="preserve">n, results of operations or stockholders’ equity. However, absent management action, Regulation 213 will require Holdings’ principal insurance subsidiary, Equitable Financial, to carry statutory basis reserves for its variable annuity contract obligations </w:t>
      </w:r>
      <w:r>
        <w:rPr>
          <w:rFonts w:eastAsia="Times New Roman"/>
          <w:color w:val="000000"/>
          <w:sz w:val="20"/>
          <w:szCs w:val="20"/>
        </w:rPr>
        <w:t>equal to the greater of those required under (i) the NAIC standard or (ii) a revised version of the NYDFS requirement in effect prior to the adoption of the regulation’s first amendment for contracts issued prior to January 1, 2020, and for policies issued</w:t>
      </w:r>
      <w:r>
        <w:rPr>
          <w:rFonts w:eastAsia="Times New Roman"/>
          <w:color w:val="000000"/>
          <w:sz w:val="20"/>
          <w:szCs w:val="20"/>
        </w:rPr>
        <w:t xml:space="preserve"> after that date a new standard that we believe is more conservative than the NAIC standard. Absent management action, Regulation 213 will (i) negatively impact Equitable Financial’s surplus level and RBC ratio and (ii) materially and adversely affect Equi</w:t>
      </w:r>
      <w:r>
        <w:rPr>
          <w:rFonts w:eastAsia="Times New Roman"/>
          <w:color w:val="000000"/>
          <w:sz w:val="20"/>
          <w:szCs w:val="20"/>
        </w:rPr>
        <w:t>table Financial’s dividend capacity from 2021 and moving forward. These impacts would be more adverse in periods of rising equity and/or interest rate markets and they were exacerbated upon closing of the Venerable Transaction. As a holding company, Holdin</w:t>
      </w:r>
      <w:r>
        <w:rPr>
          <w:rFonts w:eastAsia="Times New Roman"/>
          <w:color w:val="000000"/>
          <w:sz w:val="20"/>
          <w:szCs w:val="20"/>
        </w:rPr>
        <w:t>gs relies on dividends and other payments from its subsidiaries and, accordingly, any material limitation on Equitable Financial’s dividend capacity could materially affect Holdings’ ability to return capital to stockholders through dividends and stock rep</w:t>
      </w:r>
      <w:r>
        <w:rPr>
          <w:rFonts w:eastAsia="Times New Roman"/>
          <w:color w:val="000000"/>
          <w:sz w:val="20"/>
          <w:szCs w:val="20"/>
        </w:rPr>
        <w:t>urchases. Equitable Financial was granted a permitted practice by the NYDFS which partially mitigates the Regulation 213 impact of the Venerable Transaction to make the regulation’s application to Equitable Financial more consistent with the NAIC reserve a</w:t>
      </w:r>
      <w:r>
        <w:rPr>
          <w:rFonts w:eastAsia="Times New Roman"/>
          <w:color w:val="000000"/>
          <w:sz w:val="20"/>
          <w:szCs w:val="20"/>
        </w:rPr>
        <w:t>nd capital framework. Equitable Financial also entered into a reinsurance agreement with Swiss Re Life &amp; Health America Inc. (“Swiss Re”), effective October 1, 2021, and we completed certain internal restructurings that increase cash flows to Holdings from</w:t>
      </w:r>
      <w:r>
        <w:rPr>
          <w:rFonts w:eastAsia="Times New Roman"/>
          <w:color w:val="000000"/>
          <w:sz w:val="20"/>
          <w:szCs w:val="20"/>
        </w:rPr>
        <w:t xml:space="preserve"> non-life insurance entities, which further mitigate the impacts from Regulation 213. The Company is considering additional management actions intended to reduce the impact of Regulation 213 which could include seeking further amendment of Regulation 213 o</w:t>
      </w:r>
      <w:r>
        <w:rPr>
          <w:rFonts w:eastAsia="Times New Roman"/>
          <w:color w:val="000000"/>
          <w:sz w:val="20"/>
          <w:szCs w:val="20"/>
        </w:rPr>
        <w:t>r exemptive relief therefrom, changing our underwriting practices to emphasize issuing variable annuity products out of affiliates which are not domiciled in New York, increasing the use of reinsurance and pursuing other corporate transactions. There can b</w:t>
      </w:r>
      <w:r>
        <w:rPr>
          <w:rFonts w:eastAsia="Times New Roman"/>
          <w:color w:val="000000"/>
          <w:sz w:val="20"/>
          <w:szCs w:val="20"/>
        </w:rPr>
        <w:t xml:space="preserve">e no assurance that any management action individually or collectively will fully mitigate the impact of Regulation 213. Other state insurance regulators may also propose and adopt standards that differ from the NAIC framework. See Note 18 of the Notes to </w:t>
      </w:r>
      <w:r>
        <w:rPr>
          <w:rFonts w:eastAsia="Times New Roman"/>
          <w:color w:val="000000"/>
          <w:sz w:val="20"/>
          <w:szCs w:val="20"/>
        </w:rPr>
        <w:t xml:space="preserve">these Consolidated Financial Statements for additional detail on the permitted practice granted by the NYDFS. </w:t>
      </w:r>
    </w:p>
    <w:p w:rsidR="00000000" w:rsidRDefault="005B0BC3">
      <w:pPr>
        <w:ind w:firstLine="360"/>
        <w:divId w:val="27024731"/>
        <w:rPr>
          <w:rFonts w:eastAsia="Times New Roman"/>
        </w:rPr>
      </w:pPr>
      <w:r>
        <w:rPr>
          <w:rFonts w:eastAsia="Times New Roman"/>
          <w:color w:val="000000"/>
          <w:sz w:val="20"/>
          <w:szCs w:val="20"/>
        </w:rPr>
        <w:t>We cannot predict what revisions, if any, will be made to the model laws and regulations relating to the use of captives. Any regulatory action t</w:t>
      </w:r>
      <w:r>
        <w:rPr>
          <w:rFonts w:eastAsia="Times New Roman"/>
          <w:color w:val="000000"/>
          <w:sz w:val="20"/>
          <w:szCs w:val="20"/>
        </w:rPr>
        <w:t xml:space="preserve">hat limits our ability to achieve desired benefits from the use of or materially increases our cost of using captive reinsurance and applies retroactively, without grandfathering provisions for existing captive variable annuity reinsurance entities, could </w:t>
      </w:r>
      <w:r>
        <w:rPr>
          <w:rFonts w:eastAsia="Times New Roman"/>
          <w:color w:val="000000"/>
          <w:sz w:val="20"/>
          <w:szCs w:val="20"/>
        </w:rPr>
        <w:t>have a material adverse effect on our financial condition or results of operations. For additional information on our use of a captive reinsurance company, see “Risk Factors—Legal and Regulatory Risks.”</w:t>
      </w:r>
    </w:p>
    <w:p w:rsidR="00000000" w:rsidRDefault="005B0BC3">
      <w:pPr>
        <w:divId w:val="43451818"/>
        <w:rPr>
          <w:rFonts w:eastAsia="Times New Roman"/>
        </w:rPr>
      </w:pPr>
      <w:r>
        <w:rPr>
          <w:rFonts w:eastAsia="Times New Roman"/>
          <w:i/>
          <w:iCs/>
          <w:color w:val="000000"/>
          <w:sz w:val="20"/>
          <w:szCs w:val="20"/>
          <w:u w:val="single"/>
        </w:rPr>
        <w:t>Surplus and Capital; Risk Based Capital</w:t>
      </w:r>
    </w:p>
    <w:p w:rsidR="00000000" w:rsidRDefault="005B0BC3">
      <w:pPr>
        <w:ind w:firstLine="360"/>
        <w:divId w:val="1499072981"/>
        <w:rPr>
          <w:rFonts w:eastAsia="Times New Roman"/>
        </w:rPr>
      </w:pPr>
      <w:r>
        <w:rPr>
          <w:rFonts w:eastAsia="Times New Roman"/>
          <w:color w:val="000000"/>
          <w:sz w:val="20"/>
          <w:szCs w:val="20"/>
        </w:rPr>
        <w:t xml:space="preserve">Insurers are </w:t>
      </w:r>
      <w:r>
        <w:rPr>
          <w:rFonts w:eastAsia="Times New Roman"/>
          <w:color w:val="000000"/>
          <w:sz w:val="20"/>
          <w:szCs w:val="20"/>
        </w:rPr>
        <w:t>required to maintain their capital and surplus at or above minimum levels. Regulators have discretionary authority, in connection with the continued licensing of insurance companies, to limit or prohibit an insurer’s sales to policyholders if, in their jud</w:t>
      </w:r>
      <w:r>
        <w:rPr>
          <w:rFonts w:eastAsia="Times New Roman"/>
          <w:color w:val="000000"/>
          <w:sz w:val="20"/>
          <w:szCs w:val="20"/>
        </w:rPr>
        <w:t>gment, the regulators determine that such insurer has not maintained the minimum surplus or capital or that the further transaction of business will be hazardous to policyholders. We report our RBC based on a formula calculated by applying factors to vario</w:t>
      </w:r>
      <w:r>
        <w:rPr>
          <w:rFonts w:eastAsia="Times New Roman"/>
          <w:color w:val="000000"/>
          <w:sz w:val="20"/>
          <w:szCs w:val="20"/>
        </w:rPr>
        <w:t>us asset, premium and statutory reserve items, as well as taking into account the risk characteristics of the insurer. The major categories of risk involved are asset risk, insurance risk, interest rate risk, market risk and business risk. The formula is u</w:t>
      </w:r>
      <w:r>
        <w:rPr>
          <w:rFonts w:eastAsia="Times New Roman"/>
          <w:color w:val="000000"/>
          <w:sz w:val="20"/>
          <w:szCs w:val="20"/>
        </w:rPr>
        <w:t xml:space="preserve">sed as a regulatory tool to identify possible inadequately capitalized insurers for purposes of initiating regulatory action, and not as a means to rank insurers generally. State insurance laws provide insurance regulators the authority to require various </w:t>
      </w:r>
      <w:r>
        <w:rPr>
          <w:rFonts w:eastAsia="Times New Roman"/>
          <w:color w:val="000000"/>
          <w:sz w:val="20"/>
          <w:szCs w:val="20"/>
        </w:rPr>
        <w:t>actions by, or take various actions against, insurers whose RBC ratio does not meet or exceed certain RBC levels. The NAIC has approved RBC revisions for corporate bonds, real estate equity and longevity risk that took effect at year-end 2021 and are expec</w:t>
      </w:r>
      <w:r>
        <w:rPr>
          <w:rFonts w:eastAsia="Times New Roman"/>
          <w:color w:val="000000"/>
          <w:sz w:val="20"/>
          <w:szCs w:val="20"/>
        </w:rPr>
        <w:t xml:space="preserve">ted to have a modest net positive RBC impact on our insurance subsidiaries. As of the date of the most </w:t>
      </w:r>
    </w:p>
    <w:p w:rsidR="00000000" w:rsidRDefault="005B0BC3">
      <w:pPr>
        <w:jc w:val="center"/>
        <w:divId w:val="923224653"/>
        <w:rPr>
          <w:rFonts w:eastAsia="Times New Roman"/>
        </w:rPr>
      </w:pPr>
      <w:r>
        <w:rPr>
          <w:rFonts w:eastAsia="Times New Roman"/>
          <w:color w:val="000000"/>
          <w:sz w:val="20"/>
          <w:szCs w:val="20"/>
        </w:rPr>
        <w:t>42</w:t>
      </w:r>
    </w:p>
    <w:p w:rsidR="00000000" w:rsidRDefault="005B0BC3">
      <w:pPr>
        <w:rPr>
          <w:rFonts w:eastAsia="Times New Roman"/>
        </w:rPr>
      </w:pPr>
      <w:r>
        <w:rPr>
          <w:rFonts w:eastAsia="Times New Roman"/>
        </w:rPr>
        <w:pict>
          <v:rect id="_x0000_i1079" style="width:0;height:1.5pt" o:hralign="center" o:hrstd="t" o:hr="t" fillcolor="#a0a0a0" stroked="f"/>
        </w:pict>
      </w:r>
    </w:p>
    <w:p w:rsidR="00000000" w:rsidRDefault="005B0BC3">
      <w:pPr>
        <w:divId w:val="1273437280"/>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divId w:val="1640646760"/>
        <w:rPr>
          <w:rFonts w:eastAsia="Times New Roman"/>
        </w:rPr>
      </w:pPr>
      <w:r>
        <w:rPr>
          <w:rFonts w:eastAsia="Times New Roman"/>
          <w:color w:val="000000"/>
          <w:sz w:val="20"/>
          <w:szCs w:val="20"/>
        </w:rPr>
        <w:t xml:space="preserve">recent annual statutory financial </w:t>
      </w:r>
      <w:r>
        <w:rPr>
          <w:rFonts w:eastAsia="Times New Roman"/>
          <w:color w:val="000000"/>
          <w:sz w:val="20"/>
          <w:szCs w:val="20"/>
        </w:rPr>
        <w:t>statements filed with insurance regulators, the RBC of each of our insurance subsidiaries was in excess of each of those RBC levels.</w:t>
      </w:r>
    </w:p>
    <w:p w:rsidR="00000000" w:rsidRDefault="005B0BC3">
      <w:pPr>
        <w:divId w:val="1307975318"/>
        <w:rPr>
          <w:rFonts w:eastAsia="Times New Roman"/>
        </w:rPr>
      </w:pPr>
      <w:r>
        <w:rPr>
          <w:rFonts w:eastAsia="Times New Roman"/>
          <w:i/>
          <w:iCs/>
          <w:color w:val="000000"/>
          <w:sz w:val="20"/>
          <w:szCs w:val="20"/>
          <w:u w:val="single"/>
        </w:rPr>
        <w:t>Guaranty Associations and Similar Arrangements</w:t>
      </w:r>
    </w:p>
    <w:p w:rsidR="00000000" w:rsidRDefault="005B0BC3">
      <w:pPr>
        <w:ind w:firstLine="360"/>
        <w:divId w:val="1686980712"/>
        <w:rPr>
          <w:rFonts w:eastAsia="Times New Roman"/>
        </w:rPr>
      </w:pPr>
      <w:r>
        <w:rPr>
          <w:rFonts w:eastAsia="Times New Roman"/>
          <w:color w:val="000000"/>
          <w:sz w:val="20"/>
          <w:szCs w:val="20"/>
        </w:rPr>
        <w:t>Each of the states in which we are admitted to transact business require lif</w:t>
      </w:r>
      <w:r>
        <w:rPr>
          <w:rFonts w:eastAsia="Times New Roman"/>
          <w:color w:val="000000"/>
          <w:sz w:val="20"/>
          <w:szCs w:val="20"/>
        </w:rPr>
        <w:t xml:space="preserve">e insurers doing business within the jurisdiction to participate in guaranty associations, which are organized to pay certain contractual insurance benefits owed pursuant to insurance policies issued by impaired, insolvent or failed insurers. The laws are </w:t>
      </w:r>
      <w:r>
        <w:rPr>
          <w:rFonts w:eastAsia="Times New Roman"/>
          <w:color w:val="000000"/>
          <w:sz w:val="20"/>
          <w:szCs w:val="20"/>
        </w:rPr>
        <w:t xml:space="preserve">designed to protect policyholders from losses under insurance policies issued by insurance companies that become impaired or insolvent. These associations levy assessments, up to prescribed limits, on all member insurers in a particular state on the basis </w:t>
      </w:r>
      <w:r>
        <w:rPr>
          <w:rFonts w:eastAsia="Times New Roman"/>
          <w:color w:val="000000"/>
          <w:sz w:val="20"/>
          <w:szCs w:val="20"/>
        </w:rPr>
        <w:t>of the proportionate share of the premiums written by member insurers in the lines of business in which the impaired, insolvent or failed insurer is engaged. Some states permit member insurers to recover assessments paid through full or partial premium tax</w:t>
      </w:r>
      <w:r>
        <w:rPr>
          <w:rFonts w:eastAsia="Times New Roman"/>
          <w:color w:val="000000"/>
          <w:sz w:val="20"/>
          <w:szCs w:val="20"/>
        </w:rPr>
        <w:t xml:space="preserve"> offsets.</w:t>
      </w:r>
    </w:p>
    <w:p w:rsidR="00000000" w:rsidRDefault="005B0BC3">
      <w:pPr>
        <w:ind w:firstLine="360"/>
        <w:divId w:val="1761102313"/>
        <w:rPr>
          <w:rFonts w:eastAsia="Times New Roman"/>
        </w:rPr>
      </w:pPr>
      <w:r>
        <w:rPr>
          <w:rFonts w:eastAsia="Times New Roman"/>
          <w:color w:val="000000"/>
          <w:sz w:val="20"/>
          <w:szCs w:val="20"/>
        </w:rPr>
        <w:t>During each of the past five years, the assessments levied against us have not been material.</w:t>
      </w:r>
    </w:p>
    <w:p w:rsidR="00000000" w:rsidRDefault="005B0BC3">
      <w:pPr>
        <w:divId w:val="2112777226"/>
        <w:rPr>
          <w:rFonts w:eastAsia="Times New Roman"/>
        </w:rPr>
      </w:pPr>
      <w:r>
        <w:rPr>
          <w:rFonts w:eastAsia="Times New Roman"/>
          <w:i/>
          <w:iCs/>
          <w:color w:val="000000"/>
          <w:sz w:val="20"/>
          <w:szCs w:val="20"/>
          <w:u w:val="single"/>
        </w:rPr>
        <w:t>New York Insurance Regulation 210</w:t>
      </w:r>
    </w:p>
    <w:p w:rsidR="00000000" w:rsidRDefault="005B0BC3">
      <w:pPr>
        <w:ind w:firstLine="360"/>
        <w:divId w:val="1468666152"/>
        <w:rPr>
          <w:rFonts w:eastAsia="Times New Roman"/>
        </w:rPr>
      </w:pPr>
      <w:r>
        <w:rPr>
          <w:rFonts w:eastAsia="Times New Roman"/>
          <w:color w:val="000000"/>
          <w:sz w:val="20"/>
          <w:szCs w:val="20"/>
        </w:rPr>
        <w:t>In recent years, state regulators have considered whether to apply regulatory standards to the determination and/or re</w:t>
      </w:r>
      <w:r>
        <w:rPr>
          <w:rFonts w:eastAsia="Times New Roman"/>
          <w:color w:val="000000"/>
          <w:sz w:val="20"/>
          <w:szCs w:val="20"/>
        </w:rPr>
        <w:t xml:space="preserve">adjustment of non-guaranteed elements (“NGEs”) within life insurance policies and annuity contracts that may be adjusted at the insurer’s discretion, such as the cost of insurance for universal life insurance policies and interest crediting rates for life </w:t>
      </w:r>
      <w:r>
        <w:rPr>
          <w:rFonts w:eastAsia="Times New Roman"/>
          <w:color w:val="000000"/>
          <w:sz w:val="20"/>
          <w:szCs w:val="20"/>
        </w:rPr>
        <w:t>insurance policies and annuity contracts. For example, in March 2018, Insurance Regulation 210 went into effect in New York. That regulation establishes standards for the determination and any readjustment of NGEs, including a prohibition on increasing pro</w:t>
      </w:r>
      <w:r>
        <w:rPr>
          <w:rFonts w:eastAsia="Times New Roman"/>
          <w:color w:val="000000"/>
          <w:sz w:val="20"/>
          <w:szCs w:val="20"/>
        </w:rPr>
        <w:t>fit margins on existing business or recouping past losses on such business, and requires advance notice of any adverse change in a NGE to both the NYDFS as well as to affected policyholders. We have developed policies and procedures designed to comply with</w:t>
      </w:r>
      <w:r>
        <w:rPr>
          <w:rFonts w:eastAsia="Times New Roman"/>
          <w:color w:val="000000"/>
          <w:sz w:val="20"/>
          <w:szCs w:val="20"/>
        </w:rPr>
        <w:t xml:space="preserve"> Regulation 210 and to date, have not seen adverse effects on our business. It is possible, however, that Regulation 210 could adversely impact management’s ability to determine and/or readjust NGEs in the future. Beyond the New York regulation and similar</w:t>
      </w:r>
      <w:r>
        <w:rPr>
          <w:rFonts w:eastAsia="Times New Roman"/>
          <w:color w:val="000000"/>
          <w:sz w:val="20"/>
          <w:szCs w:val="20"/>
        </w:rPr>
        <w:t xml:space="preserve"> rules enacted in California (that took effect on July 1, 2019) and Texas (that took effect on January 1, 2021), the likelihood of enactment of any such state-based regulation is uncertain at this time, but if implemented, these regulations could have adve</w:t>
      </w:r>
      <w:r>
        <w:rPr>
          <w:rFonts w:eastAsia="Times New Roman"/>
          <w:color w:val="000000"/>
          <w:sz w:val="20"/>
          <w:szCs w:val="20"/>
        </w:rPr>
        <w:t>rse effects on our business and consolidated results of operations.</w:t>
      </w:r>
    </w:p>
    <w:p w:rsidR="00000000" w:rsidRDefault="005B0BC3">
      <w:pPr>
        <w:jc w:val="both"/>
        <w:divId w:val="1085539362"/>
        <w:rPr>
          <w:rFonts w:eastAsia="Times New Roman"/>
        </w:rPr>
      </w:pPr>
      <w:r>
        <w:rPr>
          <w:rFonts w:eastAsia="Times New Roman"/>
          <w:b/>
          <w:bCs/>
          <w:i/>
          <w:iCs/>
          <w:color w:val="000000"/>
          <w:sz w:val="20"/>
          <w:szCs w:val="20"/>
        </w:rPr>
        <w:t>Broker-Dealer and Securities Regulation and Commodities Regulation</w:t>
      </w:r>
    </w:p>
    <w:p w:rsidR="00000000" w:rsidRDefault="005B0BC3">
      <w:pPr>
        <w:ind w:firstLine="360"/>
        <w:divId w:val="316880714"/>
        <w:rPr>
          <w:rFonts w:eastAsia="Times New Roman"/>
        </w:rPr>
      </w:pPr>
      <w:r>
        <w:rPr>
          <w:rFonts w:eastAsia="Times New Roman"/>
          <w:color w:val="000000"/>
          <w:sz w:val="20"/>
          <w:szCs w:val="20"/>
        </w:rPr>
        <w:t>We and certain policies and contracts offered by us are subject to regulation under the Federal securities laws administe</w:t>
      </w:r>
      <w:r>
        <w:rPr>
          <w:rFonts w:eastAsia="Times New Roman"/>
          <w:color w:val="000000"/>
          <w:sz w:val="20"/>
          <w:szCs w:val="20"/>
        </w:rPr>
        <w:t>red by the SEC, self-regulatory organizations and under certain state securities laws. These regulators may conduct examinations of our operations, and from time to time make requests for particular information from us.</w:t>
      </w:r>
    </w:p>
    <w:p w:rsidR="00000000" w:rsidRDefault="005B0BC3">
      <w:pPr>
        <w:divId w:val="783157181"/>
        <w:rPr>
          <w:rFonts w:eastAsia="Times New Roman"/>
        </w:rPr>
      </w:pPr>
      <w:r>
        <w:rPr>
          <w:rFonts w:eastAsia="Times New Roman"/>
          <w:color w:val="000000"/>
          <w:sz w:val="20"/>
          <w:szCs w:val="20"/>
        </w:rPr>
        <w:t>Certain of our subsidiaries, includi</w:t>
      </w:r>
      <w:r>
        <w:rPr>
          <w:rFonts w:eastAsia="Times New Roman"/>
          <w:color w:val="000000"/>
          <w:sz w:val="20"/>
          <w:szCs w:val="20"/>
        </w:rPr>
        <w:t xml:space="preserve">ng Equitable Advisors, Equitable Distributors, SCB LLC and AllianceBernstein Investments, Inc., are registered as broker-dealers (collectively, the “Broker-Dealers”) under the Exchange Act. The Broker-Dealers are subject to extensive regulation by the SEC </w:t>
      </w:r>
      <w:r>
        <w:rPr>
          <w:rFonts w:eastAsia="Times New Roman"/>
          <w:color w:val="000000"/>
          <w:sz w:val="20"/>
          <w:szCs w:val="20"/>
        </w:rPr>
        <w:t xml:space="preserve">and are members of, and subject to regulation by, FINRA, a self-regulatory organization subject to SEC oversight. The Broker-Dealers are subject to the capital requirements of the SEC and FINRA, which specify minimum levels of capital (“net capital”) that </w:t>
      </w:r>
      <w:r>
        <w:rPr>
          <w:rFonts w:eastAsia="Times New Roman"/>
          <w:color w:val="000000"/>
          <w:sz w:val="20"/>
          <w:szCs w:val="20"/>
        </w:rPr>
        <w:t>the Broker-Dealers are required to maintain and also limit the amount of leverage that the Broker-Dealers are able to employ in their businesses. The SEC and FINRA also regulate the sales practices of the Broker-Dealers. In June 2020, Regulation Best Inter</w:t>
      </w:r>
      <w:r>
        <w:rPr>
          <w:rFonts w:eastAsia="Times New Roman"/>
          <w:color w:val="000000"/>
          <w:sz w:val="20"/>
          <w:szCs w:val="20"/>
        </w:rPr>
        <w:t>est (“Regulation BI”) went into effect with respect to recommendation of securities and accounts to “retail customers,” defined generally as natural persons and their investment vehicles. Regulation BI requires the Broker-Dealers, when making a recommendat</w:t>
      </w:r>
      <w:r>
        <w:rPr>
          <w:rFonts w:eastAsia="Times New Roman"/>
          <w:color w:val="000000"/>
          <w:sz w:val="20"/>
          <w:szCs w:val="20"/>
        </w:rPr>
        <w:t>ion of any securities transaction or investment strategy involving securities (including account recommendations) to a retail customer to provide specified disclosures and act solely in the retail customer’s best interest. Moreover, in recent years, the SE</w:t>
      </w:r>
      <w:r>
        <w:rPr>
          <w:rFonts w:eastAsia="Times New Roman"/>
          <w:color w:val="000000"/>
          <w:sz w:val="20"/>
          <w:szCs w:val="20"/>
        </w:rPr>
        <w:t>C and FINRA have intensified their scrutiny of sales practices relating to variable annuities, variable life insurance and alternative investments, among other products. In addition, the Broker-Dealers are also subject to regulation by state securities adm</w:t>
      </w:r>
      <w:r>
        <w:rPr>
          <w:rFonts w:eastAsia="Times New Roman"/>
          <w:color w:val="000000"/>
          <w:sz w:val="20"/>
          <w:szCs w:val="20"/>
        </w:rPr>
        <w:t>inistrators in those states in which they conduct business, who may also conduct examinations and direct inquiries to the Broker-Dealers.</w:t>
      </w:r>
    </w:p>
    <w:p w:rsidR="00000000" w:rsidRDefault="005B0BC3">
      <w:pPr>
        <w:divId w:val="1620914280"/>
        <w:rPr>
          <w:rFonts w:eastAsia="Times New Roman"/>
        </w:rPr>
      </w:pPr>
    </w:p>
    <w:p w:rsidR="00000000" w:rsidRDefault="005B0BC3">
      <w:pPr>
        <w:ind w:firstLine="360"/>
        <w:divId w:val="434328596"/>
        <w:rPr>
          <w:rFonts w:eastAsia="Times New Roman"/>
        </w:rPr>
      </w:pPr>
      <w:r>
        <w:rPr>
          <w:rFonts w:eastAsia="Times New Roman"/>
          <w:color w:val="000000"/>
          <w:sz w:val="20"/>
          <w:szCs w:val="20"/>
        </w:rPr>
        <w:t>Certain of our Separate Accounts are registered as investment companies under the Investment Company Act. Separate A</w:t>
      </w:r>
      <w:r>
        <w:rPr>
          <w:rFonts w:eastAsia="Times New Roman"/>
          <w:color w:val="000000"/>
          <w:sz w:val="20"/>
          <w:szCs w:val="20"/>
        </w:rPr>
        <w:t>ccounts interests under certain annuity contracts and insurance policies issued by us are also registered under the Securities Act. EQAT, EQ Premier VIP Trust and 1290 Funds are registered as investment companies under the Investment Company Act and shares</w:t>
      </w:r>
      <w:r>
        <w:rPr>
          <w:rFonts w:eastAsia="Times New Roman"/>
          <w:color w:val="000000"/>
          <w:sz w:val="20"/>
          <w:szCs w:val="20"/>
        </w:rPr>
        <w:t xml:space="preserve"> offered by these investment companies are also registered under the Securities Act. Many of the investment companies managed by AB, including a variety of mutual funds and other pooled investment vehicles, are registered with the SEC under the Investment </w:t>
      </w:r>
      <w:r>
        <w:rPr>
          <w:rFonts w:eastAsia="Times New Roman"/>
          <w:color w:val="000000"/>
          <w:sz w:val="20"/>
          <w:szCs w:val="20"/>
        </w:rPr>
        <w:t>Company Act, and, if appropriate, shares of these entities are registered under the Securities Act.</w:t>
      </w:r>
    </w:p>
    <w:p w:rsidR="00000000" w:rsidRDefault="005B0BC3">
      <w:pPr>
        <w:ind w:firstLine="360"/>
        <w:divId w:val="758016046"/>
        <w:rPr>
          <w:rFonts w:eastAsia="Times New Roman"/>
        </w:rPr>
      </w:pPr>
      <w:r>
        <w:rPr>
          <w:rFonts w:eastAsia="Times New Roman"/>
          <w:color w:val="000000"/>
          <w:sz w:val="20"/>
          <w:szCs w:val="20"/>
        </w:rPr>
        <w:t>Certain subsidiaries including EIMG, Equitable Advisors and AB and certain of its subsidiaries are registered as investment advisers under the Investment Ad</w:t>
      </w:r>
      <w:r>
        <w:rPr>
          <w:rFonts w:eastAsia="Times New Roman"/>
          <w:color w:val="000000"/>
          <w:sz w:val="20"/>
          <w:szCs w:val="20"/>
        </w:rPr>
        <w:t xml:space="preserve">visers Act. The investment advisory activities of such registered investment </w:t>
      </w:r>
    </w:p>
    <w:p w:rsidR="00000000" w:rsidRDefault="005B0BC3">
      <w:pPr>
        <w:jc w:val="center"/>
        <w:divId w:val="1610623929"/>
        <w:rPr>
          <w:rFonts w:eastAsia="Times New Roman"/>
        </w:rPr>
      </w:pPr>
      <w:r>
        <w:rPr>
          <w:rFonts w:eastAsia="Times New Roman"/>
          <w:color w:val="000000"/>
          <w:sz w:val="20"/>
          <w:szCs w:val="20"/>
        </w:rPr>
        <w:t>43</w:t>
      </w:r>
    </w:p>
    <w:p w:rsidR="00000000" w:rsidRDefault="005B0BC3">
      <w:pPr>
        <w:rPr>
          <w:rFonts w:eastAsia="Times New Roman"/>
        </w:rPr>
      </w:pPr>
      <w:r>
        <w:rPr>
          <w:rFonts w:eastAsia="Times New Roman"/>
        </w:rPr>
        <w:pict>
          <v:rect id="_x0000_i1080" style="width:0;height:1.5pt" o:hralign="center" o:hrstd="t" o:hr="t" fillcolor="#a0a0a0" stroked="f"/>
        </w:pict>
      </w:r>
    </w:p>
    <w:p w:rsidR="00000000" w:rsidRDefault="005B0BC3">
      <w:pPr>
        <w:divId w:val="1810434855"/>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divId w:val="1081680432"/>
        <w:rPr>
          <w:rFonts w:eastAsia="Times New Roman"/>
        </w:rPr>
      </w:pPr>
      <w:r>
        <w:rPr>
          <w:rFonts w:eastAsia="Times New Roman"/>
          <w:color w:val="000000"/>
          <w:sz w:val="20"/>
          <w:szCs w:val="20"/>
        </w:rPr>
        <w:t>advisers are subject to various federal and state laws and regulations and to the laws in those foreign countries in which they conduct business. These laws and regulations generally grant supervisory agencies broad administrative powers, including the pow</w:t>
      </w:r>
      <w:r>
        <w:rPr>
          <w:rFonts w:eastAsia="Times New Roman"/>
          <w:color w:val="000000"/>
          <w:sz w:val="20"/>
          <w:szCs w:val="20"/>
        </w:rPr>
        <w:t>er to limit or restrict the carrying on of business for failure to comply with such laws and regulations.</w:t>
      </w:r>
    </w:p>
    <w:p w:rsidR="00000000" w:rsidRDefault="005B0BC3">
      <w:pPr>
        <w:ind w:firstLine="360"/>
        <w:divId w:val="419179658"/>
        <w:rPr>
          <w:rFonts w:eastAsia="Times New Roman"/>
        </w:rPr>
      </w:pPr>
      <w:r>
        <w:rPr>
          <w:rFonts w:eastAsia="Times New Roman"/>
          <w:color w:val="000000"/>
          <w:sz w:val="20"/>
          <w:szCs w:val="20"/>
        </w:rPr>
        <w:t>EIMG is registered with the CFTC as a commodity pool operator with respect to certain portfolios and is also a member of the NFA. AB and certain of it</w:t>
      </w:r>
      <w:r>
        <w:rPr>
          <w:rFonts w:eastAsia="Times New Roman"/>
          <w:color w:val="000000"/>
          <w:sz w:val="20"/>
          <w:szCs w:val="20"/>
        </w:rPr>
        <w:t>s subsidiaries are also separately registered with the CFTC as commodity pool operators and commodity trading advisers; SCB LLC is also registered with the CFTC as a commodity introducing broker. The CFTC is a federal independent agency that is responsible</w:t>
      </w:r>
      <w:r>
        <w:rPr>
          <w:rFonts w:eastAsia="Times New Roman"/>
          <w:color w:val="000000"/>
          <w:sz w:val="20"/>
          <w:szCs w:val="20"/>
        </w:rPr>
        <w:t xml:space="preserve"> for, among other things, the regulation of commodity interests and enforcement of the CEA. The NFA is a self-regulatory organization to which the CFTC has delegated, among other things, the administration and enforcement of commodity regulatory registrati</w:t>
      </w:r>
      <w:r>
        <w:rPr>
          <w:rFonts w:eastAsia="Times New Roman"/>
          <w:color w:val="000000"/>
          <w:sz w:val="20"/>
          <w:szCs w:val="20"/>
        </w:rPr>
        <w:t>on requirements and the regulation of its members. As such, EIMG is subject to regulation by the NFA and CFTC and is subject to certain legal requirements and restrictions in the CEA and in the rules and regulations of the CFTC and the rules and by-laws of</w:t>
      </w:r>
      <w:r>
        <w:rPr>
          <w:rFonts w:eastAsia="Times New Roman"/>
          <w:color w:val="000000"/>
          <w:sz w:val="20"/>
          <w:szCs w:val="20"/>
        </w:rPr>
        <w:t xml:space="preserve"> the NFA on behalf of itself and any commodity pools that it operates, including investor protection requirements and anti-fraud prohibitions, and is subject to periodic inspections and audits by the CFTC and NFA. EIMG is also subject to certain CFTC-manda</w:t>
      </w:r>
      <w:r>
        <w:rPr>
          <w:rFonts w:eastAsia="Times New Roman"/>
          <w:color w:val="000000"/>
          <w:sz w:val="20"/>
          <w:szCs w:val="20"/>
        </w:rPr>
        <w:t>ted disclosure, reporting and record-keeping obligations.</w:t>
      </w:r>
    </w:p>
    <w:p w:rsidR="00000000" w:rsidRDefault="005B0BC3">
      <w:pPr>
        <w:ind w:firstLine="360"/>
        <w:divId w:val="1090854551"/>
        <w:rPr>
          <w:rFonts w:eastAsia="Times New Roman"/>
        </w:rPr>
      </w:pPr>
      <w:r>
        <w:rPr>
          <w:rFonts w:eastAsia="Times New Roman"/>
          <w:color w:val="000000"/>
          <w:sz w:val="20"/>
          <w:szCs w:val="20"/>
        </w:rPr>
        <w:t>Regulators, including the SEC, FINRA, the CFTC, NFA and state attorneys general, continue to focus attention on various practices in or affecting the investment management and/or mutual fund industr</w:t>
      </w:r>
      <w:r>
        <w:rPr>
          <w:rFonts w:eastAsia="Times New Roman"/>
          <w:color w:val="000000"/>
          <w:sz w:val="20"/>
          <w:szCs w:val="20"/>
        </w:rPr>
        <w:t>ies, including portfolio management, valuation, fee break points, and the use of fund assets for distribution.</w:t>
      </w:r>
    </w:p>
    <w:p w:rsidR="00000000" w:rsidRDefault="005B0BC3">
      <w:pPr>
        <w:ind w:firstLine="360"/>
        <w:divId w:val="589238253"/>
        <w:rPr>
          <w:rFonts w:eastAsia="Times New Roman"/>
        </w:rPr>
      </w:pPr>
      <w:r>
        <w:rPr>
          <w:rFonts w:eastAsia="Times New Roman"/>
          <w:color w:val="000000"/>
          <w:sz w:val="20"/>
          <w:szCs w:val="20"/>
        </w:rPr>
        <w:t>We and certain of our subsidiaries have provided, and in certain cases continue to provide, information and documents to the SEC, FINRA, the CFTC</w:t>
      </w:r>
      <w:r>
        <w:rPr>
          <w:rFonts w:eastAsia="Times New Roman"/>
          <w:color w:val="000000"/>
          <w:sz w:val="20"/>
          <w:szCs w:val="20"/>
        </w:rPr>
        <w:t>, NFA, state attorneys general, the NYDFS and other state insurance regulators, and other regulators regarding our compliance with insurance, securities and other laws and regulations regarding the conduct of our businesses. For additional information on r</w:t>
      </w:r>
      <w:r>
        <w:rPr>
          <w:rFonts w:eastAsia="Times New Roman"/>
          <w:color w:val="000000"/>
          <w:sz w:val="20"/>
          <w:szCs w:val="20"/>
        </w:rPr>
        <w:t>egulatory matters, see Note 18 of the Notes to these Consolidated Financial Statements.</w:t>
      </w:r>
    </w:p>
    <w:p w:rsidR="00000000" w:rsidRDefault="005B0BC3">
      <w:pPr>
        <w:ind w:firstLine="360"/>
        <w:divId w:val="124929028"/>
        <w:rPr>
          <w:rFonts w:eastAsia="Times New Roman"/>
        </w:rPr>
      </w:pPr>
      <w:r>
        <w:rPr>
          <w:rFonts w:eastAsia="Times New Roman"/>
          <w:color w:val="000000"/>
          <w:sz w:val="20"/>
          <w:szCs w:val="20"/>
        </w:rPr>
        <w:t>The SEC, FINRA, the CFTC and other governmental regulatory authorities may institute administrative or judicial proceedings that may result in censure, fines, the issuance of cease-and-desist orders, trading prohibitions, the suspension or expulsion of a b</w:t>
      </w:r>
      <w:r>
        <w:rPr>
          <w:rFonts w:eastAsia="Times New Roman"/>
          <w:color w:val="000000"/>
          <w:sz w:val="20"/>
          <w:szCs w:val="20"/>
        </w:rPr>
        <w:t>roker-dealer, commodity pool operator, or other type of regulated entity, or member, its officers, registered representatives or employees or other similar sanctions.</w:t>
      </w:r>
    </w:p>
    <w:p w:rsidR="00000000" w:rsidRDefault="005B0BC3">
      <w:pPr>
        <w:jc w:val="both"/>
        <w:divId w:val="1885365446"/>
        <w:rPr>
          <w:rFonts w:eastAsia="Times New Roman"/>
        </w:rPr>
      </w:pPr>
      <w:r>
        <w:rPr>
          <w:rFonts w:eastAsia="Times New Roman"/>
          <w:b/>
          <w:bCs/>
          <w:i/>
          <w:iCs/>
          <w:color w:val="000000"/>
          <w:sz w:val="20"/>
          <w:szCs w:val="20"/>
        </w:rPr>
        <w:t>Dodd-Frank Wall Street Reform and Consumer Protection Act</w:t>
      </w:r>
    </w:p>
    <w:p w:rsidR="00000000" w:rsidRDefault="005B0BC3">
      <w:pPr>
        <w:ind w:firstLine="360"/>
        <w:divId w:val="944727377"/>
        <w:rPr>
          <w:rFonts w:eastAsia="Times New Roman"/>
        </w:rPr>
      </w:pPr>
      <w:r>
        <w:rPr>
          <w:rFonts w:eastAsia="Times New Roman"/>
          <w:color w:val="000000"/>
          <w:sz w:val="20"/>
          <w:szCs w:val="20"/>
        </w:rPr>
        <w:t>Currently, the U.S. federal gov</w:t>
      </w:r>
      <w:r>
        <w:rPr>
          <w:rFonts w:eastAsia="Times New Roman"/>
          <w:color w:val="000000"/>
          <w:sz w:val="20"/>
          <w:szCs w:val="20"/>
        </w:rPr>
        <w:t>ernment does not directly regulate the business of insurance. While the Dodd-Frank Act does not remove primary responsibility for the supervision and regulation of insurance from the states, Title V of the Dodd-Frank Act establishes the FIO within the U.S.</w:t>
      </w:r>
      <w:r>
        <w:rPr>
          <w:rFonts w:eastAsia="Times New Roman"/>
          <w:color w:val="000000"/>
          <w:sz w:val="20"/>
          <w:szCs w:val="20"/>
        </w:rPr>
        <w:t xml:space="preserve"> Treasury Department and reforms the regulation of the non-admitted property and casualty insurance market and the reinsurance market. The Dodd-Frank Act also established the FSOC, which is authorized to subject non-bank financial companies, including insu</w:t>
      </w:r>
      <w:r>
        <w:rPr>
          <w:rFonts w:eastAsia="Times New Roman"/>
          <w:color w:val="000000"/>
          <w:sz w:val="20"/>
          <w:szCs w:val="20"/>
        </w:rPr>
        <w:t>rers, to supervision by the Federal Reserve and enhanced prudential standards if the FSOC determines that a non-bank financial institution could pose a threat to U.S. financial stability. The FSOC modified the designation process by adopting an activities-</w:t>
      </w:r>
      <w:r>
        <w:rPr>
          <w:rFonts w:eastAsia="Times New Roman"/>
          <w:color w:val="000000"/>
          <w:sz w:val="20"/>
          <w:szCs w:val="20"/>
        </w:rPr>
        <w:t>based approach for identifying and addressing potential risks to financial stability, and it enhanced the analytical process, engagement and transparency of the designation process.</w:t>
      </w:r>
    </w:p>
    <w:p w:rsidR="00000000" w:rsidRDefault="005B0BC3">
      <w:pPr>
        <w:ind w:firstLine="360"/>
        <w:divId w:val="108746877"/>
        <w:rPr>
          <w:rFonts w:eastAsia="Times New Roman"/>
        </w:rPr>
      </w:pPr>
      <w:r>
        <w:rPr>
          <w:rFonts w:eastAsia="Times New Roman"/>
          <w:color w:val="000000"/>
          <w:sz w:val="20"/>
          <w:szCs w:val="20"/>
        </w:rPr>
        <w:t>The FIO has authority that extends to all lines of insurance except health</w:t>
      </w:r>
      <w:r>
        <w:rPr>
          <w:rFonts w:eastAsia="Times New Roman"/>
          <w:color w:val="000000"/>
          <w:sz w:val="20"/>
          <w:szCs w:val="20"/>
        </w:rPr>
        <w:t xml:space="preserve"> insurance, crop insurance and (unless included with life or annuity components) long-term care insurance. Under the Dodd-Frank Act, the FIO is charged with monitoring all aspects of the insurance industry (including identifying gaps in regulation that cou</w:t>
      </w:r>
      <w:r>
        <w:rPr>
          <w:rFonts w:eastAsia="Times New Roman"/>
          <w:color w:val="000000"/>
          <w:sz w:val="20"/>
          <w:szCs w:val="20"/>
        </w:rPr>
        <w:t>ld contribute to a systemic crisis), recommending to the FSOC the designation of any insurer and its affiliates as a non-bank financial company subject to oversight by the Board of Governors of the Federal Reserve System (including the administration of st</w:t>
      </w:r>
      <w:r>
        <w:rPr>
          <w:rFonts w:eastAsia="Times New Roman"/>
          <w:color w:val="000000"/>
          <w:sz w:val="20"/>
          <w:szCs w:val="20"/>
        </w:rPr>
        <w:t>ress testing on capital), assisting the Treasury Secretary in negotiating “covered agreements” with non-U.S. governments or regulatory authorities, and, with respect to state insurance laws and regulation, determining whether state insurance measures are p</w:t>
      </w:r>
      <w:r>
        <w:rPr>
          <w:rFonts w:eastAsia="Times New Roman"/>
          <w:color w:val="000000"/>
          <w:sz w:val="20"/>
          <w:szCs w:val="20"/>
        </w:rPr>
        <w:t xml:space="preserve">re-empted by such covered agreements. </w:t>
      </w:r>
    </w:p>
    <w:p w:rsidR="00000000" w:rsidRDefault="005B0BC3">
      <w:pPr>
        <w:ind w:firstLine="360"/>
        <w:divId w:val="1639845978"/>
        <w:rPr>
          <w:rFonts w:eastAsia="Times New Roman"/>
        </w:rPr>
      </w:pPr>
      <w:r>
        <w:rPr>
          <w:rFonts w:eastAsia="Times New Roman"/>
          <w:color w:val="000000"/>
          <w:sz w:val="20"/>
          <w:szCs w:val="20"/>
        </w:rPr>
        <w:t>In addition, the FIO is empowered to request and collect data (including financial data) on and from the insurance industry and insurers (including reinsurers) and their affiliates. In such capacity, the FIO may requi</w:t>
      </w:r>
      <w:r>
        <w:rPr>
          <w:rFonts w:eastAsia="Times New Roman"/>
          <w:color w:val="000000"/>
          <w:sz w:val="20"/>
          <w:szCs w:val="20"/>
        </w:rPr>
        <w:t xml:space="preserve">re an insurer or an affiliate of an insurer to submit such data or information as the FIO may reasonably require. In addition, the FIO’s approval is required to subject a financial company whose largest U.S. subsidiary is an insurer to the special orderly </w:t>
      </w:r>
      <w:r>
        <w:rPr>
          <w:rFonts w:eastAsia="Times New Roman"/>
          <w:color w:val="000000"/>
          <w:sz w:val="20"/>
          <w:szCs w:val="20"/>
        </w:rPr>
        <w:t>liquidation process outside the federal bankruptcy code, administered by the FDIC pursuant to the Dodd-Frank Act. U.S. insurance subsidiaries of any such financial company, however, would be subject to rehabilitation and liquidation proceedings under state</w:t>
      </w:r>
      <w:r>
        <w:rPr>
          <w:rFonts w:eastAsia="Times New Roman"/>
          <w:color w:val="000000"/>
          <w:sz w:val="20"/>
          <w:szCs w:val="20"/>
        </w:rPr>
        <w:t xml:space="preserve"> insurance law. The Dodd-Frank Act also reforms the regulation of the non-admitted property/casualty insurance market (commonly referred to as </w:t>
      </w:r>
    </w:p>
    <w:p w:rsidR="00000000" w:rsidRDefault="005B0BC3">
      <w:pPr>
        <w:jc w:val="center"/>
        <w:divId w:val="1581669340"/>
        <w:rPr>
          <w:rFonts w:eastAsia="Times New Roman"/>
        </w:rPr>
      </w:pPr>
      <w:r>
        <w:rPr>
          <w:rFonts w:eastAsia="Times New Roman"/>
          <w:color w:val="000000"/>
          <w:sz w:val="20"/>
          <w:szCs w:val="20"/>
        </w:rPr>
        <w:t>44</w:t>
      </w:r>
    </w:p>
    <w:p w:rsidR="00000000" w:rsidRDefault="005B0BC3">
      <w:pPr>
        <w:rPr>
          <w:rFonts w:eastAsia="Times New Roman"/>
        </w:rPr>
      </w:pPr>
      <w:r>
        <w:rPr>
          <w:rFonts w:eastAsia="Times New Roman"/>
        </w:rPr>
        <w:pict>
          <v:rect id="_x0000_i1081" style="width:0;height:1.5pt" o:hralign="center" o:hrstd="t" o:hr="t" fillcolor="#a0a0a0" stroked="f"/>
        </w:pict>
      </w:r>
    </w:p>
    <w:p w:rsidR="00000000" w:rsidRDefault="005B0BC3">
      <w:pPr>
        <w:divId w:val="580409769"/>
        <w:rPr>
          <w:rFonts w:eastAsia="Times New Roman"/>
        </w:rPr>
      </w:pPr>
      <w:hyperlink w:anchor="i2ac35847634046b3a89f93d9b422e8f5_421" w:history="1">
        <w:r>
          <w:rPr>
            <w:rStyle w:val="a3"/>
            <w:rFonts w:eastAsia="Times New Roman"/>
            <w:b/>
            <w:bCs/>
            <w:sz w:val="20"/>
            <w:szCs w:val="20"/>
          </w:rPr>
          <w:t>Table of Con</w:t>
        </w:r>
        <w:r>
          <w:rPr>
            <w:rStyle w:val="a3"/>
            <w:rFonts w:eastAsia="Times New Roman"/>
            <w:b/>
            <w:bCs/>
            <w:sz w:val="20"/>
            <w:szCs w:val="20"/>
          </w:rPr>
          <w:t>tents</w:t>
        </w:r>
      </w:hyperlink>
    </w:p>
    <w:p w:rsidR="00000000" w:rsidRDefault="005B0BC3">
      <w:pPr>
        <w:divId w:val="1382166043"/>
        <w:rPr>
          <w:rFonts w:eastAsia="Times New Roman"/>
        </w:rPr>
      </w:pPr>
      <w:r>
        <w:rPr>
          <w:rFonts w:eastAsia="Times New Roman"/>
          <w:color w:val="000000"/>
          <w:sz w:val="20"/>
          <w:szCs w:val="20"/>
        </w:rPr>
        <w:t>excess and surplus lines) and the reinsurance markets, including prohibiting the ability of non-domiciliary state insurance regulators to deny credit for reinsurance when recognized by the ceding insurer’s domiciliary state regulator.</w:t>
      </w:r>
    </w:p>
    <w:p w:rsidR="00000000" w:rsidRDefault="005B0BC3">
      <w:pPr>
        <w:ind w:firstLine="360"/>
        <w:divId w:val="1234581519"/>
        <w:rPr>
          <w:rFonts w:eastAsia="Times New Roman"/>
        </w:rPr>
      </w:pPr>
      <w:r>
        <w:rPr>
          <w:rFonts w:eastAsia="Times New Roman"/>
          <w:color w:val="000000"/>
          <w:sz w:val="20"/>
          <w:szCs w:val="20"/>
        </w:rPr>
        <w:t>Other aspects o</w:t>
      </w:r>
      <w:r>
        <w:rPr>
          <w:rFonts w:eastAsia="Times New Roman"/>
          <w:color w:val="000000"/>
          <w:sz w:val="20"/>
          <w:szCs w:val="20"/>
        </w:rPr>
        <w:t>f our operations could also be affected by the Dodd-Frank Act, including:</w:t>
      </w:r>
    </w:p>
    <w:p w:rsidR="00000000" w:rsidRDefault="005B0BC3">
      <w:pPr>
        <w:divId w:val="1069768202"/>
        <w:rPr>
          <w:rFonts w:eastAsia="Times New Roman"/>
        </w:rPr>
      </w:pPr>
      <w:r>
        <w:rPr>
          <w:rFonts w:eastAsia="Times New Roman"/>
          <w:i/>
          <w:iCs/>
          <w:color w:val="000000"/>
          <w:sz w:val="20"/>
          <w:szCs w:val="20"/>
          <w:u w:val="single"/>
        </w:rPr>
        <w:t>Heightened Standards and Safeguards</w:t>
      </w:r>
    </w:p>
    <w:p w:rsidR="00000000" w:rsidRDefault="005B0BC3">
      <w:pPr>
        <w:ind w:firstLine="360"/>
        <w:divId w:val="986981616"/>
        <w:rPr>
          <w:rFonts w:eastAsia="Times New Roman"/>
        </w:rPr>
      </w:pPr>
      <w:r>
        <w:rPr>
          <w:rFonts w:eastAsia="Times New Roman"/>
          <w:color w:val="000000"/>
          <w:sz w:val="20"/>
          <w:szCs w:val="20"/>
        </w:rPr>
        <w:t>The FSOC may recommend that state insurance regulators or other regulators apply new or heightened standards and safeguards for activities or prac</w:t>
      </w:r>
      <w:r>
        <w:rPr>
          <w:rFonts w:eastAsia="Times New Roman"/>
          <w:color w:val="000000"/>
          <w:sz w:val="20"/>
          <w:szCs w:val="20"/>
        </w:rPr>
        <w:t>tices we and other insurers or other financial services companies engage in if the FSOC determines that those activities or practices could create or increase the risk that significant liquidity, credit or other problems spread among financial companies. W</w:t>
      </w:r>
      <w:r>
        <w:rPr>
          <w:rFonts w:eastAsia="Times New Roman"/>
          <w:color w:val="000000"/>
          <w:sz w:val="20"/>
          <w:szCs w:val="20"/>
        </w:rPr>
        <w:t>e cannot predict whether any such recommendations will be made or their effect on our business, consolidated results of operations or financial condition.</w:t>
      </w:r>
    </w:p>
    <w:p w:rsidR="00000000" w:rsidRDefault="005B0BC3">
      <w:pPr>
        <w:divId w:val="700131887"/>
        <w:rPr>
          <w:rFonts w:eastAsia="Times New Roman"/>
        </w:rPr>
      </w:pPr>
      <w:r>
        <w:rPr>
          <w:rFonts w:eastAsia="Times New Roman"/>
          <w:i/>
          <w:iCs/>
          <w:color w:val="000000"/>
          <w:sz w:val="20"/>
          <w:szCs w:val="20"/>
          <w:u w:val="single"/>
        </w:rPr>
        <w:t>Over-The-Counter Derivatives Regulation</w:t>
      </w:r>
    </w:p>
    <w:p w:rsidR="00000000" w:rsidRDefault="005B0BC3">
      <w:pPr>
        <w:ind w:firstLine="360"/>
        <w:divId w:val="1871990720"/>
        <w:rPr>
          <w:rFonts w:eastAsia="Times New Roman"/>
        </w:rPr>
      </w:pPr>
      <w:r>
        <w:rPr>
          <w:rFonts w:eastAsia="Times New Roman"/>
          <w:color w:val="000000"/>
          <w:sz w:val="20"/>
          <w:szCs w:val="20"/>
        </w:rPr>
        <w:t>The Dodd-Frank Act includes a framework of regulation for the</w:t>
      </w:r>
      <w:r>
        <w:rPr>
          <w:rFonts w:eastAsia="Times New Roman"/>
          <w:color w:val="000000"/>
          <w:sz w:val="20"/>
          <w:szCs w:val="20"/>
        </w:rPr>
        <w:t xml:space="preserve"> OTC derivatives markets, which gives authority to the CFTC to regulate “swaps” and the SEC to regulate “security-based swaps.” Swaps include, among other things, OTC derivatives on interest rates, commodities, broad-based securities indexes and currency. </w:t>
      </w:r>
      <w:r>
        <w:rPr>
          <w:rFonts w:eastAsia="Times New Roman"/>
          <w:color w:val="000000"/>
          <w:sz w:val="20"/>
          <w:szCs w:val="20"/>
        </w:rPr>
        <w:t>Security-based swaps include, among other things, OTC derivatives on single securities, baskets of securities, narrow-based indexes or loans.</w:t>
      </w:r>
    </w:p>
    <w:p w:rsidR="00000000" w:rsidRDefault="005B0BC3">
      <w:pPr>
        <w:ind w:firstLine="360"/>
        <w:divId w:val="381909031"/>
        <w:rPr>
          <w:rFonts w:eastAsia="Times New Roman"/>
        </w:rPr>
      </w:pPr>
      <w:r>
        <w:rPr>
          <w:rFonts w:eastAsia="Times New Roman"/>
          <w:color w:val="000000"/>
          <w:sz w:val="20"/>
          <w:szCs w:val="20"/>
        </w:rPr>
        <w:t>The Dodd-Frank Act authorized the SEC and the CFTC to mandate that a substantial portion of OTC derivatives must b</w:t>
      </w:r>
      <w:r>
        <w:rPr>
          <w:rFonts w:eastAsia="Times New Roman"/>
          <w:color w:val="000000"/>
          <w:sz w:val="20"/>
          <w:szCs w:val="20"/>
        </w:rPr>
        <w:t>e executed in regulated markets and be submitted for clearing to regulated clearinghouses and directed the CFTC and SEC to establish documentation, recordkeeping and registration requirements for swap dealers, major swap participants, security-based swap d</w:t>
      </w:r>
      <w:r>
        <w:rPr>
          <w:rFonts w:eastAsia="Times New Roman"/>
          <w:color w:val="000000"/>
          <w:sz w:val="20"/>
          <w:szCs w:val="20"/>
        </w:rPr>
        <w:t xml:space="preserve">ealers and major security-based swap participants for swaps, security-based swaps and specified other derivatives that continued to trade on the OTC market. The Dodd-Frank Act also directed the SEC, CFTC, the Office of the Comptroller of the Currency, the </w:t>
      </w:r>
      <w:r>
        <w:rPr>
          <w:rFonts w:eastAsia="Times New Roman"/>
          <w:color w:val="000000"/>
          <w:sz w:val="20"/>
          <w:szCs w:val="20"/>
        </w:rPr>
        <w:t>Federal Reserve Board, the FDIC, the Farm Credit Administration, and the Federal Housing Finance Agency (collectively, the “Prudential Regulators”), with respect to the respective entities they regulate, to develop margin rules for OTC derivatives and capi</w:t>
      </w:r>
      <w:r>
        <w:rPr>
          <w:rFonts w:eastAsia="Times New Roman"/>
          <w:color w:val="000000"/>
          <w:sz w:val="20"/>
          <w:szCs w:val="20"/>
        </w:rPr>
        <w:t xml:space="preserve">tal rules for regulated dealers and major participants. The Prudential Regulators completed substantially all of the required regulations by 2017, and the CFTC finalized one of its last remaining rules – the capital rules for swap dealers in July 2020. In </w:t>
      </w:r>
      <w:r>
        <w:rPr>
          <w:rFonts w:eastAsia="Times New Roman"/>
          <w:color w:val="000000"/>
          <w:sz w:val="20"/>
          <w:szCs w:val="20"/>
        </w:rPr>
        <w:t>December 2019 the SEC finalized and adopted the final set of rules related to security-based swaps, and the rules, including registration of dealers in security-based swaps, became effective on or prior to November 1, 2021.</w:t>
      </w:r>
    </w:p>
    <w:p w:rsidR="00000000" w:rsidRDefault="005B0BC3">
      <w:pPr>
        <w:ind w:firstLine="360"/>
        <w:divId w:val="244189804"/>
        <w:rPr>
          <w:rFonts w:eastAsia="Times New Roman"/>
        </w:rPr>
      </w:pPr>
      <w:r>
        <w:rPr>
          <w:rFonts w:eastAsia="Times New Roman"/>
          <w:color w:val="000000"/>
          <w:sz w:val="20"/>
          <w:szCs w:val="20"/>
        </w:rPr>
        <w:t>As a result of the CFTC regulati</w:t>
      </w:r>
      <w:r>
        <w:rPr>
          <w:rFonts w:eastAsia="Times New Roman"/>
          <w:color w:val="000000"/>
          <w:sz w:val="20"/>
          <w:szCs w:val="20"/>
        </w:rPr>
        <w:t>ons, several types of CFTC-regulated swaps are required to be traded on swap execution facilities and cleared through a regulated DCO. Swaps and security-based swaps submitted for clearing are subject to minimum initial and variation margin requirements se</w:t>
      </w:r>
      <w:r>
        <w:rPr>
          <w:rFonts w:eastAsia="Times New Roman"/>
          <w:color w:val="000000"/>
          <w:sz w:val="20"/>
          <w:szCs w:val="20"/>
        </w:rPr>
        <w:t>t by the relevant DCO or security-based swap clearing organization. Both swaps and security-based swaps are subject to transaction-reporting requirements.</w:t>
      </w:r>
    </w:p>
    <w:p w:rsidR="00000000" w:rsidRDefault="005B0BC3">
      <w:pPr>
        <w:ind w:firstLine="360"/>
        <w:divId w:val="1857159852"/>
        <w:rPr>
          <w:rFonts w:eastAsia="Times New Roman"/>
        </w:rPr>
      </w:pPr>
      <w:r>
        <w:rPr>
          <w:rFonts w:eastAsia="Times New Roman"/>
          <w:color w:val="000000"/>
          <w:sz w:val="20"/>
          <w:szCs w:val="20"/>
        </w:rPr>
        <w:t>Under the CFTC’s and SEC’s regulations, swaps and security-based swaps traded by a non-banking entity</w:t>
      </w:r>
      <w:r>
        <w:rPr>
          <w:rFonts w:eastAsia="Times New Roman"/>
          <w:color w:val="000000"/>
          <w:sz w:val="20"/>
          <w:szCs w:val="20"/>
        </w:rPr>
        <w:t xml:space="preserve"> are currently subject to variation margin requirements as well as, for most entities, initial margin, as mandated by the CFTC and SEC. Under regulations adopted by the Prudential Regulators, both swaps and security-based swaps traded by banking entities a</w:t>
      </w:r>
      <w:r>
        <w:rPr>
          <w:rFonts w:eastAsia="Times New Roman"/>
          <w:color w:val="000000"/>
          <w:sz w:val="20"/>
          <w:szCs w:val="20"/>
        </w:rPr>
        <w:t>re currently subject to variation margin requirements and, for most entities, initial margin requirements as well. Initial margin requirements imposed by the CFTC, the SEC and the Prudential Regulators are being phased in over a period of time. As a result</w:t>
      </w:r>
      <w:r>
        <w:rPr>
          <w:rFonts w:eastAsia="Times New Roman"/>
          <w:color w:val="000000"/>
          <w:sz w:val="20"/>
          <w:szCs w:val="20"/>
        </w:rPr>
        <w:t>, initial margin requirements took effect in September 2021 (which is the applicable date for us) and for smaller counterparties will take effect beginning September 2022. The CFTC regulations require us to post and collect variation margin (comprised of s</w:t>
      </w:r>
      <w:r>
        <w:rPr>
          <w:rFonts w:eastAsia="Times New Roman"/>
          <w:color w:val="000000"/>
          <w:sz w:val="20"/>
          <w:szCs w:val="20"/>
        </w:rPr>
        <w:t>pecified liquid instruments and subject to a required haircut) in connection with trading of swaps with CFTC-regulated swap dealers, and the regulations adopted by the Prudential Regulators require us to post and collect variation margin when trading eithe</w:t>
      </w:r>
      <w:r>
        <w:rPr>
          <w:rFonts w:eastAsia="Times New Roman"/>
          <w:color w:val="000000"/>
          <w:sz w:val="20"/>
          <w:szCs w:val="20"/>
        </w:rPr>
        <w:t>r swaps or security-based swaps with a dealer regulated by the Prudential Regulators. SEC regulations require posting and collection of variation margin by both us and our counterparty but require posting of initial margin only by the entity facing the bro</w:t>
      </w:r>
      <w:r>
        <w:rPr>
          <w:rFonts w:eastAsia="Times New Roman"/>
          <w:color w:val="000000"/>
          <w:sz w:val="20"/>
          <w:szCs w:val="20"/>
        </w:rPr>
        <w:t>ker-dealer or security-based swap dealer but not the broker-dealer or security-based swap dealer itself.</w:t>
      </w:r>
    </w:p>
    <w:p w:rsidR="00000000" w:rsidRDefault="005B0BC3">
      <w:pPr>
        <w:ind w:firstLine="360"/>
        <w:divId w:val="427425906"/>
        <w:rPr>
          <w:rFonts w:eastAsia="Times New Roman"/>
        </w:rPr>
      </w:pPr>
      <w:r>
        <w:rPr>
          <w:rFonts w:eastAsia="Times New Roman"/>
          <w:color w:val="000000"/>
          <w:sz w:val="20"/>
          <w:szCs w:val="20"/>
        </w:rPr>
        <w:t>In addition, regulations adopted by the Prudential Regulators that became effective in 2019 require certain bank-regulated counterparties and certain o</w:t>
      </w:r>
      <w:r>
        <w:rPr>
          <w:rFonts w:eastAsia="Times New Roman"/>
          <w:color w:val="000000"/>
          <w:sz w:val="20"/>
          <w:szCs w:val="20"/>
        </w:rPr>
        <w:t>f their affiliates to include in qualified financial contracts, including many derivatives contracts, repurchase agreements and securities lending agreements, terms that delay or restrict the rights of counterparties, such as us, to terminate such contract</w:t>
      </w:r>
      <w:r>
        <w:rPr>
          <w:rFonts w:eastAsia="Times New Roman"/>
          <w:color w:val="000000"/>
          <w:sz w:val="20"/>
          <w:szCs w:val="20"/>
        </w:rPr>
        <w:t>s, foreclose upon collateral, exercise other default rights or restrict transfers of affiliate credit enhancements (such as guarantees) in the event that the bank-regulated counterparty and/or its affiliates are subject to certain types of resolution or in</w:t>
      </w:r>
      <w:r>
        <w:rPr>
          <w:rFonts w:eastAsia="Times New Roman"/>
          <w:color w:val="000000"/>
          <w:sz w:val="20"/>
          <w:szCs w:val="20"/>
        </w:rPr>
        <w:t>solvency proceedings. It is possible that these requirements in the market, could adversely affect our ability to terminate existing derivatives agreements or to realize amounts to be received under such agreements. The Dodd-Frank Act and related federal r</w:t>
      </w:r>
      <w:r>
        <w:rPr>
          <w:rFonts w:eastAsia="Times New Roman"/>
          <w:color w:val="000000"/>
          <w:sz w:val="20"/>
          <w:szCs w:val="20"/>
        </w:rPr>
        <w:t>egulations and foreign derivatives requirements expose us to operational, compliance, execution and other risks, including central counterparty insolvency risk.</w:t>
      </w:r>
    </w:p>
    <w:p w:rsidR="00000000" w:rsidRDefault="005B0BC3">
      <w:pPr>
        <w:jc w:val="center"/>
        <w:divId w:val="716009104"/>
        <w:rPr>
          <w:rFonts w:eastAsia="Times New Roman"/>
        </w:rPr>
      </w:pPr>
      <w:r>
        <w:rPr>
          <w:rFonts w:eastAsia="Times New Roman"/>
          <w:color w:val="000000"/>
          <w:sz w:val="20"/>
          <w:szCs w:val="20"/>
        </w:rPr>
        <w:t>45</w:t>
      </w:r>
    </w:p>
    <w:p w:rsidR="00000000" w:rsidRDefault="005B0BC3">
      <w:pPr>
        <w:rPr>
          <w:rFonts w:eastAsia="Times New Roman"/>
        </w:rPr>
      </w:pPr>
      <w:r>
        <w:rPr>
          <w:rFonts w:eastAsia="Times New Roman"/>
        </w:rPr>
        <w:pict>
          <v:rect id="_x0000_i1082" style="width:0;height:1.5pt" o:hralign="center" o:hrstd="t" o:hr="t" fillcolor="#a0a0a0" stroked="f"/>
        </w:pict>
      </w:r>
    </w:p>
    <w:p w:rsidR="00000000" w:rsidRDefault="005B0BC3">
      <w:pPr>
        <w:divId w:val="1617759573"/>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ind w:firstLine="360"/>
        <w:divId w:val="1371691356"/>
        <w:rPr>
          <w:rFonts w:eastAsia="Times New Roman"/>
        </w:rPr>
      </w:pPr>
      <w:r>
        <w:rPr>
          <w:rFonts w:eastAsia="Times New Roman"/>
          <w:color w:val="000000"/>
          <w:sz w:val="20"/>
          <w:szCs w:val="20"/>
        </w:rPr>
        <w:t xml:space="preserve">We use derivatives to mitigate a wide range of risks in connection with our business, including the impact of increased benefit exposures from certain variable annuity products that offer GMxB features. We have always been subject to </w:t>
      </w:r>
      <w:r>
        <w:rPr>
          <w:rFonts w:eastAsia="Times New Roman"/>
          <w:color w:val="000000"/>
          <w:sz w:val="20"/>
          <w:szCs w:val="20"/>
        </w:rPr>
        <w:t>the risk that our hedging and other management procedures might prove ineffective in reducing the risks to which insurance policies expose us or that unanticipated policyholder behavior or mortality, combined with adverse market events, could produce econo</w:t>
      </w:r>
      <w:r>
        <w:rPr>
          <w:rFonts w:eastAsia="Times New Roman"/>
          <w:color w:val="000000"/>
          <w:sz w:val="20"/>
          <w:szCs w:val="20"/>
        </w:rPr>
        <w:t>mic losses beyond the scope of the risk management techniques employed. Any such losses could be increased by higher costs of writing derivatives (including customized derivatives) and the reduced availability of customized derivatives that might result fr</w:t>
      </w:r>
      <w:r>
        <w:rPr>
          <w:rFonts w:eastAsia="Times New Roman"/>
          <w:color w:val="000000"/>
          <w:sz w:val="20"/>
          <w:szCs w:val="20"/>
        </w:rPr>
        <w:t>om the enactment and implementation of new regulations.</w:t>
      </w:r>
    </w:p>
    <w:p w:rsidR="00000000" w:rsidRDefault="005B0BC3">
      <w:pPr>
        <w:divId w:val="1323238148"/>
        <w:rPr>
          <w:rFonts w:eastAsia="Times New Roman"/>
        </w:rPr>
      </w:pPr>
      <w:r>
        <w:rPr>
          <w:rFonts w:eastAsia="Times New Roman"/>
          <w:i/>
          <w:iCs/>
          <w:color w:val="000000"/>
          <w:sz w:val="20"/>
          <w:szCs w:val="20"/>
          <w:u w:val="single"/>
        </w:rPr>
        <w:t>Broker-Dealer Regulation</w:t>
      </w:r>
    </w:p>
    <w:p w:rsidR="00000000" w:rsidRDefault="005B0BC3">
      <w:pPr>
        <w:ind w:firstLine="360"/>
        <w:divId w:val="934048945"/>
        <w:rPr>
          <w:rFonts w:eastAsia="Times New Roman"/>
        </w:rPr>
      </w:pPr>
      <w:r>
        <w:rPr>
          <w:rFonts w:eastAsia="Times New Roman"/>
          <w:color w:val="000000"/>
          <w:sz w:val="20"/>
          <w:szCs w:val="20"/>
        </w:rPr>
        <w:t xml:space="preserve">The Dodd-Frank Act authorized the SEC to promulgate rules to provide that the standard of conduct for all broker-dealers, when providing personalized investment advice about securities to retail customers. In response, the SEC adopted Regulation BI, which </w:t>
      </w:r>
      <w:r>
        <w:rPr>
          <w:rFonts w:eastAsia="Times New Roman"/>
          <w:color w:val="000000"/>
          <w:sz w:val="20"/>
          <w:szCs w:val="20"/>
        </w:rPr>
        <w:t>became effective on June 30, 2020. Regulation BI also requires registered broker dealers and investment advisers to retail customers to file a client relationship summary (“Form CRS”) with the SEC and deliver copies of Form CRS to their retail customers. F</w:t>
      </w:r>
      <w:r>
        <w:rPr>
          <w:rFonts w:eastAsia="Times New Roman"/>
          <w:color w:val="000000"/>
          <w:sz w:val="20"/>
          <w:szCs w:val="20"/>
        </w:rPr>
        <w:t>orm CRS provides disclosures from the broker-dealer or investment adviser about the applicable standard of conduct and conflicts of interest. The intent of these rules is to impose on broker-dealers an enhanced duty of care to their customers similar to th</w:t>
      </w:r>
      <w:r>
        <w:rPr>
          <w:rFonts w:eastAsia="Times New Roman"/>
          <w:color w:val="000000"/>
          <w:sz w:val="20"/>
          <w:szCs w:val="20"/>
        </w:rPr>
        <w:t>at which applies to investment advisers under existing law. We have developed systems and processes and put in place policies and procedures to ensure that we are in compliance with Regulation Best Interest. In addition, FINRA and the SEC are currently foc</w:t>
      </w:r>
      <w:r>
        <w:rPr>
          <w:rFonts w:eastAsia="Times New Roman"/>
          <w:color w:val="000000"/>
          <w:sz w:val="20"/>
          <w:szCs w:val="20"/>
        </w:rPr>
        <w:t>using on examining compliance efforts with Regulation BI by broker-dealers.</w:t>
      </w:r>
    </w:p>
    <w:p w:rsidR="00000000" w:rsidRDefault="005B0BC3">
      <w:pPr>
        <w:divId w:val="1664968753"/>
        <w:rPr>
          <w:rFonts w:eastAsia="Times New Roman"/>
        </w:rPr>
      </w:pPr>
      <w:r>
        <w:rPr>
          <w:rFonts w:eastAsia="Times New Roman"/>
          <w:i/>
          <w:iCs/>
          <w:color w:val="000000"/>
          <w:sz w:val="20"/>
          <w:szCs w:val="20"/>
          <w:u w:val="single"/>
        </w:rPr>
        <w:t>Investment Adviser Regulation</w:t>
      </w:r>
    </w:p>
    <w:p w:rsidR="00000000" w:rsidRDefault="005B0BC3">
      <w:pPr>
        <w:ind w:firstLine="360"/>
        <w:divId w:val="1324773106"/>
        <w:rPr>
          <w:rFonts w:eastAsia="Times New Roman"/>
        </w:rPr>
      </w:pPr>
      <w:r>
        <w:rPr>
          <w:rFonts w:eastAsia="Times New Roman"/>
          <w:color w:val="000000"/>
          <w:sz w:val="20"/>
          <w:szCs w:val="20"/>
        </w:rPr>
        <w:t xml:space="preserve">Changes to the marketing requirements for registered investment advisers were adopted in December 2020 and become effective in November 2022. </w:t>
      </w:r>
      <w:r>
        <w:rPr>
          <w:rFonts w:eastAsia="Times New Roman"/>
          <w:color w:val="000000"/>
          <w:sz w:val="20"/>
          <w:szCs w:val="20"/>
        </w:rPr>
        <w:t xml:space="preserve">The changes amend existing Rule 206(4)-1 under the Investment Advisers Act and incorporate aspects of Investment Advisers Act Rule 206(4)-3, which the SEC simultaneously rescinded in its entirety. The amended rules impose a number of new requirements that </w:t>
      </w:r>
      <w:r>
        <w:rPr>
          <w:rFonts w:eastAsia="Times New Roman"/>
          <w:color w:val="000000"/>
          <w:sz w:val="20"/>
          <w:szCs w:val="20"/>
        </w:rPr>
        <w:t xml:space="preserve">will affect marketing of certain advisory products, including, in particular, private funds. We are currently working diligently to implement policies and procedures on or prior to the effective date for the amended rule. </w:t>
      </w:r>
    </w:p>
    <w:p w:rsidR="00000000" w:rsidRDefault="005B0BC3">
      <w:pPr>
        <w:jc w:val="both"/>
        <w:divId w:val="1811898173"/>
        <w:rPr>
          <w:rFonts w:eastAsia="Times New Roman"/>
        </w:rPr>
      </w:pPr>
      <w:r>
        <w:rPr>
          <w:rFonts w:eastAsia="Times New Roman"/>
          <w:b/>
          <w:bCs/>
          <w:i/>
          <w:iCs/>
          <w:color w:val="000000"/>
          <w:sz w:val="20"/>
          <w:szCs w:val="20"/>
        </w:rPr>
        <w:t>Fiduciary Rules / “Best Interest”</w:t>
      </w:r>
      <w:r>
        <w:rPr>
          <w:rFonts w:eastAsia="Times New Roman"/>
          <w:b/>
          <w:bCs/>
          <w:i/>
          <w:iCs/>
          <w:color w:val="000000"/>
          <w:sz w:val="20"/>
          <w:szCs w:val="20"/>
        </w:rPr>
        <w:t xml:space="preserve"> Standards of Conduct</w:t>
      </w:r>
    </w:p>
    <w:p w:rsidR="00000000" w:rsidRDefault="005B0BC3">
      <w:pPr>
        <w:ind w:firstLine="360"/>
        <w:divId w:val="1545601805"/>
        <w:rPr>
          <w:rFonts w:eastAsia="Times New Roman"/>
        </w:rPr>
      </w:pPr>
      <w:r>
        <w:rPr>
          <w:rFonts w:eastAsia="Times New Roman"/>
          <w:color w:val="000000"/>
          <w:sz w:val="20"/>
          <w:szCs w:val="20"/>
        </w:rPr>
        <w:t>We provide certain products and services to employee benefit plans that are subject to ERISA and certain provisions of the Internal Revenue Code of 1986, as amended (the “Code”). As such, our activities are subject to the restrictions</w:t>
      </w:r>
      <w:r>
        <w:rPr>
          <w:rFonts w:eastAsia="Times New Roman"/>
          <w:color w:val="000000"/>
          <w:sz w:val="20"/>
          <w:szCs w:val="20"/>
        </w:rPr>
        <w:t xml:space="preserve"> imposed by ERISA and the Code, including the requirement that fiduciaries must perform their duties solely in the interests of plan participants and beneficiaries, and fiduciaries may not cause or permit a covered plan to engage in certain prohibited tran</w:t>
      </w:r>
      <w:r>
        <w:rPr>
          <w:rFonts w:eastAsia="Times New Roman"/>
          <w:color w:val="000000"/>
          <w:sz w:val="20"/>
          <w:szCs w:val="20"/>
        </w:rPr>
        <w:t>sactions with persons (parties-in-interest) who have certain relationships with respect to such plans. The applicable provisions of ERISA and the Code are subject to enforcement by the DOL, the IRS, and the Pension Benefit Guaranty Corporation.</w:t>
      </w:r>
    </w:p>
    <w:p w:rsidR="00000000" w:rsidRDefault="005B0BC3">
      <w:pPr>
        <w:ind w:firstLine="360"/>
        <w:divId w:val="91517316"/>
        <w:rPr>
          <w:rFonts w:eastAsia="Times New Roman"/>
        </w:rPr>
      </w:pPr>
      <w:r>
        <w:rPr>
          <w:rFonts w:eastAsia="Times New Roman"/>
          <w:color w:val="000000"/>
          <w:sz w:val="20"/>
          <w:szCs w:val="20"/>
        </w:rPr>
        <w:t>In the wake</w:t>
      </w:r>
      <w:r>
        <w:rPr>
          <w:rFonts w:eastAsia="Times New Roman"/>
          <w:color w:val="000000"/>
          <w:sz w:val="20"/>
          <w:szCs w:val="20"/>
        </w:rPr>
        <w:t xml:space="preserve"> of the March 2018 federal appeals court decision to vacate the 2016 DOL Fiduciary Rule, the DOL announced its intention to issue revised fiduciary investment advice regulations. In December 2020, the DOL finalized a “best interest” prohibited transaction </w:t>
      </w:r>
      <w:r>
        <w:rPr>
          <w:rFonts w:eastAsia="Times New Roman"/>
          <w:color w:val="000000"/>
          <w:sz w:val="20"/>
          <w:szCs w:val="20"/>
        </w:rPr>
        <w:t>exemption (“PTE 2020-02”) for investment advice fiduciaries under ERISA, and the Code, which now has an enforcement date of January 31, 2022. PTE 2020-02 includes the DOL’s interpretation of the five-part test under ERISA and the Code for determining fiduc</w:t>
      </w:r>
      <w:r>
        <w:rPr>
          <w:rFonts w:eastAsia="Times New Roman"/>
          <w:color w:val="000000"/>
          <w:sz w:val="20"/>
          <w:szCs w:val="20"/>
        </w:rPr>
        <w:t>iary status that was in effect prior to the 2016 DOL Fiduciary Rule, although the scope of PTE 2020-02 extends to rollover transactions if they constitute “investment advice” under the five-part test. If fiduciary status is triggered, PTE 2020-02 prescribe</w:t>
      </w:r>
      <w:r>
        <w:rPr>
          <w:rFonts w:eastAsia="Times New Roman"/>
          <w:color w:val="000000"/>
          <w:sz w:val="20"/>
          <w:szCs w:val="20"/>
        </w:rPr>
        <w:t>s a set of impartial conduct standards and disclosure obligations that are intended to be consistent with the SEC’s Regulation Best Interest. We have devoted significant time and resources towards coming into compliance with PTE 2020-02, which became effec</w:t>
      </w:r>
      <w:r>
        <w:rPr>
          <w:rFonts w:eastAsia="Times New Roman"/>
          <w:color w:val="000000"/>
          <w:sz w:val="20"/>
          <w:szCs w:val="20"/>
        </w:rPr>
        <w:t>tive on February 16, 2021, but do not expect the new rules to have a material impact on our business. However, in June 2021 the DOL updated its formal regulatory agenda to include issuance of a proposed rule-making by year-end 2021 that would further amend</w:t>
      </w:r>
      <w:r>
        <w:rPr>
          <w:rFonts w:eastAsia="Times New Roman"/>
          <w:color w:val="000000"/>
          <w:sz w:val="20"/>
          <w:szCs w:val="20"/>
        </w:rPr>
        <w:t xml:space="preserve"> its fiduciary regulations, including PTE 2020-02 and, possibly, other existing prohibited transaction exemptions.</w:t>
      </w:r>
    </w:p>
    <w:p w:rsidR="00000000" w:rsidRDefault="005B0BC3">
      <w:pPr>
        <w:divId w:val="249045826"/>
        <w:rPr>
          <w:rFonts w:eastAsia="Times New Roman"/>
        </w:rPr>
      </w:pPr>
    </w:p>
    <w:p w:rsidR="00000000" w:rsidRDefault="005B0BC3">
      <w:pPr>
        <w:ind w:firstLine="360"/>
        <w:divId w:val="750588673"/>
        <w:rPr>
          <w:rFonts w:eastAsia="Times New Roman"/>
        </w:rPr>
      </w:pPr>
      <w:r>
        <w:rPr>
          <w:rFonts w:eastAsia="Times New Roman"/>
          <w:color w:val="000000"/>
          <w:sz w:val="20"/>
          <w:szCs w:val="20"/>
        </w:rPr>
        <w:t>In addition, in January 2020, the NAIC revised the Suitability in Annuity Transactions Model Regulation to apply a best interest of the con</w:t>
      </w:r>
      <w:r>
        <w:rPr>
          <w:rFonts w:eastAsia="Times New Roman"/>
          <w:color w:val="000000"/>
          <w:sz w:val="20"/>
          <w:szCs w:val="20"/>
        </w:rPr>
        <w:t>sumer standard on insurance producers’ annuity recommendations and to require that insurers supervise such recommendations. Several state regulators have adopted the revised regulation, including in one of our insurance subsidiaries’ domiciliary states, wh</w:t>
      </w:r>
      <w:r>
        <w:rPr>
          <w:rFonts w:eastAsia="Times New Roman"/>
          <w:color w:val="000000"/>
          <w:sz w:val="20"/>
          <w:szCs w:val="20"/>
        </w:rPr>
        <w:t>ile others are currently considering doing so or instead issuing standalone impartial conduct standards applicable to annuity and, in some cases, life insurance transactions. For example, the NYDFS amended Regulation 187 - Suitability and Best Interests in</w:t>
      </w:r>
      <w:r>
        <w:rPr>
          <w:rFonts w:eastAsia="Times New Roman"/>
          <w:color w:val="000000"/>
          <w:sz w:val="20"/>
          <w:szCs w:val="20"/>
        </w:rPr>
        <w:t xml:space="preserve"> Life Insurance and Annuity Transactions (“Regulation 187”) to add a “best interest” standard for recommendations regarding the sale of life insurance and annuity products in New York. In April 2021, the Appellate </w:t>
      </w:r>
    </w:p>
    <w:p w:rsidR="00000000" w:rsidRDefault="005B0BC3">
      <w:pPr>
        <w:jc w:val="center"/>
        <w:divId w:val="225607603"/>
        <w:rPr>
          <w:rFonts w:eastAsia="Times New Roman"/>
        </w:rPr>
      </w:pPr>
      <w:r>
        <w:rPr>
          <w:rFonts w:eastAsia="Times New Roman"/>
          <w:color w:val="000000"/>
          <w:sz w:val="20"/>
          <w:szCs w:val="20"/>
        </w:rPr>
        <w:t>46</w:t>
      </w:r>
    </w:p>
    <w:p w:rsidR="00000000" w:rsidRDefault="005B0BC3">
      <w:pPr>
        <w:rPr>
          <w:rFonts w:eastAsia="Times New Roman"/>
        </w:rPr>
      </w:pPr>
      <w:r>
        <w:rPr>
          <w:rFonts w:eastAsia="Times New Roman"/>
        </w:rPr>
        <w:pict>
          <v:rect id="_x0000_i1083" style="width:0;height:1.5pt" o:hralign="center" o:hrstd="t" o:hr="t" fillcolor="#a0a0a0" stroked="f"/>
        </w:pict>
      </w:r>
    </w:p>
    <w:p w:rsidR="00000000" w:rsidRDefault="005B0BC3">
      <w:pPr>
        <w:divId w:val="576668972"/>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divId w:val="2029329395"/>
        <w:rPr>
          <w:rFonts w:eastAsia="Times New Roman"/>
        </w:rPr>
      </w:pPr>
      <w:r>
        <w:rPr>
          <w:rFonts w:eastAsia="Times New Roman"/>
          <w:color w:val="000000"/>
          <w:sz w:val="20"/>
          <w:szCs w:val="20"/>
        </w:rPr>
        <w:t>Division of the NYS Supreme Court, Third Department, overturned Regulation 187 for being unconstitutionally vague. The NYDFS has appealed this ruling to the New York State Court of</w:t>
      </w:r>
      <w:r>
        <w:rPr>
          <w:rFonts w:eastAsia="Times New Roman"/>
          <w:color w:val="000000"/>
          <w:sz w:val="20"/>
          <w:szCs w:val="20"/>
        </w:rPr>
        <w:t xml:space="preserve"> Appeals, which automatically granted a stay, meaning that Regulation 187 remains in effect pending a decision by the Court of Appeals. We have developed our compliance framework for Regulation 187 with respect to annuity sales as well as our life insuranc</w:t>
      </w:r>
      <w:r>
        <w:rPr>
          <w:rFonts w:eastAsia="Times New Roman"/>
          <w:color w:val="000000"/>
          <w:sz w:val="20"/>
          <w:szCs w:val="20"/>
        </w:rPr>
        <w:t>e business. Meanwhile, state regulators and legislatures in Nevada and Maryland have proposed measures that would make broker-dealers, sales agents, and investment advisers and their representatives subject to a fiduciary duty when providing products and s</w:t>
      </w:r>
      <w:r>
        <w:rPr>
          <w:rFonts w:eastAsia="Times New Roman"/>
          <w:color w:val="000000"/>
          <w:sz w:val="20"/>
          <w:szCs w:val="20"/>
        </w:rPr>
        <w:t xml:space="preserve">ervices to customers, including pension plans and IRAs. Massachusetts has adopted such a regulation applying a fiduciary duty standard to broker-dealers and their agents which, although not applying to insurance product (including variable annuity) sales, </w:t>
      </w:r>
      <w:r>
        <w:rPr>
          <w:rFonts w:eastAsia="Times New Roman"/>
          <w:color w:val="000000"/>
          <w:sz w:val="20"/>
          <w:szCs w:val="20"/>
        </w:rPr>
        <w:t>did require us to make changes to certain policies and procedures to ensure compliance. Beyond the New York and Massachusetts regulations, the likelihood of enactment of any such other standalone state-based regulation is uncertain at this time, but if imp</w:t>
      </w:r>
      <w:r>
        <w:rPr>
          <w:rFonts w:eastAsia="Times New Roman"/>
          <w:color w:val="000000"/>
          <w:sz w:val="20"/>
          <w:szCs w:val="20"/>
        </w:rPr>
        <w:t>lemented, these regulations could have adverse effects on our business and consolidated results of operations.</w:t>
      </w:r>
    </w:p>
    <w:p w:rsidR="00000000" w:rsidRDefault="005B0BC3">
      <w:pPr>
        <w:divId w:val="982661525"/>
        <w:rPr>
          <w:rFonts w:eastAsia="Times New Roman"/>
        </w:rPr>
      </w:pPr>
    </w:p>
    <w:p w:rsidR="00000000" w:rsidRDefault="005B0BC3">
      <w:pPr>
        <w:ind w:firstLine="360"/>
        <w:divId w:val="522793522"/>
        <w:rPr>
          <w:rFonts w:eastAsia="Times New Roman"/>
        </w:rPr>
      </w:pPr>
      <w:r>
        <w:rPr>
          <w:rFonts w:eastAsia="Times New Roman"/>
          <w:color w:val="000000"/>
          <w:sz w:val="20"/>
          <w:szCs w:val="20"/>
        </w:rPr>
        <w:t xml:space="preserve">In the approximately 18 months since adoption of Regulation BI, the SEC staff has published guidance regarding Regulation BI, including recent </w:t>
      </w:r>
      <w:r>
        <w:rPr>
          <w:rFonts w:eastAsia="Times New Roman"/>
          <w:color w:val="000000"/>
          <w:sz w:val="20"/>
          <w:szCs w:val="20"/>
        </w:rPr>
        <w:t xml:space="preserve">guidance indicating that recommendations of instruments having LIBOR-linked exposure (and using as an example, a fixed income mutual fund). In March 2021, the SEC’s Division of Examinations indicated that compliance with Regulation BI is at the top of its </w:t>
      </w:r>
      <w:r>
        <w:rPr>
          <w:rFonts w:eastAsia="Times New Roman"/>
          <w:color w:val="000000"/>
          <w:sz w:val="20"/>
          <w:szCs w:val="20"/>
        </w:rPr>
        <w:t>list of 2021 examination priorities. We continue to monitor our compliance with Regulation BI.</w:t>
      </w:r>
    </w:p>
    <w:p w:rsidR="00000000" w:rsidRDefault="005B0BC3">
      <w:pPr>
        <w:jc w:val="both"/>
        <w:divId w:val="1218396469"/>
        <w:rPr>
          <w:rFonts w:eastAsia="Times New Roman"/>
        </w:rPr>
      </w:pPr>
      <w:r>
        <w:rPr>
          <w:rFonts w:eastAsia="Times New Roman"/>
          <w:b/>
          <w:bCs/>
          <w:i/>
          <w:iCs/>
          <w:color w:val="000000"/>
          <w:sz w:val="20"/>
          <w:szCs w:val="20"/>
        </w:rPr>
        <w:t>Climate Risks</w:t>
      </w:r>
    </w:p>
    <w:p w:rsidR="00000000" w:rsidRDefault="005B0BC3">
      <w:pPr>
        <w:ind w:firstLine="360"/>
        <w:divId w:val="968360068"/>
        <w:rPr>
          <w:rFonts w:eastAsia="Times New Roman"/>
        </w:rPr>
      </w:pPr>
      <w:r>
        <w:rPr>
          <w:rFonts w:eastAsia="Times New Roman"/>
          <w:color w:val="000000"/>
          <w:sz w:val="20"/>
          <w:szCs w:val="20"/>
        </w:rPr>
        <w:t>The topic of climate risk has come under increased scrutiny by insurance regulators. In September 2020, the NYDFS announced that it expects New Yor</w:t>
      </w:r>
      <w:r>
        <w:rPr>
          <w:rFonts w:eastAsia="Times New Roman"/>
          <w:color w:val="000000"/>
          <w:sz w:val="20"/>
          <w:szCs w:val="20"/>
        </w:rPr>
        <w:t xml:space="preserve">k domestic and foreign authorized insurers, which applies to Equitable Financial, to integrate financial risks from climate change into their governance frameworks, risk management processes, and business strategies. </w:t>
      </w:r>
    </w:p>
    <w:p w:rsidR="00000000" w:rsidRDefault="005B0BC3">
      <w:pPr>
        <w:ind w:firstLine="360"/>
        <w:divId w:val="1595243260"/>
        <w:rPr>
          <w:rFonts w:eastAsia="Times New Roman"/>
        </w:rPr>
      </w:pPr>
      <w:r>
        <w:rPr>
          <w:rFonts w:eastAsia="Times New Roman"/>
          <w:color w:val="000000"/>
          <w:sz w:val="20"/>
          <w:szCs w:val="20"/>
        </w:rPr>
        <w:t>In addition, the NYDFS issued guidance</w:t>
      </w:r>
      <w:r>
        <w:rPr>
          <w:rFonts w:eastAsia="Times New Roman"/>
          <w:color w:val="000000"/>
          <w:sz w:val="20"/>
          <w:szCs w:val="20"/>
        </w:rPr>
        <w:t xml:space="preserve"> on November 15, 2021 regarding its expectations for New York domestic insurers, such as Equitable Financial, related to the management of financial risks from climate change. Insurers are expected to manage these risks by outlining actions that are propor</w:t>
      </w:r>
      <w:r>
        <w:rPr>
          <w:rFonts w:eastAsia="Times New Roman"/>
          <w:color w:val="000000"/>
          <w:sz w:val="20"/>
          <w:szCs w:val="20"/>
        </w:rPr>
        <w:t>tionate to the nature, scale and complexity of their businesses. For instance, the guidance states that an insurer should: (i) incorporate climate risk into its financial risk management (e.g., a company’s ORSA should address climate risk); (ii) manage cli</w:t>
      </w:r>
      <w:r>
        <w:rPr>
          <w:rFonts w:eastAsia="Times New Roman"/>
          <w:color w:val="000000"/>
          <w:sz w:val="20"/>
          <w:szCs w:val="20"/>
        </w:rPr>
        <w:t>mate risk through its enterprise risk management functions and ensure that its organizational structure clearly defines roles and responsibilities related to managing such risk; (iii) use scenario analysis when developing business strategies and identifyin</w:t>
      </w:r>
      <w:r>
        <w:rPr>
          <w:rFonts w:eastAsia="Times New Roman"/>
          <w:color w:val="000000"/>
          <w:sz w:val="20"/>
          <w:szCs w:val="20"/>
        </w:rPr>
        <w:t>g risks; and (iv) incorporate the management of climate risk into its corporate governance structure at the group or insurer entity level (i.e., an insurer’s board of directors should understand climate risk and oversee the team responsible for managing su</w:t>
      </w:r>
      <w:r>
        <w:rPr>
          <w:rFonts w:eastAsia="Times New Roman"/>
          <w:color w:val="000000"/>
          <w:sz w:val="20"/>
          <w:szCs w:val="20"/>
        </w:rPr>
        <w:t>ch risk). In terms of timing, a company must have specific plans to implement the NYDFS’s expectations related to board governance and organizational structure by August 15, 2022, and the NYDFS intends to issue additional guidance on the timing for impleme</w:t>
      </w:r>
      <w:r>
        <w:rPr>
          <w:rFonts w:eastAsia="Times New Roman"/>
          <w:color w:val="000000"/>
          <w:sz w:val="20"/>
          <w:szCs w:val="20"/>
        </w:rPr>
        <w:t xml:space="preserve">nting the more complex expectations. </w:t>
      </w:r>
    </w:p>
    <w:p w:rsidR="00000000" w:rsidRDefault="005B0BC3">
      <w:pPr>
        <w:ind w:firstLine="360"/>
        <w:divId w:val="830752514"/>
        <w:rPr>
          <w:rFonts w:eastAsia="Times New Roman"/>
        </w:rPr>
      </w:pPr>
      <w:r>
        <w:rPr>
          <w:rFonts w:eastAsia="Times New Roman"/>
          <w:color w:val="000000"/>
          <w:sz w:val="20"/>
          <w:szCs w:val="20"/>
        </w:rPr>
        <w:t>The NYDFS also adopted an amendment to the regulation that governs enterprise risk management, effective as of August 13, 2021, that requires certain additional risks, including climate change risk, to be included in a</w:t>
      </w:r>
      <w:r>
        <w:rPr>
          <w:rFonts w:eastAsia="Times New Roman"/>
          <w:color w:val="000000"/>
          <w:sz w:val="20"/>
          <w:szCs w:val="20"/>
        </w:rPr>
        <w:t>n insurance group’s enterprise risk management function.</w:t>
      </w:r>
    </w:p>
    <w:p w:rsidR="00000000" w:rsidRDefault="005B0BC3">
      <w:pPr>
        <w:jc w:val="both"/>
        <w:divId w:val="591008632"/>
        <w:rPr>
          <w:rFonts w:eastAsia="Times New Roman"/>
        </w:rPr>
      </w:pPr>
      <w:r>
        <w:rPr>
          <w:rFonts w:eastAsia="Times New Roman"/>
          <w:b/>
          <w:bCs/>
          <w:i/>
          <w:iCs/>
          <w:color w:val="000000"/>
          <w:sz w:val="20"/>
          <w:szCs w:val="20"/>
        </w:rPr>
        <w:t>NYDFS Guidance on Diversity and Corporate Governance</w:t>
      </w:r>
    </w:p>
    <w:p w:rsidR="00000000" w:rsidRDefault="005B0BC3">
      <w:pPr>
        <w:ind w:firstLine="360"/>
        <w:divId w:val="1586526874"/>
        <w:rPr>
          <w:rFonts w:eastAsia="Times New Roman"/>
        </w:rPr>
      </w:pPr>
      <w:r>
        <w:rPr>
          <w:rFonts w:eastAsia="Times New Roman"/>
          <w:color w:val="000000"/>
          <w:sz w:val="20"/>
          <w:szCs w:val="20"/>
        </w:rPr>
        <w:t>In March 2021, the NYDFS issued a circular letter which states that the NYDFS expects the insurers that it regulates, such as Equitable Financial,</w:t>
      </w:r>
      <w:r>
        <w:rPr>
          <w:rFonts w:eastAsia="Times New Roman"/>
          <w:color w:val="000000"/>
          <w:sz w:val="20"/>
          <w:szCs w:val="20"/>
        </w:rPr>
        <w:t xml:space="preserve"> to make diversity of their leadership a business priority and a key element of their corporate governance. During the summer of 2021, the NYDFS collected data from insurers that met certain premium thresholds in New York, including Equitable Financial, re</w:t>
      </w:r>
      <w:r>
        <w:rPr>
          <w:rFonts w:eastAsia="Times New Roman"/>
          <w:color w:val="000000"/>
          <w:sz w:val="20"/>
          <w:szCs w:val="20"/>
        </w:rPr>
        <w:t xml:space="preserve">garding the diversity of their corporate boards and management. The NYDFS plans to publish this data on an aggregate basis in order to measure progress in the industry, and it will include diversity-related questions in its examination process starting in </w:t>
      </w:r>
      <w:r>
        <w:rPr>
          <w:rFonts w:eastAsia="Times New Roman"/>
          <w:color w:val="000000"/>
          <w:sz w:val="20"/>
          <w:szCs w:val="20"/>
        </w:rPr>
        <w:t>2022. We are considering the NYDFS’ guidance as part of our commitment to diversity and inclusion.</w:t>
      </w:r>
    </w:p>
    <w:p w:rsidR="00000000" w:rsidRDefault="005B0BC3">
      <w:pPr>
        <w:jc w:val="both"/>
        <w:divId w:val="375278466"/>
        <w:rPr>
          <w:rFonts w:eastAsia="Times New Roman"/>
        </w:rPr>
      </w:pPr>
      <w:r>
        <w:rPr>
          <w:rFonts w:eastAsia="Times New Roman"/>
          <w:b/>
          <w:bCs/>
          <w:i/>
          <w:iCs/>
          <w:color w:val="000000"/>
          <w:sz w:val="20"/>
          <w:szCs w:val="20"/>
        </w:rPr>
        <w:t>International Regulation</w:t>
      </w:r>
    </w:p>
    <w:p w:rsidR="00000000" w:rsidRDefault="005B0BC3">
      <w:pPr>
        <w:ind w:firstLine="360"/>
        <w:divId w:val="1459294959"/>
        <w:rPr>
          <w:rFonts w:eastAsia="Times New Roman"/>
        </w:rPr>
      </w:pPr>
      <w:r>
        <w:rPr>
          <w:rFonts w:eastAsia="Times New Roman"/>
          <w:color w:val="000000"/>
          <w:sz w:val="20"/>
          <w:szCs w:val="20"/>
        </w:rPr>
        <w:t>Many of AB’s subsidiaries are subject to the oversight of regulatory authorities in jurisdictions outside of the United States in wh</w:t>
      </w:r>
      <w:r>
        <w:rPr>
          <w:rFonts w:eastAsia="Times New Roman"/>
          <w:color w:val="000000"/>
          <w:sz w:val="20"/>
          <w:szCs w:val="20"/>
        </w:rPr>
        <w:t>ich they operate, including the Ontario Securities Commission, the Investment Industry Regulatory Organization of Canada, the European Securities and Markets Authority, the Financial Conduct Authority in the U.K., the CSSF in Luxembourg, the Financial Serv</w:t>
      </w:r>
      <w:r>
        <w:rPr>
          <w:rFonts w:eastAsia="Times New Roman"/>
          <w:color w:val="000000"/>
          <w:sz w:val="20"/>
          <w:szCs w:val="20"/>
        </w:rPr>
        <w:t>ices Agency in Japan, the Securities &amp; Futures Commission in Hong Kong, the Monetary Authority of Singapore, the Financial Services Commission in South Korea, the Financial Supervisory Commission in Taiwan and the Securities and Exchange Board of India. Wh</w:t>
      </w:r>
      <w:r>
        <w:rPr>
          <w:rFonts w:eastAsia="Times New Roman"/>
          <w:color w:val="000000"/>
          <w:sz w:val="20"/>
          <w:szCs w:val="20"/>
        </w:rPr>
        <w:t>ile these regulatory requirements often may be comparable to the requirements of the SEC and other U.S. regulators, they are sometimes more restrictive and may cause AB to incur substantial expenditures of time and money related to AB’s compliance efforts.</w:t>
      </w:r>
    </w:p>
    <w:p w:rsidR="00000000" w:rsidRDefault="005B0BC3">
      <w:pPr>
        <w:jc w:val="center"/>
        <w:divId w:val="1921402092"/>
        <w:rPr>
          <w:rFonts w:eastAsia="Times New Roman"/>
        </w:rPr>
      </w:pPr>
      <w:r>
        <w:rPr>
          <w:rFonts w:eastAsia="Times New Roman"/>
          <w:color w:val="000000"/>
          <w:sz w:val="20"/>
          <w:szCs w:val="20"/>
        </w:rPr>
        <w:t>47</w:t>
      </w:r>
    </w:p>
    <w:p w:rsidR="00000000" w:rsidRDefault="005B0BC3">
      <w:pPr>
        <w:rPr>
          <w:rFonts w:eastAsia="Times New Roman"/>
        </w:rPr>
      </w:pPr>
      <w:r>
        <w:rPr>
          <w:rFonts w:eastAsia="Times New Roman"/>
        </w:rPr>
        <w:pict>
          <v:rect id="_x0000_i1084" style="width:0;height:1.5pt" o:hralign="center" o:hrstd="t" o:hr="t" fillcolor="#a0a0a0" stroked="f"/>
        </w:pict>
      </w:r>
    </w:p>
    <w:p w:rsidR="00000000" w:rsidRDefault="005B0BC3">
      <w:pPr>
        <w:divId w:val="1187869307"/>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jc w:val="both"/>
        <w:divId w:val="502088318"/>
        <w:rPr>
          <w:rFonts w:eastAsia="Times New Roman"/>
        </w:rPr>
      </w:pPr>
      <w:r>
        <w:rPr>
          <w:rFonts w:eastAsia="Times New Roman"/>
          <w:b/>
          <w:bCs/>
          <w:i/>
          <w:iCs/>
          <w:color w:val="000000"/>
          <w:sz w:val="20"/>
          <w:szCs w:val="20"/>
        </w:rPr>
        <w:t>Federal Tax Legislation, Regulation and Administration</w:t>
      </w:r>
    </w:p>
    <w:p w:rsidR="00000000" w:rsidRDefault="005B0BC3">
      <w:pPr>
        <w:ind w:firstLine="360"/>
        <w:divId w:val="2027554283"/>
        <w:rPr>
          <w:rFonts w:eastAsia="Times New Roman"/>
        </w:rPr>
      </w:pPr>
      <w:r>
        <w:rPr>
          <w:rFonts w:eastAsia="Times New Roman"/>
          <w:color w:val="000000"/>
          <w:sz w:val="20"/>
          <w:szCs w:val="20"/>
        </w:rPr>
        <w:t xml:space="preserve">Although we cannot predict what legislative, regulatory, or administrative changes </w:t>
      </w:r>
      <w:r>
        <w:rPr>
          <w:rFonts w:eastAsia="Times New Roman"/>
          <w:color w:val="000000"/>
          <w:sz w:val="20"/>
          <w:szCs w:val="20"/>
        </w:rPr>
        <w:t>may or may not occur with respect to the federal tax law, we nevertheless endeavor to consider the possible ramifications of such changes on the profitability of our business and the attractiveness of our products to consumers. In this regard, we analyze m</w:t>
      </w:r>
      <w:r>
        <w:rPr>
          <w:rFonts w:eastAsia="Times New Roman"/>
          <w:color w:val="000000"/>
          <w:sz w:val="20"/>
          <w:szCs w:val="20"/>
        </w:rPr>
        <w:t>ultiple streams of information, including those described below.</w:t>
      </w:r>
    </w:p>
    <w:p w:rsidR="00000000" w:rsidRDefault="005B0BC3">
      <w:pPr>
        <w:divId w:val="456804137"/>
        <w:rPr>
          <w:rFonts w:eastAsia="Times New Roman"/>
        </w:rPr>
      </w:pPr>
      <w:r>
        <w:rPr>
          <w:rFonts w:eastAsia="Times New Roman"/>
          <w:i/>
          <w:iCs/>
          <w:color w:val="000000"/>
          <w:sz w:val="20"/>
          <w:szCs w:val="20"/>
          <w:u w:val="single"/>
        </w:rPr>
        <w:t>Transition from LIBOR</w:t>
      </w:r>
    </w:p>
    <w:p w:rsidR="00000000" w:rsidRDefault="005B0BC3">
      <w:pPr>
        <w:ind w:firstLine="360"/>
        <w:divId w:val="357196371"/>
        <w:rPr>
          <w:rFonts w:eastAsia="Times New Roman"/>
        </w:rPr>
      </w:pPr>
      <w:r>
        <w:rPr>
          <w:rFonts w:eastAsia="Times New Roman"/>
          <w:color w:val="000000"/>
          <w:sz w:val="20"/>
          <w:szCs w:val="20"/>
        </w:rPr>
        <w:t>Global regulators have indicated that publication of LIBOR is expected to cease after June 2023. Publication of one week and two-month USD LIBOR settings terminated at the end of December 2021 as did publication of non-USD LIBOR. Publication of the remaini</w:t>
      </w:r>
      <w:r>
        <w:rPr>
          <w:rFonts w:eastAsia="Times New Roman"/>
          <w:color w:val="000000"/>
          <w:sz w:val="20"/>
          <w:szCs w:val="20"/>
        </w:rPr>
        <w:t>ng USD LIBOR settings (overnight and one, three, six and 12 month USD LIBOR) is expected to continue until the end of June 2023. U.S. bank regulators have requested all U.S. regulated banks to stop extending USD LIBOR loans after the end of 2021.</w:t>
      </w:r>
    </w:p>
    <w:p w:rsidR="00000000" w:rsidRDefault="005B0BC3">
      <w:pPr>
        <w:ind w:firstLine="360"/>
        <w:divId w:val="1097018531"/>
        <w:rPr>
          <w:rFonts w:eastAsia="Times New Roman"/>
        </w:rPr>
      </w:pPr>
      <w:r>
        <w:rPr>
          <w:rFonts w:eastAsia="Times New Roman"/>
          <w:color w:val="000000"/>
          <w:sz w:val="20"/>
          <w:szCs w:val="20"/>
        </w:rPr>
        <w:t>The New York legislature passed legislation in 2021 that provides a fallback of the Secured Overnight Financing Rate (“SOFR”) for contracts governed by New York law and for which a fallback is not otherwise specified. The U.S. House of Representatives pass</w:t>
      </w:r>
      <w:r>
        <w:rPr>
          <w:rFonts w:eastAsia="Times New Roman"/>
          <w:color w:val="000000"/>
          <w:sz w:val="20"/>
          <w:szCs w:val="20"/>
        </w:rPr>
        <w:t>ed a similar bill governing instruments that may not apply New York law. That bill has been sent to the U.S. Senate.</w:t>
      </w:r>
    </w:p>
    <w:p w:rsidR="00000000" w:rsidRDefault="005B0BC3">
      <w:pPr>
        <w:ind w:firstLine="360"/>
        <w:divId w:val="186723510"/>
        <w:rPr>
          <w:rFonts w:eastAsia="Times New Roman"/>
        </w:rPr>
      </w:pPr>
      <w:r>
        <w:rPr>
          <w:rFonts w:eastAsia="Times New Roman"/>
          <w:color w:val="000000"/>
          <w:sz w:val="20"/>
          <w:szCs w:val="20"/>
        </w:rPr>
        <w:t>Recent guidance from the SEC staff noted that, in light of the now-certain transition away from LIBOR, financial professionals and financia</w:t>
      </w:r>
      <w:r>
        <w:rPr>
          <w:rFonts w:eastAsia="Times New Roman"/>
          <w:color w:val="000000"/>
          <w:sz w:val="20"/>
          <w:szCs w:val="20"/>
        </w:rPr>
        <w:t>l services companies must: consider the implications for portfolio holdings and hedges, including the presence of a robust fallback rate; disclosure with respect to the transition and the likely impact that the LIBOR transition will have on valuation measu</w:t>
      </w:r>
      <w:r>
        <w:rPr>
          <w:rFonts w:eastAsia="Times New Roman"/>
          <w:color w:val="000000"/>
          <w:sz w:val="20"/>
          <w:szCs w:val="20"/>
        </w:rPr>
        <w:t>rements using LIBOR as an input; and operational complexities that the LIBOR transaction is likely to introduce, including required IT system changes.</w:t>
      </w:r>
    </w:p>
    <w:p w:rsidR="00000000" w:rsidRDefault="005B0BC3">
      <w:pPr>
        <w:divId w:val="1768424535"/>
        <w:rPr>
          <w:rFonts w:eastAsia="Times New Roman"/>
        </w:rPr>
      </w:pPr>
      <w:r>
        <w:rPr>
          <w:rFonts w:eastAsia="Times New Roman"/>
          <w:color w:val="000000"/>
          <w:sz w:val="20"/>
          <w:szCs w:val="20"/>
        </w:rPr>
        <w:t xml:space="preserve">We have exposure to USD LIBOR through loans, derivatives, investments and financing operations and there </w:t>
      </w:r>
      <w:r>
        <w:rPr>
          <w:rFonts w:eastAsia="Times New Roman"/>
          <w:color w:val="000000"/>
          <w:sz w:val="20"/>
          <w:szCs w:val="20"/>
        </w:rPr>
        <w:t>are references to LIBOR in certain product prospectuses. We have evaluated our existing credit agreements, portfolio holdings, derivatives and other investments and identified all contracts for which there is not a robust fallback rate specified and have e</w:t>
      </w:r>
      <w:r>
        <w:rPr>
          <w:rFonts w:eastAsia="Times New Roman"/>
          <w:color w:val="000000"/>
          <w:sz w:val="20"/>
          <w:szCs w:val="20"/>
        </w:rPr>
        <w:t>ither identified replacement rates, including SOFR, as an adequate fallback for these instruments or are in the process of addressing the lack of the fallback by seeking to dispose of the instrument or negotiate fallback terms.</w:t>
      </w:r>
      <w:r>
        <w:rPr>
          <w:rFonts w:eastAsia="Times New Roman"/>
          <w:color w:val="000000"/>
        </w:rPr>
        <w:t xml:space="preserve"> </w:t>
      </w:r>
      <w:r>
        <w:rPr>
          <w:rFonts w:eastAsia="Times New Roman"/>
          <w:color w:val="000000"/>
          <w:sz w:val="20"/>
          <w:szCs w:val="20"/>
        </w:rPr>
        <w:t>As a general matter we inclu</w:t>
      </w:r>
      <w:r>
        <w:rPr>
          <w:rFonts w:eastAsia="Times New Roman"/>
          <w:color w:val="000000"/>
          <w:sz w:val="20"/>
          <w:szCs w:val="20"/>
        </w:rPr>
        <w:t>de fallback terms in all new agreements entered into by us and products we issue that replace LIBOR with a replacement rate, including SOFR, upon discontinuation of LIBOR. Existing contract fallback provisions, and whether, how, and when we and others deve</w:t>
      </w:r>
      <w:r>
        <w:rPr>
          <w:rFonts w:eastAsia="Times New Roman"/>
          <w:color w:val="000000"/>
          <w:sz w:val="20"/>
          <w:szCs w:val="20"/>
        </w:rPr>
        <w:t>lop and adopt alternative reference rates, will influence the effect of any changes to or discontinuation of LIBOR on us and our subsidiaries and affiliates. Discontinuation of LIBOR could have a materially adverse impact on us depending upon how the trans</w:t>
      </w:r>
      <w:r>
        <w:rPr>
          <w:rFonts w:eastAsia="Times New Roman"/>
          <w:color w:val="000000"/>
          <w:sz w:val="20"/>
          <w:szCs w:val="20"/>
        </w:rPr>
        <w:t>ition evolves. We continue to monitor both market and regulatory changes in order to prepare for the discontinuation of the LIBOR benchmark.</w:t>
      </w:r>
    </w:p>
    <w:p w:rsidR="00000000" w:rsidRDefault="005B0BC3">
      <w:pPr>
        <w:divId w:val="77144241"/>
        <w:rPr>
          <w:rFonts w:eastAsia="Times New Roman"/>
        </w:rPr>
      </w:pPr>
      <w:r>
        <w:rPr>
          <w:rFonts w:eastAsia="Times New Roman"/>
          <w:i/>
          <w:iCs/>
          <w:color w:val="000000"/>
          <w:sz w:val="20"/>
          <w:szCs w:val="20"/>
          <w:u w:val="single"/>
        </w:rPr>
        <w:t>Enacted Legislation</w:t>
      </w:r>
    </w:p>
    <w:p w:rsidR="00000000" w:rsidRDefault="005B0BC3">
      <w:pPr>
        <w:ind w:firstLine="360"/>
        <w:divId w:val="1242107224"/>
        <w:rPr>
          <w:rFonts w:eastAsia="Times New Roman"/>
        </w:rPr>
      </w:pPr>
      <w:r>
        <w:rPr>
          <w:rFonts w:eastAsia="Times New Roman"/>
          <w:color w:val="000000"/>
          <w:sz w:val="20"/>
          <w:szCs w:val="20"/>
        </w:rPr>
        <w:t>At present, the federal tax laws generally permit certain holders of life insurance and annuity</w:t>
      </w:r>
      <w:r>
        <w:rPr>
          <w:rFonts w:eastAsia="Times New Roman"/>
          <w:color w:val="000000"/>
          <w:sz w:val="20"/>
          <w:szCs w:val="20"/>
        </w:rPr>
        <w:t xml:space="preserve"> products to defer taxation on the build-up of value within such products (commonly referred to as “inside build-up”) until payments are made to the policyholders or other beneficiaries. From time to time, Congress considers legislation that could enhance </w:t>
      </w:r>
      <w:r>
        <w:rPr>
          <w:rFonts w:eastAsia="Times New Roman"/>
          <w:color w:val="000000"/>
          <w:sz w:val="20"/>
          <w:szCs w:val="20"/>
        </w:rPr>
        <w:t>or reduce (or eliminate) the benefit of tax deferral on some life insurance and annuity products. The modification or elimination of this tax-favored status could also reduce demand for our products. In addition, if the treatment of earnings accrued inside</w:t>
      </w:r>
      <w:r>
        <w:rPr>
          <w:rFonts w:eastAsia="Times New Roman"/>
          <w:color w:val="000000"/>
          <w:sz w:val="20"/>
          <w:szCs w:val="20"/>
        </w:rPr>
        <w:t xml:space="preserve"> an annuity contract was changed prospectively, and the tax-favored status of existing contracts was grandfathered, holders of existing contracts would be less likely to surrender or rollover their contracts. These changes could reduce our earnings and neg</w:t>
      </w:r>
      <w:r>
        <w:rPr>
          <w:rFonts w:eastAsia="Times New Roman"/>
          <w:color w:val="000000"/>
          <w:sz w:val="20"/>
          <w:szCs w:val="20"/>
        </w:rPr>
        <w:t>atively impact our business.</w:t>
      </w:r>
    </w:p>
    <w:p w:rsidR="00000000" w:rsidRDefault="005B0BC3">
      <w:pPr>
        <w:divId w:val="1732073167"/>
        <w:rPr>
          <w:rFonts w:eastAsia="Times New Roman"/>
        </w:rPr>
      </w:pPr>
      <w:r>
        <w:rPr>
          <w:rFonts w:eastAsia="Times New Roman"/>
          <w:i/>
          <w:iCs/>
          <w:color w:val="000000"/>
          <w:sz w:val="20"/>
          <w:szCs w:val="20"/>
          <w:u w:val="single"/>
        </w:rPr>
        <w:t>Regulatory and Other Administrative Guidance from the Treasury Department and the IRS</w:t>
      </w:r>
      <w:r>
        <w:rPr>
          <w:rFonts w:eastAsia="Times New Roman"/>
          <w:color w:val="000000"/>
          <w:sz w:val="20"/>
          <w:szCs w:val="20"/>
        </w:rPr>
        <w:t xml:space="preserve"> </w:t>
      </w:r>
    </w:p>
    <w:p w:rsidR="00000000" w:rsidRDefault="005B0BC3">
      <w:pPr>
        <w:ind w:firstLine="360"/>
        <w:divId w:val="1896429849"/>
        <w:rPr>
          <w:rFonts w:eastAsia="Times New Roman"/>
        </w:rPr>
      </w:pPr>
      <w:r>
        <w:rPr>
          <w:rFonts w:eastAsia="Times New Roman"/>
          <w:color w:val="000000"/>
          <w:sz w:val="20"/>
          <w:szCs w:val="20"/>
        </w:rPr>
        <w:t>Regulatory and other administrative guidance from the Treasury Department and the IRS also could impact the amount of federal tax that we pa</w:t>
      </w:r>
      <w:r>
        <w:rPr>
          <w:rFonts w:eastAsia="Times New Roman"/>
          <w:color w:val="000000"/>
          <w:sz w:val="20"/>
          <w:szCs w:val="20"/>
        </w:rPr>
        <w:t>y. For example, the adoption of “principles based” approaches for calculating statutory reserves may lead the Treasury Department and the IRS to issue guidance that changes the way that deductible insurance reserves are determined, potentially reducing fut</w:t>
      </w:r>
      <w:r>
        <w:rPr>
          <w:rFonts w:eastAsia="Times New Roman"/>
          <w:color w:val="000000"/>
          <w:sz w:val="20"/>
          <w:szCs w:val="20"/>
        </w:rPr>
        <w:t>ure tax deductions for us.</w:t>
      </w:r>
    </w:p>
    <w:p w:rsidR="00000000" w:rsidRDefault="005B0BC3">
      <w:pPr>
        <w:jc w:val="both"/>
        <w:divId w:val="441729087"/>
        <w:rPr>
          <w:rFonts w:eastAsia="Times New Roman"/>
        </w:rPr>
      </w:pPr>
      <w:r>
        <w:rPr>
          <w:rFonts w:eastAsia="Times New Roman"/>
          <w:b/>
          <w:bCs/>
          <w:i/>
          <w:iCs/>
          <w:color w:val="000000"/>
          <w:sz w:val="20"/>
          <w:szCs w:val="20"/>
        </w:rPr>
        <w:t>Privacy and Security of Customer Information and Cybersecurity Regulation</w:t>
      </w:r>
    </w:p>
    <w:p w:rsidR="00000000" w:rsidRDefault="005B0BC3">
      <w:pPr>
        <w:ind w:firstLine="360"/>
        <w:divId w:val="1029449184"/>
        <w:rPr>
          <w:rFonts w:eastAsia="Times New Roman"/>
        </w:rPr>
      </w:pPr>
      <w:r>
        <w:rPr>
          <w:rFonts w:eastAsia="Times New Roman"/>
          <w:color w:val="000000"/>
          <w:sz w:val="20"/>
          <w:szCs w:val="20"/>
        </w:rPr>
        <w:t>We are subject to federal and state laws and regulations that require financial institutions to protect the security and confidentiality of customer inform</w:t>
      </w:r>
      <w:r>
        <w:rPr>
          <w:rFonts w:eastAsia="Times New Roman"/>
          <w:color w:val="000000"/>
          <w:sz w:val="20"/>
          <w:szCs w:val="20"/>
        </w:rPr>
        <w:t xml:space="preserve">ation, and to notify customers about their policies and practices relating to their collection </w:t>
      </w:r>
    </w:p>
    <w:p w:rsidR="00000000" w:rsidRDefault="005B0BC3">
      <w:pPr>
        <w:jc w:val="center"/>
        <w:divId w:val="287468012"/>
        <w:rPr>
          <w:rFonts w:eastAsia="Times New Roman"/>
        </w:rPr>
      </w:pPr>
      <w:r>
        <w:rPr>
          <w:rFonts w:eastAsia="Times New Roman"/>
          <w:color w:val="000000"/>
          <w:sz w:val="20"/>
          <w:szCs w:val="20"/>
        </w:rPr>
        <w:t>48</w:t>
      </w:r>
    </w:p>
    <w:p w:rsidR="00000000" w:rsidRDefault="005B0BC3">
      <w:pPr>
        <w:rPr>
          <w:rFonts w:eastAsia="Times New Roman"/>
        </w:rPr>
      </w:pPr>
      <w:r>
        <w:rPr>
          <w:rFonts w:eastAsia="Times New Roman"/>
        </w:rPr>
        <w:pict>
          <v:rect id="_x0000_i1085" style="width:0;height:1.5pt" o:hralign="center" o:hrstd="t" o:hr="t" fillcolor="#a0a0a0" stroked="f"/>
        </w:pict>
      </w:r>
    </w:p>
    <w:p w:rsidR="00000000" w:rsidRDefault="005B0BC3">
      <w:pPr>
        <w:divId w:val="1292902167"/>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divId w:val="1147430209"/>
        <w:rPr>
          <w:rFonts w:eastAsia="Times New Roman"/>
        </w:rPr>
      </w:pPr>
      <w:r>
        <w:rPr>
          <w:rFonts w:eastAsia="Times New Roman"/>
          <w:color w:val="000000"/>
          <w:sz w:val="20"/>
          <w:szCs w:val="20"/>
        </w:rPr>
        <w:t>and disclosure of customer information and</w:t>
      </w:r>
      <w:r>
        <w:rPr>
          <w:rFonts w:eastAsia="Times New Roman"/>
          <w:color w:val="000000"/>
          <w:sz w:val="20"/>
          <w:szCs w:val="20"/>
        </w:rPr>
        <w:t xml:space="preserve"> their practices related to protecting the security and confidentiality of that information. We maintain, and we require our third-party service providers to maintain, security controls designed to ensure the integrity, confidentiality, and availability of</w:t>
      </w:r>
      <w:r>
        <w:rPr>
          <w:rFonts w:eastAsia="Times New Roman"/>
          <w:color w:val="000000"/>
          <w:sz w:val="20"/>
          <w:szCs w:val="20"/>
        </w:rPr>
        <w:t xml:space="preserve"> our systems and the confidential and sensitive information we maintain and process. We have adopted a privacy policy outlining the Company’s procedures and practices relating to the collection, maintenance, disclosure, disposal, and protection of customer</w:t>
      </w:r>
      <w:r>
        <w:rPr>
          <w:rFonts w:eastAsia="Times New Roman"/>
          <w:color w:val="000000"/>
          <w:sz w:val="20"/>
          <w:szCs w:val="20"/>
        </w:rPr>
        <w:t xml:space="preserve"> information, including personal information. As required by law, subject to certain exceptions, a copy of the privacy policy is mailed to customers on an annual basis. Federal and state laws generally require that we provide notice to affected individuals</w:t>
      </w:r>
      <w:r>
        <w:rPr>
          <w:rFonts w:eastAsia="Times New Roman"/>
          <w:color w:val="000000"/>
          <w:sz w:val="20"/>
          <w:szCs w:val="20"/>
        </w:rPr>
        <w:t>, law enforcement, regulators and/or potentially others if there is a situation in which customer information is disclosed to and/or accessed or acquired by unauthorized third parties. Federal regulations require financial institutions to implement program</w:t>
      </w:r>
      <w:r>
        <w:rPr>
          <w:rFonts w:eastAsia="Times New Roman"/>
          <w:color w:val="000000"/>
          <w:sz w:val="20"/>
          <w:szCs w:val="20"/>
        </w:rPr>
        <w:t>s to protect against unauthorized access to this customer information, and to detect, prevent and mitigate identity theft. Federal and state laws and regulations regulate the ability of financial institutions to make telemarketing calls and to send unsolic</w:t>
      </w:r>
      <w:r>
        <w:rPr>
          <w:rFonts w:eastAsia="Times New Roman"/>
          <w:color w:val="000000"/>
          <w:sz w:val="20"/>
          <w:szCs w:val="20"/>
        </w:rPr>
        <w:t xml:space="preserve">ited e-mail or fax messages to both consumers and customers, and also regulate the permissible uses of certain categories of customer information. </w:t>
      </w:r>
    </w:p>
    <w:p w:rsidR="00000000" w:rsidRDefault="005B0BC3">
      <w:pPr>
        <w:ind w:firstLine="360"/>
        <w:divId w:val="320543268"/>
        <w:rPr>
          <w:rFonts w:eastAsia="Times New Roman"/>
        </w:rPr>
      </w:pPr>
      <w:r>
        <w:rPr>
          <w:rFonts w:eastAsia="Times New Roman"/>
          <w:color w:val="000000"/>
          <w:sz w:val="20"/>
          <w:szCs w:val="20"/>
        </w:rPr>
        <w:t>The violation of data privacy and data protection laws and regulations or the failure to implement and maint</w:t>
      </w:r>
      <w:r>
        <w:rPr>
          <w:rFonts w:eastAsia="Times New Roman"/>
          <w:color w:val="000000"/>
          <w:sz w:val="20"/>
          <w:szCs w:val="20"/>
        </w:rPr>
        <w:t>ain reasonable and effective cybersecurity programs may result in significant fines, remediation costs and regulatory enforcement actions. Moreover, a cybersecurity incident that disrupts critical operations and customer services could expose the Company t</w:t>
      </w:r>
      <w:r>
        <w:rPr>
          <w:rFonts w:eastAsia="Times New Roman"/>
          <w:color w:val="000000"/>
          <w:sz w:val="20"/>
          <w:szCs w:val="20"/>
        </w:rPr>
        <w:t>o litigation, losses, and reputational damage. As cyber threats continue to evolve, regulators continue to develop new requirements to account for risk exposure, including specific cybersecurity safeguards and program oversight. As such, it may be expected</w:t>
      </w:r>
      <w:r>
        <w:rPr>
          <w:rFonts w:eastAsia="Times New Roman"/>
          <w:color w:val="000000"/>
          <w:sz w:val="20"/>
          <w:szCs w:val="20"/>
        </w:rPr>
        <w:t xml:space="preserve"> that legislation considered by either the U.S. Congress and/or state legislatures could create additional and/or more burdensome obligations relating to the use and protection of customer information. </w:t>
      </w:r>
    </w:p>
    <w:p w:rsidR="00000000" w:rsidRDefault="005B0BC3">
      <w:pPr>
        <w:ind w:firstLine="360"/>
        <w:divId w:val="1644197287"/>
        <w:rPr>
          <w:rFonts w:eastAsia="Times New Roman"/>
        </w:rPr>
      </w:pPr>
      <w:r>
        <w:rPr>
          <w:rFonts w:eastAsia="Times New Roman"/>
          <w:color w:val="000000"/>
          <w:sz w:val="20"/>
          <w:szCs w:val="20"/>
        </w:rPr>
        <w:t>We are subject to the rules and regulations of the NY</w:t>
      </w:r>
      <w:r>
        <w:rPr>
          <w:rFonts w:eastAsia="Times New Roman"/>
          <w:color w:val="000000"/>
          <w:sz w:val="20"/>
          <w:szCs w:val="20"/>
        </w:rPr>
        <w:t>DFS which adopted a cybersecurity regulation for financial services institutions, including banking and insurance entities, under its jurisdiction. The regulation requires these entities to, among other things, assess risks associated with their informatio</w:t>
      </w:r>
      <w:r>
        <w:rPr>
          <w:rFonts w:eastAsia="Times New Roman"/>
          <w:color w:val="000000"/>
          <w:sz w:val="20"/>
          <w:szCs w:val="20"/>
        </w:rPr>
        <w:t>n systems and establish and maintain a cybersecurity program reasonably designed to protect such systems and consumers’ private data. We have adopted a cybersecurity policy outlining our policies and procedures for the protection of our information systems</w:t>
      </w:r>
      <w:r>
        <w:rPr>
          <w:rFonts w:eastAsia="Times New Roman"/>
          <w:color w:val="000000"/>
          <w:sz w:val="20"/>
          <w:szCs w:val="20"/>
        </w:rPr>
        <w:t xml:space="preserve"> and information stored on those systems that comports with the regulation. In addition to New York’s cybersecurity regulation, the NAIC adopted the Insurance Data Security Model Law in October 2017, establishing standards for data security and for the inv</w:t>
      </w:r>
      <w:r>
        <w:rPr>
          <w:rFonts w:eastAsia="Times New Roman"/>
          <w:color w:val="000000"/>
          <w:sz w:val="20"/>
          <w:szCs w:val="20"/>
        </w:rPr>
        <w:t>estigation and notification of insurance commissioners of cybersecurity events involving unauthorized access to, or the misuse of, certain nonpublic information. Certain states have adopted the model law, although it has not been adopted by our insurance s</w:t>
      </w:r>
      <w:r>
        <w:rPr>
          <w:rFonts w:eastAsia="Times New Roman"/>
          <w:color w:val="000000"/>
          <w:sz w:val="20"/>
          <w:szCs w:val="20"/>
        </w:rPr>
        <w:t>ubsidiaries’ domiciliary states. We expect that additional states will also adopt the model law, even though it is not an NAIC accreditation standard, but we cannot predict whether or not, or in what form or when, they will do so. Under the model law, comp</w:t>
      </w:r>
      <w:r>
        <w:rPr>
          <w:rFonts w:eastAsia="Times New Roman"/>
          <w:color w:val="000000"/>
          <w:sz w:val="20"/>
          <w:szCs w:val="20"/>
        </w:rPr>
        <w:t>anies that are compliant with the NYDFS cybersecurity regulation are deemed also to be compliant with the model law.</w:t>
      </w:r>
    </w:p>
    <w:p w:rsidR="00000000" w:rsidRDefault="005B0BC3">
      <w:pPr>
        <w:divId w:val="801926104"/>
        <w:rPr>
          <w:rFonts w:eastAsia="Times New Roman"/>
        </w:rPr>
      </w:pPr>
      <w:r>
        <w:rPr>
          <w:rFonts w:eastAsia="Times New Roman"/>
          <w:color w:val="000000"/>
          <w:sz w:val="20"/>
          <w:szCs w:val="20"/>
        </w:rPr>
        <w:t xml:space="preserve">Under the California Consumer Privacy Act (“CCPA”), California residents enjoy the right to know what information a business has collected </w:t>
      </w:r>
      <w:r>
        <w:rPr>
          <w:rFonts w:eastAsia="Times New Roman"/>
          <w:color w:val="000000"/>
          <w:sz w:val="20"/>
          <w:szCs w:val="20"/>
        </w:rPr>
        <w:t>from them, the sourcing and sharing of that information, and the right to limit certain uses. CCPA also establishes a private right of action with potentially significant statutory damages, whereby businesses that fail to implement reasonable security meas</w:t>
      </w:r>
      <w:r>
        <w:rPr>
          <w:rFonts w:eastAsia="Times New Roman"/>
          <w:color w:val="000000"/>
          <w:sz w:val="20"/>
          <w:szCs w:val="20"/>
        </w:rPr>
        <w:t>ures to protect against breaches of personal information could be liable to affected consumers. Certain data processing which is otherwise regulated, including under the Gramm-Leach-Bliley Act, is excluded from the CCPA; however, this is not an entity-wide</w:t>
      </w:r>
      <w:r>
        <w:rPr>
          <w:rFonts w:eastAsia="Times New Roman"/>
          <w:color w:val="000000"/>
          <w:sz w:val="20"/>
          <w:szCs w:val="20"/>
        </w:rPr>
        <w:t xml:space="preserve"> exclusion. We expect a significant portion of our business will be excepted from the requirements of the CCPA. The California Privacy Rights Act (“CPRA”) amends the CCPA and will come into effect in January 2023. Virginia and Colorado have adopted similar</w:t>
      </w:r>
      <w:r>
        <w:rPr>
          <w:rFonts w:eastAsia="Times New Roman"/>
          <w:color w:val="000000"/>
          <w:sz w:val="20"/>
          <w:szCs w:val="20"/>
        </w:rPr>
        <w:t xml:space="preserve"> laws, which come into effect in January 2023 and July 2023, respectively, and additional states are considering, and may enact, similar laws or regulations in the near future.</w:t>
      </w:r>
    </w:p>
    <w:p w:rsidR="00000000" w:rsidRDefault="005B0BC3">
      <w:pPr>
        <w:divId w:val="1977643016"/>
        <w:rPr>
          <w:rFonts w:eastAsia="Times New Roman"/>
        </w:rPr>
      </w:pPr>
    </w:p>
    <w:p w:rsidR="00000000" w:rsidRDefault="005B0BC3">
      <w:pPr>
        <w:ind w:firstLine="360"/>
        <w:divId w:val="375276804"/>
        <w:rPr>
          <w:rFonts w:eastAsia="Times New Roman"/>
        </w:rPr>
      </w:pPr>
      <w:r>
        <w:rPr>
          <w:rFonts w:eastAsia="Times New Roman"/>
          <w:color w:val="000000"/>
          <w:sz w:val="20"/>
          <w:szCs w:val="20"/>
        </w:rPr>
        <w:t>State and federal regulators are increasingly focused on cybersecurity and se</w:t>
      </w:r>
      <w:r>
        <w:rPr>
          <w:rFonts w:eastAsia="Times New Roman"/>
          <w:color w:val="000000"/>
          <w:sz w:val="20"/>
          <w:szCs w:val="20"/>
        </w:rPr>
        <w:t>veral have established specific and potentially burdensome requirements. For instance, in October 2021, the Federal Trade Commission announced significant amendments to the Standards for Safeguarding Customer Information Rule (the “Safeguards Rule”) that r</w:t>
      </w:r>
      <w:r>
        <w:rPr>
          <w:rFonts w:eastAsia="Times New Roman"/>
          <w:color w:val="000000"/>
          <w:sz w:val="20"/>
          <w:szCs w:val="20"/>
        </w:rPr>
        <w:t>equire financial institutions to implement specific data security measures within their formal information security measures. Failure to comply with new regulation or requirements may result in enforcement action, fines and/or other operational or reputati</w:t>
      </w:r>
      <w:r>
        <w:rPr>
          <w:rFonts w:eastAsia="Times New Roman"/>
          <w:color w:val="000000"/>
          <w:sz w:val="20"/>
          <w:szCs w:val="20"/>
        </w:rPr>
        <w:t xml:space="preserve">onal harms. </w:t>
      </w:r>
    </w:p>
    <w:p w:rsidR="00000000" w:rsidRDefault="005B0BC3">
      <w:pPr>
        <w:jc w:val="both"/>
        <w:divId w:val="1415010572"/>
        <w:rPr>
          <w:rFonts w:eastAsia="Times New Roman"/>
        </w:rPr>
      </w:pPr>
      <w:r>
        <w:rPr>
          <w:rFonts w:eastAsia="Times New Roman"/>
          <w:b/>
          <w:bCs/>
          <w:i/>
          <w:iCs/>
          <w:color w:val="000000"/>
          <w:sz w:val="20"/>
          <w:szCs w:val="20"/>
        </w:rPr>
        <w:t>Environmental Considerations</w:t>
      </w:r>
    </w:p>
    <w:p w:rsidR="00000000" w:rsidRDefault="005B0BC3">
      <w:pPr>
        <w:ind w:firstLine="360"/>
        <w:divId w:val="840050060"/>
        <w:rPr>
          <w:rFonts w:eastAsia="Times New Roman"/>
        </w:rPr>
      </w:pPr>
      <w:r>
        <w:rPr>
          <w:rFonts w:eastAsia="Times New Roman"/>
          <w:color w:val="000000"/>
          <w:sz w:val="20"/>
          <w:szCs w:val="20"/>
        </w:rPr>
        <w:t>Federal, state and local environmental laws and regulations apply to our ownership and operation of real property. Inherent in owning and operating real property are the risk of environmental liabilities and the co</w:t>
      </w:r>
      <w:r>
        <w:rPr>
          <w:rFonts w:eastAsia="Times New Roman"/>
          <w:color w:val="000000"/>
          <w:sz w:val="20"/>
          <w:szCs w:val="20"/>
        </w:rPr>
        <w:t>sts of any required clean-up. Under the laws of certain states, contamination of a property may give rise to a lien on the property to secure recovery of the costs of clean-up, which could adversely affect our mortgage lending business. In some states, thi</w:t>
      </w:r>
      <w:r>
        <w:rPr>
          <w:rFonts w:eastAsia="Times New Roman"/>
          <w:color w:val="000000"/>
          <w:sz w:val="20"/>
          <w:szCs w:val="20"/>
        </w:rPr>
        <w:t>s lien may have priority over the lien of an existing mortgage against such property. In addition, in some states and under the federal Comprehensive Environmental Response, Compensation, and Liability Act of 1980, or CERCLA, we may be liable, in certain c</w:t>
      </w:r>
      <w:r>
        <w:rPr>
          <w:rFonts w:eastAsia="Times New Roman"/>
          <w:color w:val="000000"/>
          <w:sz w:val="20"/>
          <w:szCs w:val="20"/>
        </w:rPr>
        <w:t xml:space="preserve">ircumstances, as an “owner” or “operator,” for costs of cleaning-up releases or threatened releases of hazardous substances at a property </w:t>
      </w:r>
    </w:p>
    <w:p w:rsidR="00000000" w:rsidRDefault="005B0BC3">
      <w:pPr>
        <w:jc w:val="center"/>
        <w:divId w:val="2025130280"/>
        <w:rPr>
          <w:rFonts w:eastAsia="Times New Roman"/>
        </w:rPr>
      </w:pPr>
      <w:r>
        <w:rPr>
          <w:rFonts w:eastAsia="Times New Roman"/>
          <w:color w:val="000000"/>
          <w:sz w:val="20"/>
          <w:szCs w:val="20"/>
        </w:rPr>
        <w:t>49</w:t>
      </w:r>
    </w:p>
    <w:p w:rsidR="00000000" w:rsidRDefault="005B0BC3">
      <w:pPr>
        <w:rPr>
          <w:rFonts w:eastAsia="Times New Roman"/>
        </w:rPr>
      </w:pPr>
      <w:r>
        <w:rPr>
          <w:rFonts w:eastAsia="Times New Roman"/>
        </w:rPr>
        <w:pict>
          <v:rect id="_x0000_i1086" style="width:0;height:1.5pt" o:hralign="center" o:hrstd="t" o:hr="t" fillcolor="#a0a0a0" stroked="f"/>
        </w:pict>
      </w:r>
    </w:p>
    <w:p w:rsidR="00000000" w:rsidRDefault="005B0BC3">
      <w:pPr>
        <w:divId w:val="1394816733"/>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divId w:val="652561267"/>
        <w:rPr>
          <w:rFonts w:eastAsia="Times New Roman"/>
        </w:rPr>
      </w:pPr>
      <w:r>
        <w:rPr>
          <w:rFonts w:eastAsia="Times New Roman"/>
          <w:color w:val="000000"/>
          <w:sz w:val="20"/>
          <w:szCs w:val="20"/>
        </w:rPr>
        <w:t>mortgaged to us. We also risk environmental liability when we foreclose on a property mortgaged to us. However, federal legislation provides for a safe harbor from CERCLA liability for secured lenders, provided that certain requirements are met. Applicatio</w:t>
      </w:r>
      <w:r>
        <w:rPr>
          <w:rFonts w:eastAsia="Times New Roman"/>
          <w:color w:val="000000"/>
          <w:sz w:val="20"/>
          <w:szCs w:val="20"/>
        </w:rPr>
        <w:t>n of various other federal and state environmental laws could also result in the imposition of liability on us for costs associated with environmental hazards.</w:t>
      </w:r>
    </w:p>
    <w:p w:rsidR="00000000" w:rsidRDefault="005B0BC3">
      <w:pPr>
        <w:ind w:firstLine="360"/>
        <w:divId w:val="500511792"/>
        <w:rPr>
          <w:rFonts w:eastAsia="Times New Roman"/>
        </w:rPr>
      </w:pPr>
      <w:r>
        <w:rPr>
          <w:rFonts w:eastAsia="Times New Roman"/>
          <w:color w:val="000000"/>
          <w:sz w:val="20"/>
          <w:szCs w:val="20"/>
        </w:rPr>
        <w:t>We routinely conduct environmental assessments prior to making a mortgage loan or taking title t</w:t>
      </w:r>
      <w:r>
        <w:rPr>
          <w:rFonts w:eastAsia="Times New Roman"/>
          <w:color w:val="000000"/>
          <w:sz w:val="20"/>
          <w:szCs w:val="20"/>
        </w:rPr>
        <w:t>o real estate, whether through acquisition for investment or through foreclosure on real estate collateralizing mortgages. We cannot provide assurance that unexpected environmental liabilities will not arise. However, based on information currently availab</w:t>
      </w:r>
      <w:r>
        <w:rPr>
          <w:rFonts w:eastAsia="Times New Roman"/>
          <w:color w:val="000000"/>
          <w:sz w:val="20"/>
          <w:szCs w:val="20"/>
        </w:rPr>
        <w:t>le to us, we believe that any costs associated with compliance with environmental laws and regulations or any clean-up of properties would not have a material adverse effect on our consolidated results of operations.</w:t>
      </w:r>
    </w:p>
    <w:p w:rsidR="00000000" w:rsidRDefault="005B0BC3">
      <w:pPr>
        <w:jc w:val="both"/>
        <w:divId w:val="665284359"/>
        <w:rPr>
          <w:rFonts w:eastAsia="Times New Roman"/>
        </w:rPr>
      </w:pPr>
      <w:r>
        <w:rPr>
          <w:rFonts w:eastAsia="Times New Roman"/>
          <w:b/>
          <w:bCs/>
          <w:i/>
          <w:iCs/>
          <w:color w:val="000000"/>
          <w:sz w:val="20"/>
          <w:szCs w:val="20"/>
        </w:rPr>
        <w:t>Intellectual Property</w:t>
      </w:r>
    </w:p>
    <w:p w:rsidR="00000000" w:rsidRDefault="005B0BC3">
      <w:pPr>
        <w:ind w:firstLine="360"/>
        <w:divId w:val="163906277"/>
        <w:rPr>
          <w:rFonts w:eastAsia="Times New Roman"/>
        </w:rPr>
      </w:pPr>
      <w:r>
        <w:rPr>
          <w:rFonts w:eastAsia="Times New Roman"/>
          <w:color w:val="000000"/>
          <w:sz w:val="20"/>
          <w:szCs w:val="20"/>
        </w:rPr>
        <w:t>We rely on a combination of copyright, trademark, patent and trade secret laws to establish and protect our intellectual property rights. We regard our intellectual property as valuable assets and protect them against infringement.</w:t>
      </w:r>
    </w:p>
    <w:p w:rsidR="00000000" w:rsidRDefault="005B0BC3">
      <w:pPr>
        <w:divId w:val="434908598"/>
        <w:rPr>
          <w:rFonts w:eastAsia="Times New Roman"/>
        </w:rPr>
      </w:pPr>
      <w:r>
        <w:rPr>
          <w:rFonts w:eastAsia="Times New Roman"/>
          <w:b/>
          <w:bCs/>
          <w:color w:val="000000"/>
          <w:sz w:val="20"/>
          <w:szCs w:val="20"/>
        </w:rPr>
        <w:t>Hu</w:t>
      </w:r>
      <w:r>
        <w:rPr>
          <w:rFonts w:eastAsia="Times New Roman"/>
          <w:b/>
          <w:bCs/>
          <w:color w:val="000000"/>
          <w:sz w:val="20"/>
          <w:szCs w:val="20"/>
        </w:rPr>
        <w:t xml:space="preserve">man Capital Management </w:t>
      </w:r>
    </w:p>
    <w:p w:rsidR="00000000" w:rsidRDefault="005B0BC3">
      <w:pPr>
        <w:ind w:firstLine="360"/>
        <w:divId w:val="712535970"/>
        <w:rPr>
          <w:rFonts w:eastAsia="Times New Roman"/>
        </w:rPr>
      </w:pPr>
      <w:r>
        <w:rPr>
          <w:rFonts w:eastAsia="Times New Roman"/>
          <w:color w:val="000000"/>
          <w:sz w:val="20"/>
          <w:szCs w:val="20"/>
        </w:rPr>
        <w:t>As of December 31, 2021, we had approximately 7,800 full time employees. Of these, approximately 4,100 were employed full-time by AB.</w:t>
      </w:r>
    </w:p>
    <w:p w:rsidR="00000000" w:rsidRDefault="005B0BC3">
      <w:pPr>
        <w:jc w:val="both"/>
        <w:divId w:val="1115176081"/>
        <w:rPr>
          <w:rFonts w:eastAsia="Times New Roman"/>
        </w:rPr>
      </w:pPr>
      <w:r>
        <w:rPr>
          <w:rFonts w:eastAsia="Times New Roman"/>
          <w:b/>
          <w:bCs/>
          <w:i/>
          <w:iCs/>
          <w:color w:val="000000"/>
          <w:sz w:val="20"/>
          <w:szCs w:val="20"/>
        </w:rPr>
        <w:t>Equitable</w:t>
      </w:r>
    </w:p>
    <w:p w:rsidR="00000000" w:rsidRDefault="005B0BC3">
      <w:pPr>
        <w:ind w:firstLine="360"/>
        <w:divId w:val="569270209"/>
        <w:rPr>
          <w:rFonts w:eastAsia="Times New Roman"/>
        </w:rPr>
      </w:pPr>
      <w:r>
        <w:rPr>
          <w:rFonts w:eastAsia="Times New Roman"/>
          <w:color w:val="000000"/>
          <w:sz w:val="20"/>
          <w:szCs w:val="20"/>
        </w:rPr>
        <w:t>To execute our business plan successfully, we need not only a sound business strategy bu</w:t>
      </w:r>
      <w:r>
        <w:rPr>
          <w:rFonts w:eastAsia="Times New Roman"/>
          <w:color w:val="000000"/>
          <w:sz w:val="20"/>
          <w:szCs w:val="20"/>
        </w:rPr>
        <w:t>t an equally well-developed people strategy. In addition to ensuring strong alignment across our organization to our goals and strategies, we maintain a long-standing commitment to building a culture of inclusion, professional excellence and continuous lea</w:t>
      </w:r>
      <w:r>
        <w:rPr>
          <w:rFonts w:eastAsia="Times New Roman"/>
          <w:color w:val="000000"/>
          <w:sz w:val="20"/>
          <w:szCs w:val="20"/>
        </w:rPr>
        <w:t>rning. We have been recognized as a “Great Place to Work” by the Great Place to Work® Institute, an independent workplace authority, each year since 2016. We have been awarded a 100% rating by the Human Rights Foundation’s Campaign Corporate Equality Index</w:t>
      </w:r>
      <w:r>
        <w:rPr>
          <w:rFonts w:eastAsia="Times New Roman"/>
          <w:color w:val="000000"/>
          <w:sz w:val="20"/>
          <w:szCs w:val="20"/>
        </w:rPr>
        <w:t xml:space="preserve"> since 2014.</w:t>
      </w:r>
    </w:p>
    <w:p w:rsidR="00000000" w:rsidRDefault="005B0BC3">
      <w:pPr>
        <w:ind w:firstLine="360"/>
        <w:divId w:val="441077147"/>
        <w:rPr>
          <w:rFonts w:eastAsia="Times New Roman"/>
        </w:rPr>
      </w:pPr>
      <w:r>
        <w:rPr>
          <w:rFonts w:eastAsia="Times New Roman"/>
          <w:color w:val="000000"/>
          <w:sz w:val="20"/>
          <w:szCs w:val="20"/>
        </w:rPr>
        <w:t xml:space="preserve">Looking ahead, we know our clients will continue to face new opportunities and challenges. To meet those needs, and to be able to fully realize our ambitious strategic aspirations, we have adopted a new operating model and mindset that remain </w:t>
      </w:r>
      <w:r>
        <w:rPr>
          <w:rFonts w:eastAsia="Times New Roman"/>
          <w:color w:val="000000"/>
          <w:sz w:val="20"/>
          <w:szCs w:val="20"/>
        </w:rPr>
        <w:t>uniquely Equitable: our New Ways of Working. Our reasons for embracing this new way forward are clear: we want to innovate and grow, we want to attract the best talent and build a strong pipeline for employee advancement, and we want to better serve our cl</w:t>
      </w:r>
      <w:r>
        <w:rPr>
          <w:rFonts w:eastAsia="Times New Roman"/>
          <w:color w:val="000000"/>
          <w:sz w:val="20"/>
          <w:szCs w:val="20"/>
        </w:rPr>
        <w:t>ients. Our New Ways of Working equips us to evolve in ways that enhance innovation, efficiency, client satisfaction and employee engagement by drawing upon five time-tested methodologies: Adaptive Leadership; Outcomes, Objectives &amp; Key Results; Dynamic Ena</w:t>
      </w:r>
      <w:r>
        <w:rPr>
          <w:rFonts w:eastAsia="Times New Roman"/>
          <w:color w:val="000000"/>
          <w:sz w:val="20"/>
          <w:szCs w:val="20"/>
        </w:rPr>
        <w:t>blers; Enterprise Agile; and Design Thinking. It fundamentally changes the way we deliver value and grow as employees and as a company.</w:t>
      </w:r>
    </w:p>
    <w:p w:rsidR="00000000" w:rsidRDefault="005B0BC3">
      <w:pPr>
        <w:ind w:firstLine="360"/>
        <w:divId w:val="1606964843"/>
        <w:rPr>
          <w:rFonts w:eastAsia="Times New Roman"/>
        </w:rPr>
      </w:pPr>
    </w:p>
    <w:p w:rsidR="00000000" w:rsidRDefault="005B0BC3">
      <w:pPr>
        <w:jc w:val="both"/>
        <w:divId w:val="1760105295"/>
        <w:rPr>
          <w:rFonts w:eastAsia="Times New Roman"/>
        </w:rPr>
      </w:pPr>
      <w:r>
        <w:rPr>
          <w:rFonts w:eastAsia="Times New Roman"/>
          <w:i/>
          <w:iCs/>
          <w:color w:val="000000"/>
          <w:sz w:val="20"/>
          <w:szCs w:val="20"/>
          <w:u w:val="single"/>
        </w:rPr>
        <w:t>Employee Development</w:t>
      </w:r>
    </w:p>
    <w:p w:rsidR="00000000" w:rsidRDefault="005B0BC3">
      <w:pPr>
        <w:ind w:firstLine="360"/>
        <w:divId w:val="1360397262"/>
        <w:rPr>
          <w:rFonts w:eastAsia="Times New Roman"/>
        </w:rPr>
      </w:pPr>
      <w:r>
        <w:rPr>
          <w:rFonts w:eastAsia="Times New Roman"/>
          <w:color w:val="000000"/>
          <w:sz w:val="20"/>
          <w:szCs w:val="20"/>
        </w:rPr>
        <w:t>Attracting, developing and retaining the best people is crucial to our long-term success and stra</w:t>
      </w:r>
      <w:r>
        <w:rPr>
          <w:rFonts w:eastAsia="Times New Roman"/>
          <w:color w:val="000000"/>
          <w:sz w:val="20"/>
          <w:szCs w:val="20"/>
        </w:rPr>
        <w:t>tegy. Accordingly, we offer a number of tools and resources to empower our people to grow and to perform to the best of their abilities. Our tools and resources include educational opportunities such as digital and classroom-style courses on topics ranging</w:t>
      </w:r>
      <w:r>
        <w:rPr>
          <w:rFonts w:eastAsia="Times New Roman"/>
          <w:color w:val="000000"/>
          <w:sz w:val="20"/>
          <w:szCs w:val="20"/>
        </w:rPr>
        <w:t xml:space="preserve"> from communication skills to product knowledge to inclusive leadership immersion. We also provide tuition reimbursement programs to defray the cost of degree programs. In 2021 we retooled our career models to provide us with a consistent and transparent w</w:t>
      </w:r>
      <w:r>
        <w:rPr>
          <w:rFonts w:eastAsia="Times New Roman"/>
          <w:color w:val="000000"/>
          <w:sz w:val="20"/>
          <w:szCs w:val="20"/>
        </w:rPr>
        <w:t>ay to help our people grow, develop and uncover new career opportunities. Under our new career models, each employee’s skills are at the forefront. They can clearly see how their skills are transferrable across the organization so they can shape the career</w:t>
      </w:r>
      <w:r>
        <w:rPr>
          <w:rFonts w:eastAsia="Times New Roman"/>
          <w:color w:val="000000"/>
          <w:sz w:val="20"/>
          <w:szCs w:val="20"/>
        </w:rPr>
        <w:t xml:space="preserve"> they want. And they can find opportunities — or have opportunities find them — based on the skills they have to contribute. We believe these models will help our employees grow and nurture their own unique skills as they develop a specific career roadmap </w:t>
      </w:r>
      <w:r>
        <w:rPr>
          <w:rFonts w:eastAsia="Times New Roman"/>
          <w:color w:val="000000"/>
          <w:sz w:val="20"/>
          <w:szCs w:val="20"/>
        </w:rPr>
        <w:t>for the future.</w:t>
      </w:r>
    </w:p>
    <w:p w:rsidR="00000000" w:rsidRDefault="005B0BC3">
      <w:pPr>
        <w:ind w:firstLine="360"/>
        <w:divId w:val="117184673"/>
        <w:rPr>
          <w:rFonts w:eastAsia="Times New Roman"/>
        </w:rPr>
      </w:pPr>
      <w:r>
        <w:rPr>
          <w:rFonts w:eastAsia="Times New Roman"/>
          <w:color w:val="000000"/>
          <w:sz w:val="20"/>
          <w:szCs w:val="20"/>
        </w:rPr>
        <w:t xml:space="preserve">We also support promotion within Equitable, which provides further opportunities for employees to learn, grow and advance in their careers. Among the open positions at Equitable, about 46% on average are filled by internal candidates. </w:t>
      </w:r>
    </w:p>
    <w:p w:rsidR="00000000" w:rsidRDefault="005B0BC3">
      <w:pPr>
        <w:jc w:val="both"/>
        <w:divId w:val="1999336235"/>
        <w:rPr>
          <w:rFonts w:eastAsia="Times New Roman"/>
        </w:rPr>
      </w:pPr>
      <w:r>
        <w:rPr>
          <w:rFonts w:eastAsia="Times New Roman"/>
          <w:i/>
          <w:iCs/>
          <w:color w:val="000000"/>
          <w:sz w:val="20"/>
          <w:szCs w:val="20"/>
          <w:u w:val="single"/>
        </w:rPr>
        <w:t>Heal</w:t>
      </w:r>
      <w:r>
        <w:rPr>
          <w:rFonts w:eastAsia="Times New Roman"/>
          <w:i/>
          <w:iCs/>
          <w:color w:val="000000"/>
          <w:sz w:val="20"/>
          <w:szCs w:val="20"/>
          <w:u w:val="single"/>
        </w:rPr>
        <w:t>th and Family Resources</w:t>
      </w:r>
    </w:p>
    <w:p w:rsidR="00000000" w:rsidRDefault="005B0BC3">
      <w:pPr>
        <w:jc w:val="center"/>
        <w:divId w:val="1777823739"/>
        <w:rPr>
          <w:rFonts w:eastAsia="Times New Roman"/>
        </w:rPr>
      </w:pPr>
      <w:r>
        <w:rPr>
          <w:rFonts w:eastAsia="Times New Roman"/>
          <w:color w:val="000000"/>
          <w:sz w:val="20"/>
          <w:szCs w:val="20"/>
        </w:rPr>
        <w:t>50</w:t>
      </w:r>
    </w:p>
    <w:p w:rsidR="00000000" w:rsidRDefault="005B0BC3">
      <w:pPr>
        <w:rPr>
          <w:rFonts w:eastAsia="Times New Roman"/>
        </w:rPr>
      </w:pPr>
      <w:r>
        <w:rPr>
          <w:rFonts w:eastAsia="Times New Roman"/>
        </w:rPr>
        <w:pict>
          <v:rect id="_x0000_i1087" style="width:0;height:1.5pt" o:hralign="center" o:hrstd="t" o:hr="t" fillcolor="#a0a0a0" stroked="f"/>
        </w:pict>
      </w:r>
    </w:p>
    <w:p w:rsidR="00000000" w:rsidRDefault="005B0BC3">
      <w:pPr>
        <w:divId w:val="655063231"/>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ind w:firstLine="360"/>
        <w:divId w:val="73476342"/>
        <w:rPr>
          <w:rFonts w:eastAsia="Times New Roman"/>
        </w:rPr>
      </w:pPr>
      <w:r>
        <w:rPr>
          <w:rFonts w:eastAsia="Times New Roman"/>
          <w:color w:val="000000"/>
          <w:sz w:val="20"/>
          <w:szCs w:val="20"/>
        </w:rPr>
        <w:t>We are committed to the health and safety of our employees, financial professionals and their families. With respe</w:t>
      </w:r>
      <w:r>
        <w:rPr>
          <w:rFonts w:eastAsia="Times New Roman"/>
          <w:color w:val="000000"/>
          <w:sz w:val="20"/>
          <w:szCs w:val="20"/>
        </w:rPr>
        <w:t xml:space="preserve">ct to COVID-19, since the onset of the pandemic, we have been working with employees to provide as much flexibility as possible. All of our locations are open at this time but, with the exception of those considered essential, employees have the option to </w:t>
      </w:r>
      <w:r>
        <w:rPr>
          <w:rFonts w:eastAsia="Times New Roman"/>
          <w:color w:val="000000"/>
          <w:sz w:val="20"/>
          <w:szCs w:val="20"/>
        </w:rPr>
        <w:t>work remotely or from the office. A large number of our employees and financial professionals continue to work remotely. We continue to monitor the health and safety conditions of all of our corporate locations, and use guidance provided by the CDC to crea</w:t>
      </w:r>
      <w:r>
        <w:rPr>
          <w:rFonts w:eastAsia="Times New Roman"/>
          <w:color w:val="000000"/>
          <w:sz w:val="20"/>
          <w:szCs w:val="20"/>
        </w:rPr>
        <w:t xml:space="preserve">te policies and practices to ensure the safety of our people as we move through the pandemic, including re-entering the workplace, travel, in-person meeting, encouraging vaccinations, masking and social distancing. We have enhanced our listening strategy, </w:t>
      </w:r>
      <w:r>
        <w:rPr>
          <w:rFonts w:eastAsia="Times New Roman"/>
          <w:color w:val="000000"/>
          <w:sz w:val="20"/>
          <w:szCs w:val="20"/>
        </w:rPr>
        <w:t>broadened our benefits offerings, and developed a synchronized hybrid work model which will be fully implemented when all employees return to work from our office. We also created a centralized location to share the latest updates on health and safety with</w:t>
      </w:r>
      <w:r>
        <w:rPr>
          <w:rFonts w:eastAsia="Times New Roman"/>
          <w:color w:val="000000"/>
          <w:sz w:val="20"/>
          <w:szCs w:val="20"/>
        </w:rPr>
        <w:t xml:space="preserve"> our employees and financial professionals, and our Chief Medical Director hosted a series of videos that provided COVID updates and answered employees’ questions. We opened a COVID-19 specific hotline with our expert second medical opinion service provide</w:t>
      </w:r>
      <w:r>
        <w:rPr>
          <w:rFonts w:eastAsia="Times New Roman"/>
          <w:color w:val="000000"/>
          <w:sz w:val="20"/>
          <w:szCs w:val="20"/>
        </w:rPr>
        <w:t xml:space="preserve">r to intake health questions and provide local referrals for Equitable employees, financial professionals and family members. </w:t>
      </w:r>
    </w:p>
    <w:p w:rsidR="00000000" w:rsidRDefault="005B0BC3">
      <w:pPr>
        <w:ind w:firstLine="360"/>
        <w:divId w:val="1881354737"/>
        <w:rPr>
          <w:rFonts w:eastAsia="Times New Roman"/>
        </w:rPr>
      </w:pPr>
      <w:r>
        <w:rPr>
          <w:rFonts w:eastAsia="Times New Roman"/>
          <w:color w:val="000000"/>
          <w:sz w:val="20"/>
          <w:szCs w:val="20"/>
        </w:rPr>
        <w:t>We offered complimentary membership to an online tutoring service during the school year and hosted a series of interactive emplo</w:t>
      </w:r>
      <w:r>
        <w:rPr>
          <w:rFonts w:eastAsia="Times New Roman"/>
          <w:color w:val="000000"/>
          <w:sz w:val="20"/>
          <w:szCs w:val="20"/>
        </w:rPr>
        <w:t>yee engagement activities to create connections, support our culture and combat burnout associated with the virtual working environment. We also provide resources to support employees in their family life, including child and elder care support through Bri</w:t>
      </w:r>
      <w:r>
        <w:rPr>
          <w:rFonts w:eastAsia="Times New Roman"/>
          <w:color w:val="000000"/>
          <w:sz w:val="20"/>
          <w:szCs w:val="20"/>
        </w:rPr>
        <w:t>ght Horizons, College Coach, financial wellness, adoption support, family and medical leave and paid parental leave of between 8 and 16 weeks. We also introduced Sanvello, an app for stress, anxiety, and depression based on cognitive-behavioral therapy, mi</w:t>
      </w:r>
      <w:r>
        <w:rPr>
          <w:rFonts w:eastAsia="Times New Roman"/>
          <w:color w:val="000000"/>
          <w:sz w:val="20"/>
          <w:szCs w:val="20"/>
        </w:rPr>
        <w:t>ndfulness, and wellness. Our Employee Assistance Program provides resources to help employees overcome challenges at home or at work and help them reach their professional and personal goals. This includes six complimentary confidential counseling sessions</w:t>
      </w:r>
      <w:r>
        <w:rPr>
          <w:rFonts w:eastAsia="Times New Roman"/>
          <w:color w:val="000000"/>
          <w:sz w:val="20"/>
          <w:szCs w:val="20"/>
        </w:rPr>
        <w:t xml:space="preserve"> annually.</w:t>
      </w:r>
    </w:p>
    <w:p w:rsidR="00000000" w:rsidRDefault="005B0BC3">
      <w:pPr>
        <w:divId w:val="2002539743"/>
        <w:rPr>
          <w:rFonts w:eastAsia="Times New Roman"/>
        </w:rPr>
      </w:pPr>
    </w:p>
    <w:p w:rsidR="00000000" w:rsidRDefault="005B0BC3">
      <w:pPr>
        <w:jc w:val="both"/>
        <w:divId w:val="2116292539"/>
        <w:rPr>
          <w:rFonts w:eastAsia="Times New Roman"/>
        </w:rPr>
      </w:pPr>
      <w:r>
        <w:rPr>
          <w:rFonts w:eastAsia="Times New Roman"/>
          <w:i/>
          <w:iCs/>
          <w:color w:val="000000"/>
          <w:sz w:val="20"/>
          <w:szCs w:val="20"/>
          <w:u w:val="single"/>
        </w:rPr>
        <w:t>Compensation</w:t>
      </w:r>
    </w:p>
    <w:p w:rsidR="00000000" w:rsidRDefault="005B0BC3">
      <w:pPr>
        <w:ind w:firstLine="360"/>
        <w:divId w:val="360478258"/>
        <w:rPr>
          <w:rFonts w:eastAsia="Times New Roman"/>
        </w:rPr>
      </w:pPr>
      <w:r>
        <w:rPr>
          <w:rFonts w:eastAsia="Times New Roman"/>
          <w:color w:val="000000"/>
          <w:sz w:val="20"/>
          <w:szCs w:val="20"/>
        </w:rPr>
        <w:t>Rewarding performance is the cornerstone of our “Total Rewards” program. Total Rewards include access to comprehensive benefits programs and the opportunity to share in company results through equity awards. Our benefits portfolio</w:t>
      </w:r>
      <w:r>
        <w:rPr>
          <w:rFonts w:eastAsia="Times New Roman"/>
          <w:color w:val="000000"/>
          <w:sz w:val="20"/>
          <w:szCs w:val="20"/>
        </w:rPr>
        <w:t xml:space="preserve"> allows eligible employees and financial professionals to elect the right coverage for health needs, to build their wealth and to provide protection for themselves and their families from the unexpected events that might occur along the way. Our Total Rewa</w:t>
      </w:r>
      <w:r>
        <w:rPr>
          <w:rFonts w:eastAsia="Times New Roman"/>
          <w:color w:val="000000"/>
          <w:sz w:val="20"/>
          <w:szCs w:val="20"/>
        </w:rPr>
        <w:t>rds package includes, among other things, market-competitive pay, equity award programs and bonuses, healthcare benefits, retirement savings plans, paid time off and family leave, flexible work schedules, an educational assistance program and an employee a</w:t>
      </w:r>
      <w:r>
        <w:rPr>
          <w:rFonts w:eastAsia="Times New Roman"/>
          <w:color w:val="000000"/>
          <w:sz w:val="20"/>
          <w:szCs w:val="20"/>
        </w:rPr>
        <w:t>ssistance program and other mental health services.</w:t>
      </w:r>
    </w:p>
    <w:p w:rsidR="00000000" w:rsidRDefault="005B0BC3">
      <w:pPr>
        <w:divId w:val="278342480"/>
        <w:rPr>
          <w:rFonts w:eastAsia="Times New Roman"/>
        </w:rPr>
      </w:pPr>
    </w:p>
    <w:p w:rsidR="00000000" w:rsidRDefault="005B0BC3">
      <w:pPr>
        <w:jc w:val="both"/>
        <w:divId w:val="528640380"/>
        <w:rPr>
          <w:rFonts w:eastAsia="Times New Roman"/>
        </w:rPr>
      </w:pPr>
      <w:r>
        <w:rPr>
          <w:rFonts w:eastAsia="Times New Roman"/>
          <w:i/>
          <w:iCs/>
          <w:color w:val="000000"/>
          <w:sz w:val="20"/>
          <w:szCs w:val="20"/>
          <w:u w:val="single"/>
        </w:rPr>
        <w:t>Diversity, Equity and Inclusion</w:t>
      </w:r>
    </w:p>
    <w:p w:rsidR="00000000" w:rsidRDefault="005B0BC3">
      <w:pPr>
        <w:ind w:firstLine="360"/>
        <w:divId w:val="1716196285"/>
        <w:rPr>
          <w:rFonts w:eastAsia="Times New Roman"/>
        </w:rPr>
      </w:pPr>
      <w:r>
        <w:rPr>
          <w:rFonts w:eastAsia="Times New Roman"/>
          <w:color w:val="000000"/>
          <w:sz w:val="20"/>
          <w:szCs w:val="20"/>
        </w:rPr>
        <w:t>We believe a more diverse workforce enriches our people’s work experience, helps us better serve clients, and creates a more understanding and inclusive work environment.</w:t>
      </w:r>
      <w:r>
        <w:rPr>
          <w:rFonts w:eastAsia="Times New Roman"/>
          <w:color w:val="000000"/>
          <w:sz w:val="20"/>
          <w:szCs w:val="20"/>
        </w:rPr>
        <w:t xml:space="preserve"> To drive lasting change, we must deeply understand the issues facing the diverse communities in our company. We are taking an intentional and iterative approach to diversity, equity and inclusion (DEI), listening and applying our learnings as we go.</w:t>
      </w:r>
    </w:p>
    <w:p w:rsidR="00000000" w:rsidRDefault="005B0BC3">
      <w:pPr>
        <w:ind w:firstLine="360"/>
        <w:divId w:val="1332374999"/>
        <w:rPr>
          <w:rFonts w:eastAsia="Times New Roman"/>
        </w:rPr>
      </w:pPr>
      <w:r>
        <w:rPr>
          <w:rFonts w:eastAsia="Times New Roman"/>
          <w:color w:val="000000"/>
          <w:sz w:val="20"/>
          <w:szCs w:val="20"/>
        </w:rPr>
        <w:t>To bu</w:t>
      </w:r>
      <w:r>
        <w:rPr>
          <w:rFonts w:eastAsia="Times New Roman"/>
          <w:color w:val="000000"/>
          <w:sz w:val="20"/>
          <w:szCs w:val="20"/>
        </w:rPr>
        <w:t>ild a more inclusive culture, Equitable has developed integrated programs through keynote speakers, events and learning experiences. This effort helps reset behavioral expectations and understanding of DEI-related matters in the workplace. With our courage</w:t>
      </w:r>
      <w:r>
        <w:rPr>
          <w:rFonts w:eastAsia="Times New Roman"/>
          <w:color w:val="000000"/>
          <w:sz w:val="20"/>
          <w:szCs w:val="20"/>
        </w:rPr>
        <w:t>ous conversations, we now have a model where we can talk about race, gender and other topics to support both personal growth and team building. We have hosted conversations about race and racism in America, violence against the Asian American and Pacific I</w:t>
      </w:r>
      <w:r>
        <w:rPr>
          <w:rFonts w:eastAsia="Times New Roman"/>
          <w:color w:val="000000"/>
          <w:sz w:val="20"/>
          <w:szCs w:val="20"/>
        </w:rPr>
        <w:t>slander (AAPI) community and issues facing our LGBTQ+ colleagues, and have forthcoming conversations planned regarding religious tolerance.</w:t>
      </w:r>
    </w:p>
    <w:p w:rsidR="00000000" w:rsidRDefault="005B0BC3">
      <w:pPr>
        <w:ind w:firstLine="360"/>
        <w:divId w:val="1930583291"/>
        <w:rPr>
          <w:rFonts w:eastAsia="Times New Roman"/>
        </w:rPr>
      </w:pPr>
      <w:r>
        <w:rPr>
          <w:rFonts w:eastAsia="Times New Roman"/>
          <w:color w:val="000000"/>
          <w:sz w:val="20"/>
          <w:szCs w:val="20"/>
        </w:rPr>
        <w:t xml:space="preserve">We are committed to transparency when it comes to sharing the diverse composition of our workforce. This commitment </w:t>
      </w:r>
      <w:r>
        <w:rPr>
          <w:rFonts w:eastAsia="Times New Roman"/>
          <w:color w:val="000000"/>
          <w:sz w:val="20"/>
          <w:szCs w:val="20"/>
        </w:rPr>
        <w:t>is underscored by the public release of Equitable Holdings' EEO-1 Report. We have multiple programs underway to increase employee and financial professional diverse representation. We are focused on creating a support structure to accelerate career advance</w:t>
      </w:r>
      <w:r>
        <w:rPr>
          <w:rFonts w:eastAsia="Times New Roman"/>
          <w:color w:val="000000"/>
          <w:sz w:val="20"/>
          <w:szCs w:val="20"/>
        </w:rPr>
        <w:t xml:space="preserve">ment opportunities for our diverse colleagues. To do this, we identify opportunities and challenges and create programs to help our underrepresented communities overcome barriers. </w:t>
      </w:r>
    </w:p>
    <w:p w:rsidR="00000000" w:rsidRDefault="005B0BC3">
      <w:pPr>
        <w:ind w:firstLine="360"/>
        <w:divId w:val="588468757"/>
        <w:rPr>
          <w:rFonts w:eastAsia="Times New Roman"/>
        </w:rPr>
      </w:pPr>
    </w:p>
    <w:p w:rsidR="00000000" w:rsidRDefault="005B0BC3">
      <w:pPr>
        <w:jc w:val="center"/>
        <w:divId w:val="483551886"/>
        <w:rPr>
          <w:rFonts w:eastAsia="Times New Roman"/>
        </w:rPr>
      </w:pPr>
      <w:r>
        <w:rPr>
          <w:rFonts w:eastAsia="Times New Roman"/>
          <w:color w:val="000000"/>
          <w:sz w:val="20"/>
          <w:szCs w:val="20"/>
        </w:rPr>
        <w:t>51</w:t>
      </w:r>
    </w:p>
    <w:p w:rsidR="00000000" w:rsidRDefault="005B0BC3">
      <w:pPr>
        <w:rPr>
          <w:rFonts w:eastAsia="Times New Roman"/>
        </w:rPr>
      </w:pPr>
      <w:r>
        <w:rPr>
          <w:rFonts w:eastAsia="Times New Roman"/>
        </w:rPr>
        <w:pict>
          <v:rect id="_x0000_i1088" style="width:0;height:1.5pt" o:hralign="center" o:hrstd="t" o:hr="t" fillcolor="#a0a0a0" stroked="f"/>
        </w:pict>
      </w:r>
    </w:p>
    <w:p w:rsidR="00000000" w:rsidRDefault="005B0BC3">
      <w:pPr>
        <w:divId w:val="1075205077"/>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ind w:firstLine="360"/>
        <w:divId w:val="1465461393"/>
        <w:rPr>
          <w:rFonts w:eastAsia="Times New Roman"/>
        </w:rPr>
      </w:pPr>
      <w:r>
        <w:rPr>
          <w:rFonts w:eastAsia="Times New Roman"/>
          <w:color w:val="000000"/>
          <w:sz w:val="20"/>
          <w:szCs w:val="20"/>
        </w:rPr>
        <w:t>Our 11 Employee Resource Groups and 5 Field Advisory Councils play a key role in serving as a community voice to leadership, driving important policy changes and helping to build and shape our DEI strategy. They also create development opportunities for ou</w:t>
      </w:r>
      <w:r>
        <w:rPr>
          <w:rFonts w:eastAsia="Times New Roman"/>
          <w:color w:val="000000"/>
          <w:sz w:val="20"/>
          <w:szCs w:val="20"/>
        </w:rPr>
        <w:t>r people, with members working collaboratively to address business challenges and share ideas.</w:t>
      </w:r>
    </w:p>
    <w:p w:rsidR="00000000" w:rsidRDefault="005B0BC3">
      <w:pPr>
        <w:ind w:firstLine="360"/>
        <w:divId w:val="402719093"/>
        <w:rPr>
          <w:rFonts w:eastAsia="Times New Roman"/>
        </w:rPr>
      </w:pPr>
      <w:r>
        <w:rPr>
          <w:rFonts w:eastAsia="Times New Roman"/>
          <w:color w:val="000000"/>
          <w:sz w:val="20"/>
          <w:szCs w:val="20"/>
        </w:rPr>
        <w:t>In 2020, we established the CEO Taskforce to Advance Racial Equity. The mission of the Taskforce is to make Equitable the most sought-after employer for Black pr</w:t>
      </w:r>
      <w:r>
        <w:rPr>
          <w:rFonts w:eastAsia="Times New Roman"/>
          <w:color w:val="000000"/>
          <w:sz w:val="20"/>
          <w:szCs w:val="20"/>
        </w:rPr>
        <w:t>ofessionals by building an environment that supports and invests in the careers and well-being of our Black employees and financial professionals. While the Taskforce is currently focused on Black colleagues, the models created are being used to benefit ot</w:t>
      </w:r>
      <w:r>
        <w:rPr>
          <w:rFonts w:eastAsia="Times New Roman"/>
          <w:color w:val="000000"/>
          <w:sz w:val="20"/>
          <w:szCs w:val="20"/>
        </w:rPr>
        <w:t>her underrepresented groups.</w:t>
      </w:r>
    </w:p>
    <w:p w:rsidR="00000000" w:rsidRDefault="005B0BC3">
      <w:pPr>
        <w:ind w:firstLine="360"/>
        <w:divId w:val="1645353186"/>
        <w:rPr>
          <w:rFonts w:eastAsia="Times New Roman"/>
        </w:rPr>
      </w:pPr>
      <w:r>
        <w:rPr>
          <w:rFonts w:eastAsia="Times New Roman"/>
          <w:color w:val="000000"/>
          <w:sz w:val="20"/>
          <w:szCs w:val="20"/>
        </w:rPr>
        <w:t xml:space="preserve">We're holding ourselves accountable by leveraging our compensation and rewards systems to drive our DE&amp;I goals. Today, DE&amp;I is incorporated into our company STIC metrics through our corporate strategic initiatives, and each of </w:t>
      </w:r>
      <w:r>
        <w:rPr>
          <w:rFonts w:eastAsia="Times New Roman"/>
          <w:color w:val="000000"/>
          <w:sz w:val="20"/>
          <w:szCs w:val="20"/>
        </w:rPr>
        <w:t xml:space="preserve">our senior leaders have incorporated DE&amp;I aspirations into their annual goals. For Equitable Advisors, a portion of Executive Vice President compensation is tied to advancing diverse representation. </w:t>
      </w:r>
    </w:p>
    <w:p w:rsidR="00000000" w:rsidRDefault="005B0BC3">
      <w:pPr>
        <w:ind w:firstLine="360"/>
        <w:divId w:val="382289613"/>
        <w:rPr>
          <w:rFonts w:eastAsia="Times New Roman"/>
        </w:rPr>
      </w:pPr>
      <w:r>
        <w:rPr>
          <w:rFonts w:eastAsia="Times New Roman"/>
          <w:color w:val="000000"/>
          <w:sz w:val="20"/>
          <w:szCs w:val="20"/>
        </w:rPr>
        <w:t>While we have made progress, we recognize this is long-t</w:t>
      </w:r>
      <w:r>
        <w:rPr>
          <w:rFonts w:eastAsia="Times New Roman"/>
          <w:color w:val="000000"/>
          <w:sz w:val="20"/>
          <w:szCs w:val="20"/>
        </w:rPr>
        <w:t>erm journey.</w:t>
      </w:r>
    </w:p>
    <w:p w:rsidR="00000000" w:rsidRDefault="005B0BC3">
      <w:pPr>
        <w:jc w:val="both"/>
        <w:rPr>
          <w:rFonts w:eastAsia="Times New Roman"/>
        </w:rPr>
      </w:pPr>
    </w:p>
    <w:p w:rsidR="00000000" w:rsidRDefault="005B0BC3">
      <w:pPr>
        <w:jc w:val="both"/>
        <w:divId w:val="1288126005"/>
        <w:rPr>
          <w:rFonts w:eastAsia="Times New Roman"/>
        </w:rPr>
      </w:pPr>
      <w:r>
        <w:rPr>
          <w:rFonts w:eastAsia="Times New Roman"/>
          <w:i/>
          <w:iCs/>
          <w:color w:val="000000"/>
          <w:sz w:val="20"/>
          <w:szCs w:val="20"/>
          <w:u w:val="single"/>
        </w:rPr>
        <w:t>Equitable Foundation</w:t>
      </w:r>
    </w:p>
    <w:p w:rsidR="00000000" w:rsidRDefault="005B0BC3">
      <w:pPr>
        <w:ind w:firstLine="360"/>
        <w:divId w:val="478888498"/>
        <w:rPr>
          <w:rFonts w:eastAsia="Times New Roman"/>
        </w:rPr>
      </w:pPr>
      <w:r>
        <w:rPr>
          <w:rFonts w:eastAsia="Times New Roman"/>
          <w:color w:val="000000"/>
          <w:sz w:val="20"/>
          <w:szCs w:val="20"/>
        </w:rPr>
        <w:t>The Equitable Foundation directs the Company’s philanthropic and volunteer activities. The Equitable Foundation gives our employees and financial professionals an opportunity to commit their time and effort to organizati</w:t>
      </w:r>
      <w:r>
        <w:rPr>
          <w:rFonts w:eastAsia="Times New Roman"/>
          <w:color w:val="000000"/>
          <w:sz w:val="20"/>
          <w:szCs w:val="20"/>
        </w:rPr>
        <w:t>ons they believe in, as well as supports their efforts through charitable grants and through our company volunteer program, Equitable in Action.</w:t>
      </w:r>
    </w:p>
    <w:p w:rsidR="00000000" w:rsidRDefault="005B0BC3">
      <w:pPr>
        <w:ind w:firstLine="360"/>
        <w:divId w:val="589655239"/>
        <w:rPr>
          <w:rFonts w:eastAsia="Times New Roman"/>
        </w:rPr>
      </w:pPr>
      <w:r>
        <w:rPr>
          <w:rFonts w:eastAsia="Times New Roman"/>
          <w:color w:val="000000"/>
          <w:sz w:val="20"/>
          <w:szCs w:val="20"/>
        </w:rPr>
        <w:t>Equitable Foundation has established three key focus areas to guide our social impact efforts, which reflect ou</w:t>
      </w:r>
      <w:r>
        <w:rPr>
          <w:rFonts w:eastAsia="Times New Roman"/>
          <w:color w:val="000000"/>
          <w:sz w:val="20"/>
          <w:szCs w:val="20"/>
        </w:rPr>
        <w:t>r broader ESG aspirations and align to enterprise objectives. These areas include: i) advancing racial equity and social justice, ii) building healthy and vibrant communities, and iii) supporting underserved students in the journey to and through secondary</w:t>
      </w:r>
      <w:r>
        <w:rPr>
          <w:rFonts w:eastAsia="Times New Roman"/>
          <w:color w:val="000000"/>
          <w:sz w:val="20"/>
          <w:szCs w:val="20"/>
        </w:rPr>
        <w:t xml:space="preserve"> education and, ultimately, advancing their career aspirations.</w:t>
      </w:r>
    </w:p>
    <w:p w:rsidR="00000000" w:rsidRDefault="005B0BC3">
      <w:pPr>
        <w:ind w:firstLine="360"/>
        <w:divId w:val="977538797"/>
        <w:rPr>
          <w:rFonts w:eastAsia="Times New Roman"/>
        </w:rPr>
      </w:pPr>
      <w:r>
        <w:rPr>
          <w:rFonts w:eastAsia="Times New Roman"/>
          <w:color w:val="000000"/>
          <w:sz w:val="20"/>
          <w:szCs w:val="20"/>
        </w:rPr>
        <w:t>Equitable Excellence, a scholarship program for high school seniors, is the flagship program of Equitable Foundation. In alignment with Equitable’s own mission of helping people achieve financ</w:t>
      </w:r>
      <w:r>
        <w:rPr>
          <w:rFonts w:eastAsia="Times New Roman"/>
          <w:color w:val="000000"/>
          <w:sz w:val="20"/>
          <w:szCs w:val="20"/>
        </w:rPr>
        <w:t>ial security so that they can face the future with confidence, the Equitable Excellence Scholarship places an emphasis on empowering students’ future plans so that they can continue to have positive impacts in their community.</w:t>
      </w:r>
    </w:p>
    <w:p w:rsidR="00000000" w:rsidRDefault="005B0BC3">
      <w:pPr>
        <w:ind w:firstLine="360"/>
        <w:divId w:val="417949218"/>
        <w:rPr>
          <w:rFonts w:eastAsia="Times New Roman"/>
        </w:rPr>
      </w:pPr>
      <w:r>
        <w:rPr>
          <w:rFonts w:eastAsia="Times New Roman"/>
          <w:color w:val="000000"/>
          <w:sz w:val="20"/>
          <w:szCs w:val="20"/>
        </w:rPr>
        <w:t>Through our matching gifts pr</w:t>
      </w:r>
      <w:r>
        <w:rPr>
          <w:rFonts w:eastAsia="Times New Roman"/>
          <w:color w:val="000000"/>
          <w:sz w:val="20"/>
          <w:szCs w:val="20"/>
        </w:rPr>
        <w:t>ogram, we double the impact of the charitable contributions made by our employees and financial professionals. Eligible donations of $50 or more are matched up to $2,000 per year, per individual. In 2021, Equitable Foundation matched $1.3 million in contri</w:t>
      </w:r>
      <w:r>
        <w:rPr>
          <w:rFonts w:eastAsia="Times New Roman"/>
          <w:color w:val="000000"/>
          <w:sz w:val="20"/>
          <w:szCs w:val="20"/>
        </w:rPr>
        <w:t xml:space="preserve">butions made to nonprofit organizations nationwide. </w:t>
      </w:r>
    </w:p>
    <w:p w:rsidR="00000000" w:rsidRDefault="005B0BC3">
      <w:pPr>
        <w:jc w:val="both"/>
        <w:divId w:val="1508246695"/>
        <w:rPr>
          <w:rFonts w:eastAsia="Times New Roman"/>
        </w:rPr>
      </w:pPr>
      <w:r>
        <w:rPr>
          <w:rFonts w:eastAsia="Times New Roman"/>
          <w:b/>
          <w:bCs/>
          <w:i/>
          <w:iCs/>
          <w:color w:val="000000"/>
          <w:sz w:val="20"/>
          <w:szCs w:val="20"/>
        </w:rPr>
        <w:t>AllianceBernstein</w:t>
      </w:r>
    </w:p>
    <w:p w:rsidR="00000000" w:rsidRDefault="005B0BC3">
      <w:pPr>
        <w:ind w:firstLine="360"/>
        <w:divId w:val="341472657"/>
        <w:rPr>
          <w:rFonts w:eastAsia="Times New Roman"/>
        </w:rPr>
      </w:pPr>
      <w:r>
        <w:rPr>
          <w:rFonts w:eastAsia="Times New Roman"/>
          <w:color w:val="000000"/>
          <w:sz w:val="20"/>
          <w:szCs w:val="20"/>
        </w:rPr>
        <w:t>As a leading global investment-management and research firm, AB brings together a wide range of insights, expertise and innovations to advance the interests of clients around the world.</w:t>
      </w:r>
      <w:r>
        <w:rPr>
          <w:rFonts w:eastAsia="Times New Roman"/>
          <w:color w:val="000000"/>
          <w:sz w:val="20"/>
          <w:szCs w:val="20"/>
        </w:rPr>
        <w:t xml:space="preserve"> The intellectual capital of AB’s employees is collectively its most important asset, so the long-term sustainability of AB is heavily dependent on its people. AB is keenly focused on: </w:t>
      </w:r>
    </w:p>
    <w:p w:rsidR="00000000" w:rsidRDefault="005B0BC3">
      <w:pPr>
        <w:ind w:hanging="360"/>
        <w:divId w:val="1889032704"/>
        <w:rPr>
          <w:rFonts w:eastAsia="Times New Roman"/>
        </w:rPr>
      </w:pPr>
      <w:r>
        <w:rPr>
          <w:rFonts w:eastAsia="Times New Roman"/>
          <w:color w:val="000000"/>
          <w:sz w:val="20"/>
          <w:szCs w:val="20"/>
        </w:rPr>
        <w:t>•fostering an inclusive culture by incorporating diversity and inclusi</w:t>
      </w:r>
      <w:r>
        <w:rPr>
          <w:rFonts w:eastAsia="Times New Roman"/>
          <w:color w:val="000000"/>
          <w:sz w:val="20"/>
          <w:szCs w:val="20"/>
        </w:rPr>
        <w:t xml:space="preserve">on in all levels of AB’s business; </w:t>
      </w:r>
    </w:p>
    <w:p w:rsidR="00000000" w:rsidRDefault="005B0BC3">
      <w:pPr>
        <w:ind w:hanging="360"/>
        <w:divId w:val="1112281447"/>
        <w:rPr>
          <w:rFonts w:eastAsia="Times New Roman"/>
        </w:rPr>
      </w:pPr>
      <w:r>
        <w:rPr>
          <w:rFonts w:eastAsia="Times New Roman"/>
          <w:color w:val="000000"/>
          <w:sz w:val="20"/>
          <w:szCs w:val="20"/>
        </w:rPr>
        <w:t xml:space="preserve">•encouraging innovation; </w:t>
      </w:r>
    </w:p>
    <w:p w:rsidR="00000000" w:rsidRDefault="005B0BC3">
      <w:pPr>
        <w:ind w:hanging="360"/>
        <w:divId w:val="714890954"/>
        <w:rPr>
          <w:rFonts w:eastAsia="Times New Roman"/>
        </w:rPr>
      </w:pPr>
      <w:r>
        <w:rPr>
          <w:rFonts w:eastAsia="Times New Roman"/>
          <w:color w:val="000000"/>
          <w:sz w:val="20"/>
          <w:szCs w:val="20"/>
        </w:rPr>
        <w:t>•developing, retaining and recruiting high quality talent; and</w:t>
      </w:r>
    </w:p>
    <w:p w:rsidR="00000000" w:rsidRDefault="005B0BC3">
      <w:pPr>
        <w:ind w:hanging="360"/>
        <w:divId w:val="334303956"/>
        <w:rPr>
          <w:rFonts w:eastAsia="Times New Roman"/>
        </w:rPr>
      </w:pPr>
      <w:r>
        <w:rPr>
          <w:rFonts w:eastAsia="Times New Roman"/>
          <w:color w:val="000000"/>
          <w:sz w:val="20"/>
          <w:szCs w:val="20"/>
        </w:rPr>
        <w:t>•aligning employees’ incentives and risk taking with those of AB.</w:t>
      </w:r>
    </w:p>
    <w:p w:rsidR="00000000" w:rsidRDefault="005B0BC3">
      <w:pPr>
        <w:divId w:val="1428430450"/>
        <w:rPr>
          <w:rFonts w:eastAsia="Times New Roman"/>
        </w:rPr>
      </w:pPr>
    </w:p>
    <w:p w:rsidR="00000000" w:rsidRDefault="005B0BC3">
      <w:pPr>
        <w:jc w:val="both"/>
        <w:divId w:val="223178585"/>
        <w:rPr>
          <w:rFonts w:eastAsia="Times New Roman"/>
        </w:rPr>
      </w:pPr>
      <w:r>
        <w:rPr>
          <w:rFonts w:eastAsia="Times New Roman"/>
          <w:i/>
          <w:iCs/>
          <w:color w:val="000000"/>
          <w:sz w:val="20"/>
          <w:szCs w:val="20"/>
          <w:u w:val="single"/>
        </w:rPr>
        <w:t>Talent Acquisition</w:t>
      </w:r>
    </w:p>
    <w:p w:rsidR="00000000" w:rsidRDefault="005B0BC3">
      <w:pPr>
        <w:ind w:firstLine="360"/>
        <w:divId w:val="1480879151"/>
        <w:rPr>
          <w:rFonts w:eastAsia="Times New Roman"/>
        </w:rPr>
      </w:pPr>
      <w:r>
        <w:rPr>
          <w:rFonts w:eastAsia="Times New Roman"/>
          <w:color w:val="000000"/>
          <w:sz w:val="20"/>
          <w:szCs w:val="20"/>
        </w:rPr>
        <w:t>AB seeks to achieve excellence in business a</w:t>
      </w:r>
      <w:r>
        <w:rPr>
          <w:rFonts w:eastAsia="Times New Roman"/>
          <w:color w:val="000000"/>
          <w:sz w:val="20"/>
          <w:szCs w:val="20"/>
        </w:rPr>
        <w:t>nd investment performance by recruiting and hiring a workforce with diversity of thought, backgrounds and experiences. AB believes that diverse and inclusive teams generate better ideas and reach more balanced decisions. AB seeks to leverage the unique bac</w:t>
      </w:r>
      <w:r>
        <w:rPr>
          <w:rFonts w:eastAsia="Times New Roman"/>
          <w:color w:val="000000"/>
          <w:sz w:val="20"/>
          <w:szCs w:val="20"/>
        </w:rPr>
        <w:t>kgrounds of its employees to meet the needs of a broad range of clients and engage with the communities in which AB operates. AB engages several external organizations to assist in attracting and recruiting top talent at all levels, with a particular focus</w:t>
      </w:r>
      <w:r>
        <w:rPr>
          <w:rFonts w:eastAsia="Times New Roman"/>
          <w:color w:val="000000"/>
          <w:sz w:val="20"/>
          <w:szCs w:val="20"/>
        </w:rPr>
        <w:t xml:space="preserve"> on attracting diverse talent. AB has a sizable group of internal human capital associates focused on recruiting, and AB has implemented various human capital initiatives to develop and provide for a balanced workforce. </w:t>
      </w:r>
    </w:p>
    <w:p w:rsidR="00000000" w:rsidRDefault="005B0BC3">
      <w:pPr>
        <w:jc w:val="both"/>
        <w:divId w:val="2114737634"/>
        <w:rPr>
          <w:rFonts w:eastAsia="Times New Roman"/>
        </w:rPr>
      </w:pPr>
      <w:r>
        <w:rPr>
          <w:rFonts w:eastAsia="Times New Roman"/>
          <w:i/>
          <w:iCs/>
          <w:color w:val="000000"/>
          <w:sz w:val="20"/>
          <w:szCs w:val="20"/>
          <w:u w:val="single"/>
        </w:rPr>
        <w:t>Employee Engagement</w:t>
      </w:r>
    </w:p>
    <w:p w:rsidR="00000000" w:rsidRDefault="005B0BC3">
      <w:pPr>
        <w:jc w:val="center"/>
        <w:divId w:val="1353149279"/>
        <w:rPr>
          <w:rFonts w:eastAsia="Times New Roman"/>
        </w:rPr>
      </w:pPr>
      <w:r>
        <w:rPr>
          <w:rFonts w:eastAsia="Times New Roman"/>
          <w:color w:val="000000"/>
          <w:sz w:val="20"/>
          <w:szCs w:val="20"/>
        </w:rPr>
        <w:t>52</w:t>
      </w:r>
    </w:p>
    <w:p w:rsidR="00000000" w:rsidRDefault="005B0BC3">
      <w:pPr>
        <w:rPr>
          <w:rFonts w:eastAsia="Times New Roman"/>
        </w:rPr>
      </w:pPr>
      <w:r>
        <w:rPr>
          <w:rFonts w:eastAsia="Times New Roman"/>
        </w:rPr>
        <w:pict>
          <v:rect id="_x0000_i1089" style="width:0;height:1.5pt" o:hralign="center" o:hrstd="t" o:hr="t" fillcolor="#a0a0a0" stroked="f"/>
        </w:pict>
      </w:r>
    </w:p>
    <w:p w:rsidR="00000000" w:rsidRDefault="005B0BC3">
      <w:pPr>
        <w:divId w:val="1500610203"/>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ind w:firstLine="360"/>
        <w:divId w:val="1766153327"/>
        <w:rPr>
          <w:rFonts w:eastAsia="Times New Roman"/>
        </w:rPr>
      </w:pPr>
      <w:r>
        <w:rPr>
          <w:rFonts w:eastAsia="Times New Roman"/>
          <w:color w:val="000000"/>
          <w:sz w:val="20"/>
          <w:szCs w:val="20"/>
        </w:rPr>
        <w:t>AB believes a workforce is most productive, effective and highly engaged when they feel connected to AB’s business and culture. AB seeks to provide divers</w:t>
      </w:r>
      <w:r>
        <w:rPr>
          <w:rFonts w:eastAsia="Times New Roman"/>
          <w:color w:val="000000"/>
          <w:sz w:val="20"/>
          <w:szCs w:val="20"/>
        </w:rPr>
        <w:t>e work experiences, professional development opportunities, competitive compensation and benefits, an inclusive and diverse culture and social engagement projects to keep its employees motivated, connected to AB and engaged throughout their careers. AB str</w:t>
      </w:r>
      <w:r>
        <w:rPr>
          <w:rFonts w:eastAsia="Times New Roman"/>
          <w:color w:val="000000"/>
          <w:sz w:val="20"/>
          <w:szCs w:val="20"/>
        </w:rPr>
        <w:t>ives to create a culture of intellectual curiosity and collaboration, creating an environment where its employees can thrive and do their best work. AB fosters growth and advancement through different training avenues to develop skill sets, create opportun</w:t>
      </w:r>
      <w:r>
        <w:rPr>
          <w:rFonts w:eastAsia="Times New Roman"/>
          <w:color w:val="000000"/>
          <w:sz w:val="20"/>
          <w:szCs w:val="20"/>
        </w:rPr>
        <w:t>ities for networking, both internally and externally, and AB encourages internal mobility as a part of its employees' career trajectory. It is important that AB’s employees are not only connected to AB’s business but also to the communities in which AB ope</w:t>
      </w:r>
      <w:r>
        <w:rPr>
          <w:rFonts w:eastAsia="Times New Roman"/>
          <w:color w:val="000000"/>
          <w:sz w:val="20"/>
          <w:szCs w:val="20"/>
        </w:rPr>
        <w:t xml:space="preserve">rates. As such, AB offers many opportunities for its employees to volunteer in the communities in which AB serves. </w:t>
      </w:r>
    </w:p>
    <w:p w:rsidR="00000000" w:rsidRDefault="005B0BC3">
      <w:pPr>
        <w:jc w:val="both"/>
        <w:divId w:val="569728709"/>
        <w:rPr>
          <w:rFonts w:eastAsia="Times New Roman"/>
        </w:rPr>
      </w:pPr>
      <w:r>
        <w:rPr>
          <w:rFonts w:eastAsia="Times New Roman"/>
          <w:i/>
          <w:iCs/>
          <w:color w:val="000000"/>
          <w:sz w:val="20"/>
          <w:szCs w:val="20"/>
          <w:u w:val="single"/>
        </w:rPr>
        <w:t xml:space="preserve">Diversity and Inclusion </w:t>
      </w:r>
    </w:p>
    <w:p w:rsidR="00000000" w:rsidRDefault="005B0BC3">
      <w:pPr>
        <w:ind w:firstLine="360"/>
        <w:divId w:val="1471706509"/>
        <w:rPr>
          <w:rFonts w:eastAsia="Times New Roman"/>
        </w:rPr>
      </w:pPr>
      <w:r>
        <w:rPr>
          <w:rFonts w:eastAsia="Times New Roman"/>
          <w:color w:val="000000"/>
          <w:sz w:val="20"/>
          <w:szCs w:val="20"/>
        </w:rPr>
        <w:t>AB continues to believe that diverse and inclusive teams generate better ideas and best serve the needs of its clients. The events of the last two years have provided an unforeseen yet unique opportunity to reflect, adapt and broaden AB’s Diversity &amp; Inclu</w:t>
      </w:r>
      <w:r>
        <w:rPr>
          <w:rFonts w:eastAsia="Times New Roman"/>
          <w:color w:val="000000"/>
          <w:sz w:val="20"/>
          <w:szCs w:val="20"/>
        </w:rPr>
        <w:t>sion (“D&amp;I”) strategy. D&amp;I continues to be a key strategic priority for AB and its ongoing commitment to embed it across all facets of the firm has further reinforced AB’s company values. It has also allowed for a more purposeful approach to engagement wit</w:t>
      </w:r>
      <w:r>
        <w:rPr>
          <w:rFonts w:eastAsia="Times New Roman"/>
          <w:color w:val="000000"/>
          <w:sz w:val="20"/>
          <w:szCs w:val="20"/>
        </w:rPr>
        <w:t xml:space="preserve">h AB’s people, clients, and the communities in which it operates. </w:t>
      </w:r>
    </w:p>
    <w:p w:rsidR="00000000" w:rsidRDefault="005B0BC3">
      <w:pPr>
        <w:ind w:firstLine="360"/>
        <w:divId w:val="1556431121"/>
        <w:rPr>
          <w:rFonts w:eastAsia="Times New Roman"/>
        </w:rPr>
      </w:pPr>
      <w:r>
        <w:rPr>
          <w:rFonts w:eastAsia="Times New Roman"/>
          <w:color w:val="000000"/>
          <w:sz w:val="20"/>
          <w:szCs w:val="20"/>
        </w:rPr>
        <w:t xml:space="preserve">Community engagement efforts have been further integrated under the D&amp;I umbrella. Under the new structure, AB is better able to streamline and formalize the process for assessing corporate </w:t>
      </w:r>
      <w:r>
        <w:rPr>
          <w:rFonts w:eastAsia="Times New Roman"/>
          <w:color w:val="000000"/>
          <w:sz w:val="20"/>
          <w:szCs w:val="20"/>
        </w:rPr>
        <w:t xml:space="preserve">partnerships and philanthropic giving through the lens of D&amp;I, allowing for a more cohesive overall strategy. </w:t>
      </w:r>
    </w:p>
    <w:p w:rsidR="00000000" w:rsidRDefault="005B0BC3">
      <w:pPr>
        <w:ind w:firstLine="360"/>
        <w:divId w:val="1098216027"/>
        <w:rPr>
          <w:rFonts w:eastAsia="Times New Roman"/>
        </w:rPr>
      </w:pPr>
      <w:r>
        <w:rPr>
          <w:rFonts w:eastAsia="Times New Roman"/>
          <w:color w:val="000000"/>
          <w:sz w:val="20"/>
          <w:szCs w:val="20"/>
        </w:rPr>
        <w:t>AB has enhanced its talent attraction and retention approach to position itself as an employer of choice and invest in the development of its peo</w:t>
      </w:r>
      <w:r>
        <w:rPr>
          <w:rFonts w:eastAsia="Times New Roman"/>
          <w:color w:val="000000"/>
          <w:sz w:val="20"/>
          <w:szCs w:val="20"/>
        </w:rPr>
        <w:t xml:space="preserve">ple. AB has developed a diverse talent strategy with a goal of developing a deeper understanding of the needs of diverse talent and also equipping managers with the necessary tools to effectively manage an increasingly more diverse workforce. The strategy </w:t>
      </w:r>
      <w:r>
        <w:rPr>
          <w:rFonts w:eastAsia="Times New Roman"/>
          <w:color w:val="000000"/>
          <w:sz w:val="20"/>
          <w:szCs w:val="20"/>
        </w:rPr>
        <w:t>includes incorporating the concept of inclusive leadership into the firm wide leadership development curriculum and enhancing AB’s exit interview process for diverse talent by conducting in-person interviews which will better enable AB to detect trends and</w:t>
      </w:r>
      <w:r>
        <w:rPr>
          <w:rFonts w:eastAsia="Times New Roman"/>
          <w:color w:val="000000"/>
          <w:sz w:val="20"/>
          <w:szCs w:val="20"/>
        </w:rPr>
        <w:t xml:space="preserve"> mitigate attrition. </w:t>
      </w:r>
    </w:p>
    <w:p w:rsidR="00000000" w:rsidRDefault="005B0BC3">
      <w:pPr>
        <w:ind w:firstLine="360"/>
        <w:divId w:val="819614519"/>
        <w:rPr>
          <w:rFonts w:eastAsia="Times New Roman"/>
        </w:rPr>
      </w:pPr>
      <w:r>
        <w:rPr>
          <w:rFonts w:eastAsia="Times New Roman"/>
          <w:color w:val="000000"/>
          <w:sz w:val="20"/>
          <w:szCs w:val="20"/>
        </w:rPr>
        <w:t>AB’s people remain its top priority especially during these times of uncertainty. Over the course of the last year, there has been a continued focus on education and deepening engagement across all pillars of its strategy to include E</w:t>
      </w:r>
      <w:r>
        <w:rPr>
          <w:rFonts w:eastAsia="Times New Roman"/>
          <w:color w:val="000000"/>
          <w:sz w:val="20"/>
          <w:szCs w:val="20"/>
        </w:rPr>
        <w:t>mployee Resource Groups (ERGs), corporate partnerships, and the overall experience at AB. ERGs have been a major proponent of these efforts by cultivating spaces for courageous conversations, encouraging professional development, personal wellness, and rai</w:t>
      </w:r>
      <w:r>
        <w:rPr>
          <w:rFonts w:eastAsia="Times New Roman"/>
          <w:color w:val="000000"/>
          <w:sz w:val="20"/>
          <w:szCs w:val="20"/>
        </w:rPr>
        <w:t>sing awareness for various underrepresented communities.</w:t>
      </w:r>
    </w:p>
    <w:p w:rsidR="00000000" w:rsidRDefault="005B0BC3">
      <w:pPr>
        <w:ind w:firstLine="360"/>
        <w:divId w:val="262423879"/>
        <w:rPr>
          <w:rFonts w:eastAsia="Times New Roman"/>
        </w:rPr>
      </w:pPr>
      <w:r>
        <w:rPr>
          <w:rFonts w:eastAsia="Times New Roman"/>
          <w:color w:val="000000"/>
          <w:sz w:val="20"/>
          <w:szCs w:val="20"/>
        </w:rPr>
        <w:t>As AB continues to seek out opportunities to further its commitment to diversity, equity, and inclusion, AB is leveraging best practices from industry peers. AB’s D&amp;I journey continues to evolve, add</w:t>
      </w:r>
      <w:r>
        <w:rPr>
          <w:rFonts w:eastAsia="Times New Roman"/>
          <w:color w:val="000000"/>
          <w:sz w:val="20"/>
          <w:szCs w:val="20"/>
        </w:rPr>
        <w:t>ressing racial and gender equity, more effective access to diverse talent and monitoring client trends remain top priorities.</w:t>
      </w:r>
    </w:p>
    <w:p w:rsidR="00000000" w:rsidRDefault="005B0BC3">
      <w:pPr>
        <w:divId w:val="1054307277"/>
        <w:rPr>
          <w:rFonts w:eastAsia="Times New Roman"/>
        </w:rPr>
      </w:pPr>
    </w:p>
    <w:p w:rsidR="00000000" w:rsidRDefault="005B0BC3">
      <w:pPr>
        <w:jc w:val="both"/>
        <w:divId w:val="475032364"/>
        <w:rPr>
          <w:rFonts w:eastAsia="Times New Roman"/>
        </w:rPr>
      </w:pPr>
      <w:r>
        <w:rPr>
          <w:rFonts w:eastAsia="Times New Roman"/>
          <w:i/>
          <w:iCs/>
          <w:color w:val="000000"/>
          <w:sz w:val="20"/>
          <w:szCs w:val="20"/>
          <w:u w:val="single"/>
        </w:rPr>
        <w:t>Compensation and Benefits</w:t>
      </w:r>
    </w:p>
    <w:p w:rsidR="00000000" w:rsidRDefault="005B0BC3">
      <w:pPr>
        <w:ind w:firstLine="360"/>
        <w:divId w:val="608466290"/>
        <w:rPr>
          <w:rFonts w:eastAsia="Times New Roman"/>
        </w:rPr>
      </w:pPr>
      <w:r>
        <w:rPr>
          <w:rFonts w:eastAsia="Times New Roman"/>
          <w:color w:val="000000"/>
          <w:sz w:val="20"/>
          <w:szCs w:val="20"/>
        </w:rPr>
        <w:t>AB has demonstrated a history of investing in its workforce by offering competitive compensation. AB u</w:t>
      </w:r>
      <w:r>
        <w:rPr>
          <w:rFonts w:eastAsia="Times New Roman"/>
          <w:color w:val="000000"/>
          <w:sz w:val="20"/>
          <w:szCs w:val="20"/>
        </w:rPr>
        <w:t>tilizes a variety of compensation elements, including base salaries, annual short-term compensation awards (i.e., cash bonuses) and, for those of AB’s employees who earn more than $300,000 annually, a long-term compensation award program. Long-term incenti</w:t>
      </w:r>
      <w:r>
        <w:rPr>
          <w:rFonts w:eastAsia="Times New Roman"/>
          <w:color w:val="000000"/>
          <w:sz w:val="20"/>
          <w:szCs w:val="20"/>
        </w:rPr>
        <w:t>ve compensation awards generally are denominated in restricted AB Holding Units. AB utilizes this structure to foster a stronger sense of ownership and align the interests of its employees directly with the interests of AB unitholders and indirectly with t</w:t>
      </w:r>
      <w:r>
        <w:rPr>
          <w:rFonts w:eastAsia="Times New Roman"/>
          <w:color w:val="000000"/>
          <w:sz w:val="20"/>
          <w:szCs w:val="20"/>
        </w:rPr>
        <w:t>he interests of AB’s clients, as strong performance for its clients generally contributes directly to increases in AUM and improved financial performance for the firm. Furthermore, AB offers to all eligible employees health and welfare, 401(k) profit-shari</w:t>
      </w:r>
      <w:r>
        <w:rPr>
          <w:rFonts w:eastAsia="Times New Roman"/>
          <w:color w:val="000000"/>
          <w:sz w:val="20"/>
          <w:szCs w:val="20"/>
        </w:rPr>
        <w:t xml:space="preserve">ng and other benefits programs. </w:t>
      </w:r>
    </w:p>
    <w:p w:rsidR="00000000" w:rsidRDefault="005B0BC3">
      <w:pPr>
        <w:jc w:val="both"/>
        <w:divId w:val="857156340"/>
        <w:rPr>
          <w:rFonts w:eastAsia="Times New Roman"/>
        </w:rPr>
      </w:pPr>
      <w:r>
        <w:rPr>
          <w:rFonts w:eastAsia="Times New Roman"/>
          <w:i/>
          <w:iCs/>
          <w:color w:val="000000"/>
          <w:sz w:val="20"/>
          <w:szCs w:val="20"/>
          <w:u w:val="single"/>
        </w:rPr>
        <w:t>Health and Safety</w:t>
      </w:r>
    </w:p>
    <w:p w:rsidR="00000000" w:rsidRDefault="005B0BC3">
      <w:pPr>
        <w:ind w:firstLine="360"/>
        <w:divId w:val="1653606750"/>
        <w:rPr>
          <w:rFonts w:eastAsia="Times New Roman"/>
        </w:rPr>
      </w:pPr>
      <w:r>
        <w:rPr>
          <w:rFonts w:eastAsia="Times New Roman"/>
          <w:color w:val="000000"/>
          <w:sz w:val="20"/>
          <w:szCs w:val="20"/>
        </w:rPr>
        <w:t>AB’s ongoing response to the COVID-19 global pandemic demonstrates how highly AB values the health and safety of its employees. At the initial onset of COVID-19 during the first quarter of 2020, AB quickly</w:t>
      </w:r>
      <w:r>
        <w:rPr>
          <w:rFonts w:eastAsia="Times New Roman"/>
          <w:color w:val="000000"/>
          <w:sz w:val="20"/>
          <w:szCs w:val="20"/>
        </w:rPr>
        <w:t xml:space="preserve"> responded in the various jurisdictions where AB operates. AB implemented business continuity measures, including travel restrictions and a work-from-home requirement for almost all personnel (other than a relatively small number of employees whose physica</w:t>
      </w:r>
      <w:r>
        <w:rPr>
          <w:rFonts w:eastAsia="Times New Roman"/>
          <w:color w:val="000000"/>
          <w:sz w:val="20"/>
          <w:szCs w:val="20"/>
        </w:rPr>
        <w:t>l presence in AB’s offices was considered critical), which lasted through the second quarter of 2021. Since then, working in the office generally has been voluntary, with mandatory in-office participation occurring only at certain times when COVID-19 has e</w:t>
      </w:r>
      <w:r>
        <w:rPr>
          <w:rFonts w:eastAsia="Times New Roman"/>
          <w:color w:val="000000"/>
          <w:sz w:val="20"/>
          <w:szCs w:val="20"/>
        </w:rPr>
        <w:t xml:space="preserve">bbed </w:t>
      </w:r>
    </w:p>
    <w:p w:rsidR="00000000" w:rsidRDefault="005B0BC3">
      <w:pPr>
        <w:jc w:val="center"/>
        <w:divId w:val="1802113748"/>
        <w:rPr>
          <w:rFonts w:eastAsia="Times New Roman"/>
        </w:rPr>
      </w:pPr>
      <w:r>
        <w:rPr>
          <w:rFonts w:eastAsia="Times New Roman"/>
          <w:color w:val="000000"/>
          <w:sz w:val="20"/>
          <w:szCs w:val="20"/>
        </w:rPr>
        <w:t>53</w:t>
      </w:r>
    </w:p>
    <w:p w:rsidR="00000000" w:rsidRDefault="005B0BC3">
      <w:pPr>
        <w:rPr>
          <w:rFonts w:eastAsia="Times New Roman"/>
        </w:rPr>
      </w:pPr>
      <w:r>
        <w:rPr>
          <w:rFonts w:eastAsia="Times New Roman"/>
        </w:rPr>
        <w:pict>
          <v:rect id="_x0000_i1090" style="width:0;height:1.5pt" o:hralign="center" o:hrstd="t" o:hr="t" fillcolor="#a0a0a0" stroked="f"/>
        </w:pict>
      </w:r>
    </w:p>
    <w:p w:rsidR="00000000" w:rsidRDefault="005B0BC3">
      <w:pPr>
        <w:divId w:val="1235899009"/>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divId w:val="440876044"/>
        <w:rPr>
          <w:rFonts w:eastAsia="Times New Roman"/>
        </w:rPr>
      </w:pPr>
      <w:r>
        <w:rPr>
          <w:rFonts w:eastAsia="Times New Roman"/>
          <w:color w:val="000000"/>
          <w:sz w:val="20"/>
          <w:szCs w:val="20"/>
        </w:rPr>
        <w:t>significantly in the communities in which AB operates. AB also instituted a confidential notification process for any employee who t</w:t>
      </w:r>
      <w:r>
        <w:rPr>
          <w:rFonts w:eastAsia="Times New Roman"/>
          <w:color w:val="000000"/>
          <w:sz w:val="20"/>
          <w:szCs w:val="20"/>
        </w:rPr>
        <w:t>ests positive for COVID-19 or has been exposed to someone else who has tested positive. As the COVID-19 crisis has continued to evolve since the lockdown in the first quarter of 2020, certain key functions of the business, such as Risk Management, Business</w:t>
      </w:r>
      <w:r>
        <w:rPr>
          <w:rFonts w:eastAsia="Times New Roman"/>
          <w:color w:val="000000"/>
          <w:sz w:val="20"/>
          <w:szCs w:val="20"/>
        </w:rPr>
        <w:t xml:space="preserve"> Continuity, Finance and Human Capital, have maintained constant communication and monitored the evolution of the pandemic to keep AB’s employees safe and advise of key developments. </w:t>
      </w:r>
    </w:p>
    <w:p w:rsidR="00000000" w:rsidRDefault="005B0BC3">
      <w:pPr>
        <w:divId w:val="629629503"/>
        <w:rPr>
          <w:rFonts w:eastAsia="Times New Roman"/>
        </w:rPr>
      </w:pPr>
      <w:r>
        <w:rPr>
          <w:rFonts w:eastAsia="Times New Roman"/>
          <w:b/>
          <w:bCs/>
          <w:color w:val="000000"/>
          <w:sz w:val="20"/>
          <w:szCs w:val="20"/>
        </w:rPr>
        <w:t>Executive Officers</w:t>
      </w:r>
    </w:p>
    <w:p w:rsidR="00000000" w:rsidRDefault="005B0BC3">
      <w:pPr>
        <w:ind w:firstLine="360"/>
        <w:divId w:val="847911577"/>
        <w:rPr>
          <w:rFonts w:eastAsia="Times New Roman"/>
        </w:rPr>
      </w:pPr>
      <w:r>
        <w:rPr>
          <w:rFonts w:eastAsia="Times New Roman"/>
          <w:color w:val="000000"/>
          <w:sz w:val="20"/>
          <w:szCs w:val="20"/>
        </w:rPr>
        <w:t xml:space="preserve">See Part III, Item 10 “Directors, Executive Officers </w:t>
      </w:r>
      <w:r>
        <w:rPr>
          <w:rFonts w:eastAsia="Times New Roman"/>
          <w:color w:val="000000"/>
          <w:sz w:val="20"/>
          <w:szCs w:val="20"/>
        </w:rPr>
        <w:t>and Corporate Governance” for information with respect to our executive officers, which is incorporated by reference herein.</w:t>
      </w:r>
    </w:p>
    <w:p w:rsidR="00000000" w:rsidRDefault="005B0BC3">
      <w:pPr>
        <w:divId w:val="1593204543"/>
        <w:rPr>
          <w:rFonts w:eastAsia="Times New Roman"/>
        </w:rPr>
      </w:pPr>
      <w:r>
        <w:rPr>
          <w:rFonts w:eastAsia="Times New Roman"/>
          <w:b/>
          <w:bCs/>
          <w:color w:val="000000"/>
          <w:sz w:val="20"/>
          <w:szCs w:val="20"/>
        </w:rPr>
        <w:t>Available Information</w:t>
      </w:r>
    </w:p>
    <w:p w:rsidR="00000000" w:rsidRDefault="005B0BC3">
      <w:pPr>
        <w:ind w:firstLine="360"/>
        <w:divId w:val="184297671"/>
        <w:rPr>
          <w:rFonts w:eastAsia="Times New Roman"/>
        </w:rPr>
      </w:pPr>
      <w:r>
        <w:rPr>
          <w:rFonts w:eastAsia="Times New Roman"/>
          <w:color w:val="000000"/>
          <w:sz w:val="20"/>
          <w:szCs w:val="20"/>
        </w:rPr>
        <w:t>We maintain a public website at https://equitableholdings.com. We use our website as a routine channel for di</w:t>
      </w:r>
      <w:r>
        <w:rPr>
          <w:rFonts w:eastAsia="Times New Roman"/>
          <w:color w:val="000000"/>
          <w:sz w:val="20"/>
          <w:szCs w:val="20"/>
        </w:rPr>
        <w:t>stribution of important information, including news releases, analyst presentations, financial information and corporate governance information. We post filings on our website as soon as practicable after they are electronically filed with, or furnished to</w:t>
      </w:r>
      <w:r>
        <w:rPr>
          <w:rFonts w:eastAsia="Times New Roman"/>
          <w:color w:val="000000"/>
          <w:sz w:val="20"/>
          <w:szCs w:val="20"/>
        </w:rPr>
        <w:t>, the SEC, including our annual and quarterly reports on Forms 10-K and 10-Q and current reports on Form 8-K; our proxy statements; and any amendments to those reports or statements. All such postings and filings are available on the “Investors” section of</w:t>
      </w:r>
      <w:r>
        <w:rPr>
          <w:rFonts w:eastAsia="Times New Roman"/>
          <w:color w:val="000000"/>
          <w:sz w:val="20"/>
          <w:szCs w:val="20"/>
        </w:rPr>
        <w:t xml:space="preserve"> our website free of charge. The SEC’s website, www.sec.gov, contains reports, proxy and information statements, and other information regarding issuers that file electronically with the SEC.</w:t>
      </w:r>
    </w:p>
    <w:p w:rsidR="00000000" w:rsidRDefault="005B0BC3">
      <w:pPr>
        <w:ind w:firstLine="360"/>
        <w:divId w:val="1654872955"/>
        <w:rPr>
          <w:rFonts w:eastAsia="Times New Roman"/>
        </w:rPr>
      </w:pPr>
      <w:r>
        <w:rPr>
          <w:rFonts w:eastAsia="Times New Roman"/>
          <w:color w:val="000000"/>
          <w:sz w:val="20"/>
          <w:szCs w:val="20"/>
        </w:rPr>
        <w:t>We may use our website as a means of disclosing material informa</w:t>
      </w:r>
      <w:r>
        <w:rPr>
          <w:rFonts w:eastAsia="Times New Roman"/>
          <w:color w:val="000000"/>
          <w:sz w:val="20"/>
          <w:szCs w:val="20"/>
        </w:rPr>
        <w:t xml:space="preserve">tion and for complying with our disclosure obligations under Regulation Fair Disclosure promulgated by the SEC. These disclosures are included on our website in the “Investors” section. Accordingly, investors should monitor this portion of our website, in </w:t>
      </w:r>
      <w:r>
        <w:rPr>
          <w:rFonts w:eastAsia="Times New Roman"/>
          <w:color w:val="000000"/>
          <w:sz w:val="20"/>
          <w:szCs w:val="20"/>
        </w:rPr>
        <w:t>addition to following our news releases, SEC filings, public conference calls and webcasts. The information contained on or connected to our website is not a part of this Form 10-K.</w:t>
      </w:r>
    </w:p>
    <w:p w:rsidR="00000000" w:rsidRDefault="005B0BC3">
      <w:pPr>
        <w:divId w:val="788360729"/>
        <w:rPr>
          <w:rFonts w:eastAsia="Times New Roman"/>
        </w:rPr>
      </w:pPr>
    </w:p>
    <w:p w:rsidR="00000000" w:rsidRDefault="005B0BC3">
      <w:pPr>
        <w:divId w:val="1870024625"/>
        <w:rPr>
          <w:rFonts w:eastAsia="Times New Roman"/>
        </w:rPr>
      </w:pPr>
      <w:r>
        <w:rPr>
          <w:rFonts w:eastAsia="Times New Roman"/>
          <w:b/>
          <w:bCs/>
          <w:color w:val="000000"/>
          <w:sz w:val="20"/>
          <w:szCs w:val="20"/>
        </w:rPr>
        <w:t>Part I, Item 1A.</w:t>
      </w:r>
    </w:p>
    <w:p w:rsidR="00000000" w:rsidRDefault="005B0BC3">
      <w:pPr>
        <w:jc w:val="center"/>
        <w:divId w:val="1477212834"/>
        <w:rPr>
          <w:rFonts w:eastAsia="Times New Roman"/>
        </w:rPr>
      </w:pPr>
      <w:r>
        <w:rPr>
          <w:rFonts w:eastAsia="Times New Roman"/>
          <w:b/>
          <w:bCs/>
          <w:color w:val="000000"/>
          <w:sz w:val="20"/>
          <w:szCs w:val="20"/>
        </w:rPr>
        <w:t>RISK FACTORS</w:t>
      </w:r>
    </w:p>
    <w:p w:rsidR="00000000" w:rsidRDefault="005B0BC3">
      <w:pPr>
        <w:divId w:val="1415475523"/>
        <w:rPr>
          <w:rFonts w:eastAsia="Times New Roman"/>
        </w:rPr>
      </w:pPr>
      <w:r>
        <w:rPr>
          <w:rFonts w:eastAsia="Times New Roman"/>
          <w:i/>
          <w:iCs/>
          <w:color w:val="000000"/>
          <w:sz w:val="20"/>
          <w:szCs w:val="20"/>
        </w:rPr>
        <w:t>You should read and consider all of the ri</w:t>
      </w:r>
      <w:r>
        <w:rPr>
          <w:rFonts w:eastAsia="Times New Roman"/>
          <w:i/>
          <w:iCs/>
          <w:color w:val="000000"/>
          <w:sz w:val="20"/>
          <w:szCs w:val="20"/>
        </w:rPr>
        <w:t>sks described below, as well as other information set forth in this Annual Report on Form 10-K. The risks described below are not the only ones we face. Many of these risks are interrelated and could occur under similar business and economic conditions, an</w:t>
      </w:r>
      <w:r>
        <w:rPr>
          <w:rFonts w:eastAsia="Times New Roman"/>
          <w:i/>
          <w:iCs/>
          <w:color w:val="000000"/>
          <w:sz w:val="20"/>
          <w:szCs w:val="20"/>
        </w:rPr>
        <w:t xml:space="preserve">d the occurrence of certain of them may in turn cause the emergence or exacerbate the effect of others. Such a combination could materially increase the severity of the impact of these risks on our businesses, results of operations, financial condition or </w:t>
      </w:r>
      <w:r>
        <w:rPr>
          <w:rFonts w:eastAsia="Times New Roman"/>
          <w:i/>
          <w:iCs/>
          <w:color w:val="000000"/>
          <w:sz w:val="20"/>
          <w:szCs w:val="20"/>
        </w:rPr>
        <w:t>liquidity.</w:t>
      </w:r>
    </w:p>
    <w:p w:rsidR="00000000" w:rsidRDefault="005B0BC3">
      <w:pPr>
        <w:jc w:val="center"/>
        <w:divId w:val="950820113"/>
        <w:rPr>
          <w:rFonts w:eastAsia="Times New Roman"/>
        </w:rPr>
      </w:pPr>
      <w:r>
        <w:rPr>
          <w:rFonts w:eastAsia="Times New Roman"/>
          <w:b/>
          <w:bCs/>
          <w:color w:val="000000"/>
          <w:sz w:val="20"/>
          <w:szCs w:val="20"/>
        </w:rPr>
        <w:t>Risks Relating to Our Consolidated Business</w:t>
      </w:r>
    </w:p>
    <w:p w:rsidR="00000000" w:rsidRDefault="005B0BC3">
      <w:pPr>
        <w:divId w:val="1715081263"/>
        <w:rPr>
          <w:rFonts w:eastAsia="Times New Roman"/>
        </w:rPr>
      </w:pPr>
      <w:r>
        <w:rPr>
          <w:rFonts w:eastAsia="Times New Roman"/>
          <w:b/>
          <w:bCs/>
          <w:color w:val="000000"/>
          <w:sz w:val="20"/>
          <w:szCs w:val="20"/>
        </w:rPr>
        <w:t>Risks Relating to Conditions in the Financial Markets and Economy</w:t>
      </w:r>
    </w:p>
    <w:p w:rsidR="00000000" w:rsidRDefault="005B0BC3">
      <w:pPr>
        <w:jc w:val="both"/>
        <w:divId w:val="1565726092"/>
        <w:rPr>
          <w:rFonts w:eastAsia="Times New Roman"/>
        </w:rPr>
      </w:pPr>
      <w:r>
        <w:rPr>
          <w:rFonts w:eastAsia="Times New Roman"/>
          <w:b/>
          <w:bCs/>
          <w:i/>
          <w:iCs/>
          <w:color w:val="000000"/>
          <w:sz w:val="20"/>
          <w:szCs w:val="20"/>
        </w:rPr>
        <w:t>The coronavirus (COVID-19) pandemic.</w:t>
      </w:r>
    </w:p>
    <w:p w:rsidR="00000000" w:rsidRDefault="005B0BC3">
      <w:pPr>
        <w:ind w:firstLine="360"/>
        <w:divId w:val="530147058"/>
        <w:rPr>
          <w:rFonts w:eastAsia="Times New Roman"/>
        </w:rPr>
      </w:pPr>
      <w:r>
        <w:rPr>
          <w:rFonts w:eastAsia="Times New Roman"/>
          <w:color w:val="000000"/>
          <w:sz w:val="20"/>
          <w:szCs w:val="20"/>
        </w:rPr>
        <w:t xml:space="preserve">The COVID-19 pandemic has negatively impacted the U.S. and global economies. A wide variety of factors continue to impact financial and economic conditions, including, among others, volatility in the financial markets, rising inflation rates, supply chain </w:t>
      </w:r>
      <w:r>
        <w:rPr>
          <w:rFonts w:eastAsia="Times New Roman"/>
          <w:color w:val="000000"/>
          <w:sz w:val="20"/>
          <w:szCs w:val="20"/>
        </w:rPr>
        <w:t>disruptions, continued low interest rates and changes in fiscal or monetary policy. Efforts to prevent the spread of COVID-19 have affected our business directly in a number of ways, including through the temporary closures of many businesses and schools a</w:t>
      </w:r>
      <w:r>
        <w:rPr>
          <w:rFonts w:eastAsia="Times New Roman"/>
          <w:color w:val="000000"/>
          <w:sz w:val="20"/>
          <w:szCs w:val="20"/>
        </w:rPr>
        <w:t>nd the institution of social distancing requirements in many states and local communities. Businesses or schools that have reopened have restricted or limited access for the foreseeable future and may do so on a permanent or episodic basis. As a result, ou</w:t>
      </w:r>
      <w:r>
        <w:rPr>
          <w:rFonts w:eastAsia="Times New Roman"/>
          <w:color w:val="000000"/>
          <w:sz w:val="20"/>
          <w:szCs w:val="20"/>
        </w:rPr>
        <w:t>r ability to sell products through our regular channels and the demand for our products and services has been significantly impacted.</w:t>
      </w:r>
    </w:p>
    <w:p w:rsidR="00000000" w:rsidRDefault="005B0BC3">
      <w:pPr>
        <w:ind w:firstLine="360"/>
        <w:divId w:val="1988391390"/>
        <w:rPr>
          <w:rFonts w:eastAsia="Times New Roman"/>
        </w:rPr>
      </w:pPr>
      <w:r>
        <w:rPr>
          <w:rFonts w:eastAsia="Times New Roman"/>
          <w:color w:val="000000"/>
          <w:sz w:val="20"/>
          <w:szCs w:val="20"/>
        </w:rPr>
        <w:t>While we have implemented risk management and contingency plans with respect to the COVID-19 pandemic, such measures may n</w:t>
      </w:r>
      <w:r>
        <w:rPr>
          <w:rFonts w:eastAsia="Times New Roman"/>
          <w:color w:val="000000"/>
          <w:sz w:val="20"/>
          <w:szCs w:val="20"/>
        </w:rPr>
        <w:t>ot adequately protect our business from the full impacts of the pandemic. Currently, most of our employees and advisors are continuing to work remotely. Extended periods of remote work arrangements could introduce additional operational risk including, but</w:t>
      </w:r>
      <w:r>
        <w:rPr>
          <w:rFonts w:eastAsia="Times New Roman"/>
          <w:color w:val="000000"/>
          <w:sz w:val="20"/>
          <w:szCs w:val="20"/>
        </w:rPr>
        <w:t xml:space="preserve"> not limited to, cybersecurity risks, and impair our ability to effectively manage our business. We also outsource a variety of functions to third parties whose business continuity strategies are largely outside our control. </w:t>
      </w:r>
    </w:p>
    <w:p w:rsidR="00000000" w:rsidRDefault="005B0BC3">
      <w:pPr>
        <w:ind w:firstLine="360"/>
        <w:divId w:val="1972207615"/>
        <w:rPr>
          <w:rFonts w:eastAsia="Times New Roman"/>
        </w:rPr>
      </w:pPr>
      <w:r>
        <w:rPr>
          <w:rFonts w:eastAsia="Times New Roman"/>
          <w:color w:val="000000"/>
          <w:sz w:val="20"/>
          <w:szCs w:val="20"/>
        </w:rPr>
        <w:t>Economic uncertainty resulting</w:t>
      </w:r>
      <w:r>
        <w:rPr>
          <w:rFonts w:eastAsia="Times New Roman"/>
          <w:color w:val="000000"/>
          <w:sz w:val="20"/>
          <w:szCs w:val="20"/>
        </w:rPr>
        <w:t xml:space="preserve"> from the COVID-19 pandemic may have an adverse effect on product sales and result in existing policyholders withdrawing at greater rates. COVID-19 could have an adverse effect on our insurance business due to increased mortality and morbidity rates. The c</w:t>
      </w:r>
      <w:r>
        <w:rPr>
          <w:rFonts w:eastAsia="Times New Roman"/>
          <w:color w:val="000000"/>
          <w:sz w:val="20"/>
          <w:szCs w:val="20"/>
        </w:rPr>
        <w:t xml:space="preserve">ost of reinsurance to us for these policies could increase, and we may encounter </w:t>
      </w:r>
    </w:p>
    <w:p w:rsidR="00000000" w:rsidRDefault="005B0BC3">
      <w:pPr>
        <w:jc w:val="center"/>
        <w:divId w:val="1961380695"/>
        <w:rPr>
          <w:rFonts w:eastAsia="Times New Roman"/>
        </w:rPr>
      </w:pPr>
      <w:r>
        <w:rPr>
          <w:rFonts w:eastAsia="Times New Roman"/>
          <w:color w:val="000000"/>
          <w:sz w:val="20"/>
          <w:szCs w:val="20"/>
        </w:rPr>
        <w:t>54</w:t>
      </w:r>
    </w:p>
    <w:p w:rsidR="00000000" w:rsidRDefault="005B0BC3">
      <w:pPr>
        <w:rPr>
          <w:rFonts w:eastAsia="Times New Roman"/>
        </w:rPr>
      </w:pPr>
      <w:r>
        <w:rPr>
          <w:rFonts w:eastAsia="Times New Roman"/>
        </w:rPr>
        <w:pict>
          <v:rect id="_x0000_i1091" style="width:0;height:1.5pt" o:hralign="center" o:hrstd="t" o:hr="t" fillcolor="#a0a0a0" stroked="f"/>
        </w:pict>
      </w:r>
    </w:p>
    <w:p w:rsidR="00000000" w:rsidRDefault="005B0BC3">
      <w:pPr>
        <w:divId w:val="2071884453"/>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divId w:val="1260143579"/>
        <w:rPr>
          <w:rFonts w:eastAsia="Times New Roman"/>
        </w:rPr>
      </w:pPr>
      <w:r>
        <w:rPr>
          <w:rFonts w:eastAsia="Times New Roman"/>
          <w:color w:val="000000"/>
          <w:sz w:val="20"/>
          <w:szCs w:val="20"/>
        </w:rPr>
        <w:t>decreased availability of such reinsurance. If policyhol</w:t>
      </w:r>
      <w:r>
        <w:rPr>
          <w:rFonts w:eastAsia="Times New Roman"/>
          <w:color w:val="000000"/>
          <w:sz w:val="20"/>
          <w:szCs w:val="20"/>
        </w:rPr>
        <w:t>der lapse and surrender rates or premium waivers significantly exceed our expectations, we may need to change our assumptions, models or reserves.</w:t>
      </w:r>
    </w:p>
    <w:p w:rsidR="00000000" w:rsidRDefault="005B0BC3">
      <w:pPr>
        <w:ind w:firstLine="360"/>
        <w:divId w:val="954603874"/>
        <w:rPr>
          <w:rFonts w:eastAsia="Times New Roman"/>
        </w:rPr>
      </w:pPr>
      <w:r>
        <w:rPr>
          <w:rFonts w:eastAsia="Times New Roman"/>
          <w:color w:val="000000"/>
          <w:sz w:val="20"/>
          <w:szCs w:val="20"/>
        </w:rPr>
        <w:t>Our investment portfolio has been, and may continue to be, adversely affected by the COVID-19 pandemic. Our i</w:t>
      </w:r>
      <w:r>
        <w:rPr>
          <w:rFonts w:eastAsia="Times New Roman"/>
          <w:color w:val="000000"/>
          <w:sz w:val="20"/>
          <w:szCs w:val="20"/>
        </w:rPr>
        <w:t>nvestments in mortgages and commercial mortgage-backed securities have been, and could continue to be, negatively affected by delays or failures of borrowers to make payments of principal and interest when due. In some jurisdictions, local governments have</w:t>
      </w:r>
      <w:r>
        <w:rPr>
          <w:rFonts w:eastAsia="Times New Roman"/>
          <w:color w:val="000000"/>
          <w:sz w:val="20"/>
          <w:szCs w:val="20"/>
        </w:rPr>
        <w:t xml:space="preserve"> imposed delays or moratoriums on many forms of enforcement actions. Furthermore, declines in equity markets and interest rates, reduced liquidity or a continued slowdown in the U.S. or in global economic conditions may also adversely affect the values and</w:t>
      </w:r>
      <w:r>
        <w:rPr>
          <w:rFonts w:eastAsia="Times New Roman"/>
          <w:color w:val="000000"/>
          <w:sz w:val="20"/>
          <w:szCs w:val="20"/>
        </w:rPr>
        <w:t xml:space="preserve"> cash flows of investments. For additional information on the effects of COVID-19 on our mortgage loans, see “Management’s Discussion and Analysis of Financial Condition and Results of Operation—General Account Investment Portfolio.” Market volatility also</w:t>
      </w:r>
      <w:r>
        <w:rPr>
          <w:rFonts w:eastAsia="Times New Roman"/>
          <w:color w:val="000000"/>
          <w:sz w:val="20"/>
          <w:szCs w:val="20"/>
        </w:rPr>
        <w:t xml:space="preserve"> caused significant increases in credit spreads, and any continued volatility may increase our borrowing costs and decrease product fee income. Further, severe market volatility may leave us unable to react to market events in a prudent manner consistent w</w:t>
      </w:r>
      <w:r>
        <w:rPr>
          <w:rFonts w:eastAsia="Times New Roman"/>
          <w:color w:val="000000"/>
          <w:sz w:val="20"/>
          <w:szCs w:val="20"/>
        </w:rPr>
        <w:t xml:space="preserve">ith our historical investment practices. </w:t>
      </w:r>
    </w:p>
    <w:p w:rsidR="00000000" w:rsidRDefault="005B0BC3">
      <w:pPr>
        <w:ind w:firstLine="360"/>
        <w:divId w:val="1323196134"/>
        <w:rPr>
          <w:rFonts w:eastAsia="Times New Roman"/>
        </w:rPr>
      </w:pPr>
      <w:r>
        <w:rPr>
          <w:rFonts w:eastAsia="Times New Roman"/>
          <w:color w:val="000000"/>
          <w:sz w:val="20"/>
          <w:szCs w:val="20"/>
        </w:rPr>
        <w:t>The extent of the COVID-19 pandemic’s impact on us will depend on future developments that are still highly uncertain, including the severity and duration of the pandemic, actions taken by governments and other thi</w:t>
      </w:r>
      <w:r>
        <w:rPr>
          <w:rFonts w:eastAsia="Times New Roman"/>
          <w:color w:val="000000"/>
          <w:sz w:val="20"/>
          <w:szCs w:val="20"/>
        </w:rPr>
        <w:t>rd parties in response to the pandemic and the availability and efficacy of vaccines against COVID-19 and its variants.</w:t>
      </w:r>
    </w:p>
    <w:p w:rsidR="00000000" w:rsidRDefault="005B0BC3">
      <w:pPr>
        <w:jc w:val="both"/>
        <w:divId w:val="1262491084"/>
        <w:rPr>
          <w:rFonts w:eastAsia="Times New Roman"/>
        </w:rPr>
      </w:pPr>
      <w:r>
        <w:rPr>
          <w:rFonts w:eastAsia="Times New Roman"/>
          <w:b/>
          <w:bCs/>
          <w:i/>
          <w:iCs/>
          <w:color w:val="000000"/>
          <w:sz w:val="20"/>
          <w:szCs w:val="20"/>
        </w:rPr>
        <w:t>Conditions in the global capital markets and the economy.</w:t>
      </w:r>
    </w:p>
    <w:p w:rsidR="00000000" w:rsidRDefault="005B0BC3">
      <w:pPr>
        <w:ind w:firstLine="360"/>
        <w:divId w:val="1099063707"/>
        <w:rPr>
          <w:rFonts w:eastAsia="Times New Roman"/>
        </w:rPr>
      </w:pPr>
      <w:r>
        <w:rPr>
          <w:rFonts w:eastAsia="Times New Roman"/>
          <w:color w:val="000000"/>
          <w:sz w:val="20"/>
          <w:szCs w:val="20"/>
        </w:rPr>
        <w:t>Our business, results of operations or financial condition are materially affe</w:t>
      </w:r>
      <w:r>
        <w:rPr>
          <w:rFonts w:eastAsia="Times New Roman"/>
          <w:color w:val="000000"/>
          <w:sz w:val="20"/>
          <w:szCs w:val="20"/>
        </w:rPr>
        <w:t>cted by conditions in the global capital markets and the economy. A wide variety of factors affect economic conditions and consumer confidence, including the COVID-19 pandemic and government reactions thereto, the pace of economic growth in the U.S., equit</w:t>
      </w:r>
      <w:r>
        <w:rPr>
          <w:rFonts w:eastAsia="Times New Roman"/>
          <w:color w:val="000000"/>
          <w:sz w:val="20"/>
          <w:szCs w:val="20"/>
        </w:rPr>
        <w:t>y market performance, low interest rates and potential changes in fiscal or monetary policy. Given our interest rate and equity market exposure in our investment and derivatives portfolios and many of our products, these factors could have a material adver</w:t>
      </w:r>
      <w:r>
        <w:rPr>
          <w:rFonts w:eastAsia="Times New Roman"/>
          <w:color w:val="000000"/>
          <w:sz w:val="20"/>
          <w:szCs w:val="20"/>
        </w:rPr>
        <w:t>se effect on us. The value of our investments and derivatives portfolios may also be adversely affected by reductions in price transparency, changes in the assumptions or methodology we use to estimate fair value and changes in investor confidence or prefe</w:t>
      </w:r>
      <w:r>
        <w:rPr>
          <w:rFonts w:eastAsia="Times New Roman"/>
          <w:color w:val="000000"/>
          <w:sz w:val="20"/>
          <w:szCs w:val="20"/>
        </w:rPr>
        <w:t>rences, which could potentially result in higher realized or unrealized losses. Market volatility may also make it difficult to transact in or to value certain of our securities if trading becomes less frequent.</w:t>
      </w:r>
    </w:p>
    <w:p w:rsidR="00000000" w:rsidRDefault="005B0BC3">
      <w:pPr>
        <w:ind w:firstLine="360"/>
        <w:divId w:val="727803665"/>
        <w:rPr>
          <w:rFonts w:eastAsia="Times New Roman"/>
        </w:rPr>
      </w:pPr>
      <w:r>
        <w:rPr>
          <w:rFonts w:eastAsia="Times New Roman"/>
          <w:color w:val="000000"/>
          <w:sz w:val="20"/>
          <w:szCs w:val="20"/>
        </w:rPr>
        <w:t xml:space="preserve">In an economic downturn, the demand for our </w:t>
      </w:r>
      <w:r>
        <w:rPr>
          <w:rFonts w:eastAsia="Times New Roman"/>
          <w:color w:val="000000"/>
          <w:sz w:val="20"/>
          <w:szCs w:val="20"/>
        </w:rPr>
        <w:t xml:space="preserve">products and our investment returns could be materially and adversely affected. The profitability of many of our products depends in part on the value of the assets supporting them, which may fluctuate substantially depending on various market conditions. </w:t>
      </w:r>
      <w:r>
        <w:rPr>
          <w:rFonts w:eastAsia="Times New Roman"/>
          <w:color w:val="000000"/>
          <w:sz w:val="20"/>
          <w:szCs w:val="20"/>
        </w:rPr>
        <w:t>In addition, a change in market conditions could cause a change in consumer sentiment and adversely affect sales and could cause the actual persistency of these products to vary from their anticipated persistency and adversely affect profitability. Our pol</w:t>
      </w:r>
      <w:r>
        <w:rPr>
          <w:rFonts w:eastAsia="Times New Roman"/>
          <w:color w:val="000000"/>
          <w:sz w:val="20"/>
          <w:szCs w:val="20"/>
        </w:rPr>
        <w:t xml:space="preserve">icyholders may choose to defer paying insurance premiums or stop paying insurance premiums altogether. In addition, market conditions may adversely affect the availability and cost of reinsurance protections and the availability and performance of hedging </w:t>
      </w:r>
      <w:r>
        <w:rPr>
          <w:rFonts w:eastAsia="Times New Roman"/>
          <w:color w:val="000000"/>
          <w:sz w:val="20"/>
          <w:szCs w:val="20"/>
        </w:rPr>
        <w:t>instruments.</w:t>
      </w:r>
    </w:p>
    <w:p w:rsidR="00000000" w:rsidRDefault="005B0BC3">
      <w:pPr>
        <w:jc w:val="both"/>
        <w:divId w:val="549153279"/>
        <w:rPr>
          <w:rFonts w:eastAsia="Times New Roman"/>
        </w:rPr>
      </w:pPr>
      <w:r>
        <w:rPr>
          <w:rFonts w:eastAsia="Times New Roman"/>
          <w:b/>
          <w:bCs/>
          <w:i/>
          <w:iCs/>
          <w:color w:val="000000"/>
          <w:sz w:val="20"/>
          <w:szCs w:val="20"/>
        </w:rPr>
        <w:t>Equity market declines and volatility.</w:t>
      </w:r>
    </w:p>
    <w:p w:rsidR="00000000" w:rsidRDefault="005B0BC3">
      <w:pPr>
        <w:ind w:firstLine="360"/>
        <w:divId w:val="18893347"/>
        <w:rPr>
          <w:rFonts w:eastAsia="Times New Roman"/>
        </w:rPr>
      </w:pPr>
      <w:r>
        <w:rPr>
          <w:rFonts w:eastAsia="Times New Roman"/>
          <w:color w:val="000000"/>
          <w:sz w:val="20"/>
          <w:szCs w:val="20"/>
        </w:rPr>
        <w:t>Declines or volatility in the equity markets can negatively impact our business, results of operations or financial condition. For example, equity market declines or volatility could decrease the AV of ou</w:t>
      </w:r>
      <w:r>
        <w:rPr>
          <w:rFonts w:eastAsia="Times New Roman"/>
          <w:color w:val="000000"/>
          <w:sz w:val="20"/>
          <w:szCs w:val="20"/>
        </w:rPr>
        <w:t>r annuity and variable life contracts which, in turn, would reduce the amount of revenue we derive from fees charged on those account and asset values. Our variable annuity business is particularly sensitive to equity markets, and sustained weakness or sta</w:t>
      </w:r>
      <w:r>
        <w:rPr>
          <w:rFonts w:eastAsia="Times New Roman"/>
          <w:color w:val="000000"/>
          <w:sz w:val="20"/>
          <w:szCs w:val="20"/>
        </w:rPr>
        <w:t>gnation in equity markets could decrease its revenues and earnings. At the same time, for variable annuity contracts that include GMxB features, equity market declines increase the amount of our potential obligations related to such GMxB features and could</w:t>
      </w:r>
      <w:r>
        <w:rPr>
          <w:rFonts w:eastAsia="Times New Roman"/>
          <w:color w:val="000000"/>
          <w:sz w:val="20"/>
          <w:szCs w:val="20"/>
        </w:rPr>
        <w:t xml:space="preserve"> increase the cost of executing GMxB-related hedges beyond what was anticipated in the pricing of the products being hedged. This could result in an increase in claims and reserves related to those contracts, net of any reinsurance reimbursements or procee</w:t>
      </w:r>
      <w:r>
        <w:rPr>
          <w:rFonts w:eastAsia="Times New Roman"/>
          <w:color w:val="000000"/>
          <w:sz w:val="20"/>
          <w:szCs w:val="20"/>
        </w:rPr>
        <w:t>ds from our hedging programs. Equity market declines and volatility may also influence policyholder behavior, which may adversely impact the levels of surrenders, withdrawals and amounts of withdrawals of our annuity and variable life contracts or cause po</w:t>
      </w:r>
      <w:r>
        <w:rPr>
          <w:rFonts w:eastAsia="Times New Roman"/>
          <w:color w:val="000000"/>
          <w:sz w:val="20"/>
          <w:szCs w:val="20"/>
        </w:rPr>
        <w:t>licyholders to reallocate a portion of their account balances to more conservative investment options (which may have lower fees), which could negatively impact our future profitability or increase our benefit obligations particularly if they were to remai</w:t>
      </w:r>
      <w:r>
        <w:rPr>
          <w:rFonts w:eastAsia="Times New Roman"/>
          <w:color w:val="000000"/>
          <w:sz w:val="20"/>
          <w:szCs w:val="20"/>
        </w:rPr>
        <w:t>n in such options during an equity market increase. Market volatility can negatively impact the value of equity securities we hold for investment which could in turn reduce the statutory capital of certain of our insurance subsidiaries. In addition, equity</w:t>
      </w:r>
      <w:r>
        <w:rPr>
          <w:rFonts w:eastAsia="Times New Roman"/>
          <w:color w:val="000000"/>
          <w:sz w:val="20"/>
          <w:szCs w:val="20"/>
        </w:rPr>
        <w:t xml:space="preserve"> market volatility could reduce demand for variable products relative to fixed products, lead to changes in estimates underlying our calculations of DAC that, in turn, could accelerate our DAC amortization and reduce our current earnings and result in chan</w:t>
      </w:r>
      <w:r>
        <w:rPr>
          <w:rFonts w:eastAsia="Times New Roman"/>
          <w:color w:val="000000"/>
          <w:sz w:val="20"/>
          <w:szCs w:val="20"/>
        </w:rPr>
        <w:t>ges to the fair value of our GMIB reinsurance contracts and GMxB liabilities, which could increase the volatility of our earnings. Lastly, periods of high market volatility or adverse conditions could decrease the availability or increase the cost of deriv</w:t>
      </w:r>
      <w:r>
        <w:rPr>
          <w:rFonts w:eastAsia="Times New Roman"/>
          <w:color w:val="000000"/>
          <w:sz w:val="20"/>
          <w:szCs w:val="20"/>
        </w:rPr>
        <w:t>atives.</w:t>
      </w:r>
    </w:p>
    <w:p w:rsidR="00000000" w:rsidRDefault="005B0BC3">
      <w:pPr>
        <w:jc w:val="both"/>
        <w:divId w:val="1219976925"/>
        <w:rPr>
          <w:rFonts w:eastAsia="Times New Roman"/>
        </w:rPr>
      </w:pPr>
      <w:r>
        <w:rPr>
          <w:rFonts w:eastAsia="Times New Roman"/>
          <w:b/>
          <w:bCs/>
          <w:i/>
          <w:iCs/>
          <w:color w:val="000000"/>
          <w:sz w:val="20"/>
          <w:szCs w:val="20"/>
        </w:rPr>
        <w:t>Interest rate fluctuations or prolonged periods of low interest rates.</w:t>
      </w:r>
    </w:p>
    <w:p w:rsidR="00000000" w:rsidRDefault="005B0BC3">
      <w:pPr>
        <w:jc w:val="center"/>
        <w:divId w:val="1907452138"/>
        <w:rPr>
          <w:rFonts w:eastAsia="Times New Roman"/>
        </w:rPr>
      </w:pPr>
      <w:r>
        <w:rPr>
          <w:rFonts w:eastAsia="Times New Roman"/>
          <w:color w:val="000000"/>
          <w:sz w:val="20"/>
          <w:szCs w:val="20"/>
        </w:rPr>
        <w:t>55</w:t>
      </w:r>
    </w:p>
    <w:p w:rsidR="00000000" w:rsidRDefault="005B0BC3">
      <w:pPr>
        <w:rPr>
          <w:rFonts w:eastAsia="Times New Roman"/>
        </w:rPr>
      </w:pPr>
      <w:r>
        <w:rPr>
          <w:rFonts w:eastAsia="Times New Roman"/>
        </w:rPr>
        <w:pict>
          <v:rect id="_x0000_i1092" style="width:0;height:1.5pt" o:hralign="center" o:hrstd="t" o:hr="t" fillcolor="#a0a0a0" stroked="f"/>
        </w:pict>
      </w:r>
    </w:p>
    <w:p w:rsidR="00000000" w:rsidRDefault="005B0BC3">
      <w:pPr>
        <w:divId w:val="1061514464"/>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ind w:firstLine="360"/>
        <w:divId w:val="813183327"/>
        <w:rPr>
          <w:rFonts w:eastAsia="Times New Roman"/>
        </w:rPr>
      </w:pPr>
      <w:r>
        <w:rPr>
          <w:rFonts w:eastAsia="Times New Roman"/>
          <w:color w:val="000000"/>
          <w:sz w:val="20"/>
          <w:szCs w:val="20"/>
        </w:rPr>
        <w:t>Some of our retirement and protection products and certain o</w:t>
      </w:r>
      <w:r>
        <w:rPr>
          <w:rFonts w:eastAsia="Times New Roman"/>
          <w:color w:val="000000"/>
          <w:sz w:val="20"/>
          <w:szCs w:val="20"/>
        </w:rPr>
        <w:t>f our investment products, and our investment returns, are sensitive to interest rate fluctuations, and changes in interest rates and interest rate benchmarks may adversely affect our investment returns and results of operations, including in the following</w:t>
      </w:r>
      <w:r>
        <w:rPr>
          <w:rFonts w:eastAsia="Times New Roman"/>
          <w:color w:val="000000"/>
          <w:sz w:val="20"/>
          <w:szCs w:val="20"/>
        </w:rPr>
        <w:t xml:space="preserve"> respects:</w:t>
      </w:r>
    </w:p>
    <w:p w:rsidR="00000000" w:rsidRDefault="005B0BC3">
      <w:pPr>
        <w:ind w:hanging="360"/>
        <w:divId w:val="500581213"/>
        <w:rPr>
          <w:rFonts w:eastAsia="Times New Roman"/>
        </w:rPr>
      </w:pPr>
      <w:r>
        <w:rPr>
          <w:rFonts w:eastAsia="Times New Roman"/>
          <w:color w:val="000000"/>
          <w:sz w:val="20"/>
          <w:szCs w:val="20"/>
        </w:rPr>
        <w:t>•changes in interest rates may reduce the spread on some of our products between the amounts that we are required to pay under the contracts and the rate of return we are able to earn on our General Account investments supporting the contracts;</w:t>
      </w:r>
    </w:p>
    <w:p w:rsidR="00000000" w:rsidRDefault="005B0BC3">
      <w:pPr>
        <w:ind w:hanging="360"/>
        <w:divId w:val="1426611513"/>
        <w:rPr>
          <w:rFonts w:eastAsia="Times New Roman"/>
        </w:rPr>
      </w:pPr>
      <w:r>
        <w:rPr>
          <w:rFonts w:eastAsia="Times New Roman"/>
          <w:color w:val="000000"/>
          <w:sz w:val="20"/>
          <w:szCs w:val="20"/>
        </w:rPr>
        <w:t>•when interest rates rise rapidly, policy loans and surrenders and withdrawals of annuity contracts and life insurance policies may increase, requiring us to sell investment assets potentially resulting in realized investment losses, or requiring us to acc</w:t>
      </w:r>
      <w:r>
        <w:rPr>
          <w:rFonts w:eastAsia="Times New Roman"/>
          <w:color w:val="000000"/>
          <w:sz w:val="20"/>
          <w:szCs w:val="20"/>
        </w:rPr>
        <w:t>elerate the amortization of DAC, which could reduce our net income;</w:t>
      </w:r>
    </w:p>
    <w:p w:rsidR="00000000" w:rsidRDefault="005B0BC3">
      <w:pPr>
        <w:ind w:hanging="360"/>
        <w:divId w:val="92944355"/>
        <w:rPr>
          <w:rFonts w:eastAsia="Times New Roman"/>
        </w:rPr>
      </w:pPr>
      <w:r>
        <w:rPr>
          <w:rFonts w:eastAsia="Times New Roman"/>
          <w:color w:val="000000"/>
          <w:sz w:val="20"/>
          <w:szCs w:val="20"/>
        </w:rPr>
        <w:t>•a decline in interest rates accompanied by unexpected prepayments of certain investments may result in reduced investment income and a decline in our profitability. An increase in interes</w:t>
      </w:r>
      <w:r>
        <w:rPr>
          <w:rFonts w:eastAsia="Times New Roman"/>
          <w:color w:val="000000"/>
          <w:sz w:val="20"/>
          <w:szCs w:val="20"/>
        </w:rPr>
        <w:t>t rates accompanied by unexpected extensions of certain lower yielding investments may result in a decline in our profitability;</w:t>
      </w:r>
    </w:p>
    <w:p w:rsidR="00000000" w:rsidRDefault="005B0BC3">
      <w:pPr>
        <w:ind w:hanging="360"/>
        <w:divId w:val="619796512"/>
        <w:rPr>
          <w:rFonts w:eastAsia="Times New Roman"/>
        </w:rPr>
      </w:pPr>
      <w:r>
        <w:rPr>
          <w:rFonts w:eastAsia="Times New Roman"/>
          <w:color w:val="000000"/>
          <w:sz w:val="20"/>
          <w:szCs w:val="20"/>
        </w:rPr>
        <w:t xml:space="preserve">•changes in the relationship between long-term and short-term interest rates may adversely affect the profitability of some of </w:t>
      </w:r>
      <w:r>
        <w:rPr>
          <w:rFonts w:eastAsia="Times New Roman"/>
          <w:color w:val="000000"/>
          <w:sz w:val="20"/>
          <w:szCs w:val="20"/>
        </w:rPr>
        <w:t>our products;</w:t>
      </w:r>
    </w:p>
    <w:p w:rsidR="00000000" w:rsidRDefault="005B0BC3">
      <w:pPr>
        <w:ind w:hanging="360"/>
        <w:divId w:val="1693217775"/>
        <w:rPr>
          <w:rFonts w:eastAsia="Times New Roman"/>
        </w:rPr>
      </w:pPr>
      <w:r>
        <w:rPr>
          <w:rFonts w:eastAsia="Times New Roman"/>
          <w:color w:val="000000"/>
          <w:sz w:val="20"/>
          <w:szCs w:val="20"/>
        </w:rPr>
        <w:t>•changes in interest rates could result in changes to the fair value of our GMIB reinsurance contracts asset, which could increase the volatility of our earnings;</w:t>
      </w:r>
    </w:p>
    <w:p w:rsidR="00000000" w:rsidRDefault="005B0BC3">
      <w:pPr>
        <w:ind w:hanging="360"/>
        <w:divId w:val="1165629902"/>
        <w:rPr>
          <w:rFonts w:eastAsia="Times New Roman"/>
        </w:rPr>
      </w:pPr>
      <w:r>
        <w:rPr>
          <w:rFonts w:eastAsia="Times New Roman"/>
          <w:color w:val="000000"/>
          <w:sz w:val="20"/>
          <w:szCs w:val="20"/>
        </w:rPr>
        <w:t xml:space="preserve">•changes in interest rates could result in changes to the fair value liability </w:t>
      </w:r>
      <w:r>
        <w:rPr>
          <w:rFonts w:eastAsia="Times New Roman"/>
          <w:color w:val="000000"/>
          <w:sz w:val="20"/>
          <w:szCs w:val="20"/>
        </w:rPr>
        <w:t>of our variable annuity GMxB business;</w:t>
      </w:r>
    </w:p>
    <w:p w:rsidR="00000000" w:rsidRDefault="005B0BC3">
      <w:pPr>
        <w:ind w:hanging="360"/>
        <w:divId w:val="242909138"/>
        <w:rPr>
          <w:rFonts w:eastAsia="Times New Roman"/>
        </w:rPr>
      </w:pPr>
      <w:r>
        <w:rPr>
          <w:rFonts w:eastAsia="Times New Roman"/>
          <w:color w:val="000000"/>
          <w:sz w:val="20"/>
          <w:szCs w:val="20"/>
        </w:rPr>
        <w:t>•changes in interest rates may adversely impact our liquidity and increase our costs of financing and hedges;</w:t>
      </w:r>
    </w:p>
    <w:p w:rsidR="00000000" w:rsidRDefault="005B0BC3">
      <w:pPr>
        <w:ind w:hanging="360"/>
        <w:divId w:val="1508323401"/>
        <w:rPr>
          <w:rFonts w:eastAsia="Times New Roman"/>
        </w:rPr>
      </w:pPr>
      <w:r>
        <w:rPr>
          <w:rFonts w:eastAsia="Times New Roman"/>
          <w:color w:val="000000"/>
          <w:sz w:val="20"/>
          <w:szCs w:val="20"/>
        </w:rPr>
        <w:t>•</w:t>
      </w:r>
      <w:r>
        <w:rPr>
          <w:rFonts w:eastAsia="Times New Roman"/>
          <w:color w:val="000000"/>
          <w:sz w:val="20"/>
          <w:szCs w:val="20"/>
        </w:rPr>
        <w:t>we may not be able to effectively mitigate and we may sometimes choose not to fully mitigate or to increase, the interest rate risk of our assets relative to our liabilities; and</w:t>
      </w:r>
    </w:p>
    <w:p w:rsidR="00000000" w:rsidRDefault="005B0BC3">
      <w:pPr>
        <w:ind w:hanging="360"/>
        <w:divId w:val="1901400867"/>
        <w:rPr>
          <w:rFonts w:eastAsia="Times New Roman"/>
        </w:rPr>
      </w:pPr>
      <w:r>
        <w:rPr>
          <w:rFonts w:eastAsia="Times New Roman"/>
          <w:color w:val="000000"/>
          <w:sz w:val="20"/>
          <w:szCs w:val="20"/>
        </w:rPr>
        <w:t>•the delay between the time we make changes in interest rate and other assump</w:t>
      </w:r>
      <w:r>
        <w:rPr>
          <w:rFonts w:eastAsia="Times New Roman"/>
          <w:color w:val="000000"/>
          <w:sz w:val="20"/>
          <w:szCs w:val="20"/>
        </w:rPr>
        <w:t>tions used for product pricing and the time we are able to reflect such changes in assumptions in products available for sale may negatively impact the long-term profitability of certain products sold during the intervening period.</w:t>
      </w:r>
    </w:p>
    <w:p w:rsidR="00000000" w:rsidRDefault="005B0BC3">
      <w:pPr>
        <w:divId w:val="1081869886"/>
        <w:rPr>
          <w:rFonts w:eastAsia="Times New Roman"/>
        </w:rPr>
      </w:pPr>
    </w:p>
    <w:p w:rsidR="00000000" w:rsidRDefault="005B0BC3">
      <w:pPr>
        <w:ind w:firstLine="360"/>
        <w:divId w:val="1921285930"/>
        <w:rPr>
          <w:rFonts w:eastAsia="Times New Roman"/>
        </w:rPr>
      </w:pPr>
      <w:r>
        <w:rPr>
          <w:rFonts w:eastAsia="Times New Roman"/>
          <w:color w:val="000000"/>
          <w:sz w:val="20"/>
          <w:szCs w:val="20"/>
        </w:rPr>
        <w:t>A prolonged period during which interest rates remain low may result in greater costs associated with our variable annuity products with GMxB features; higher costs for some derivative instruments used to hedge certain of our product risks; or shortfalls i</w:t>
      </w:r>
      <w:r>
        <w:rPr>
          <w:rFonts w:eastAsia="Times New Roman"/>
          <w:color w:val="000000"/>
          <w:sz w:val="20"/>
          <w:szCs w:val="20"/>
        </w:rPr>
        <w:t xml:space="preserve">n investment income on assets supporting policy obligations as our portfolio earnings decline over time, each of which may require us to record charges to increase reserves. In addition, an extended period of declining or low interest rates may also cause </w:t>
      </w:r>
      <w:r>
        <w:rPr>
          <w:rFonts w:eastAsia="Times New Roman"/>
          <w:color w:val="000000"/>
          <w:sz w:val="20"/>
          <w:szCs w:val="20"/>
        </w:rPr>
        <w:t>us to change our long-term view of the interest rates that we can earn on our investments. Such a change in our view would cause us to change the long-term interest rate that we assume in our calculation of insurance assets and liabilities under U.S. GAAP.</w:t>
      </w:r>
      <w:r>
        <w:rPr>
          <w:rFonts w:eastAsia="Times New Roman"/>
          <w:color w:val="000000"/>
          <w:sz w:val="20"/>
          <w:szCs w:val="20"/>
        </w:rPr>
        <w:t xml:space="preserve"> Any future revision would result in increased reserves, accelerated amortization of DAC and other unfavorable consequences. In addition, certain statutory capital and reserve requirements are based on formulas or models that consider interest rates, and a</w:t>
      </w:r>
      <w:r>
        <w:rPr>
          <w:rFonts w:eastAsia="Times New Roman"/>
          <w:color w:val="000000"/>
          <w:sz w:val="20"/>
          <w:szCs w:val="20"/>
        </w:rPr>
        <w:t>n extended period of low interest rates may increase the statutory capital we are required to hold and the amount of assets we must maintain to support statutory reserves. Furthermore, such an environment may cause certain policies to remain in force for l</w:t>
      </w:r>
      <w:r>
        <w:rPr>
          <w:rFonts w:eastAsia="Times New Roman"/>
          <w:color w:val="000000"/>
          <w:sz w:val="20"/>
          <w:szCs w:val="20"/>
        </w:rPr>
        <w:t>onger periods than we anticipated in our pricing, potentially resulting in greater claims costs than we expected and resulting in lower overall returns on business in force. Widening credit spreads, if not offset by equal or greater declines in the risk-fr</w:t>
      </w:r>
      <w:r>
        <w:rPr>
          <w:rFonts w:eastAsia="Times New Roman"/>
          <w:color w:val="000000"/>
          <w:sz w:val="20"/>
          <w:szCs w:val="20"/>
        </w:rPr>
        <w:t>ee interest rate, would also cause the total interest rate payable on newly issued securities to increase, and thus would have the same effect as an increase in underlying interest rates.</w:t>
      </w:r>
    </w:p>
    <w:p w:rsidR="00000000" w:rsidRDefault="005B0BC3">
      <w:pPr>
        <w:jc w:val="both"/>
        <w:divId w:val="448594968"/>
        <w:rPr>
          <w:rFonts w:eastAsia="Times New Roman"/>
        </w:rPr>
      </w:pPr>
      <w:r>
        <w:rPr>
          <w:rFonts w:eastAsia="Times New Roman"/>
          <w:b/>
          <w:bCs/>
          <w:i/>
          <w:iCs/>
          <w:color w:val="000000"/>
          <w:sz w:val="20"/>
          <w:szCs w:val="20"/>
        </w:rPr>
        <w:t>Market conditions and other factors could materially and adversely a</w:t>
      </w:r>
      <w:r>
        <w:rPr>
          <w:rFonts w:eastAsia="Times New Roman"/>
          <w:b/>
          <w:bCs/>
          <w:i/>
          <w:iCs/>
          <w:color w:val="000000"/>
          <w:sz w:val="20"/>
          <w:szCs w:val="20"/>
        </w:rPr>
        <w:t>ffect our goodwill.</w:t>
      </w:r>
    </w:p>
    <w:p w:rsidR="00000000" w:rsidRDefault="005B0BC3">
      <w:pPr>
        <w:ind w:firstLine="360"/>
        <w:divId w:val="78523563"/>
        <w:rPr>
          <w:rFonts w:eastAsia="Times New Roman"/>
        </w:rPr>
      </w:pPr>
      <w:r>
        <w:rPr>
          <w:rFonts w:eastAsia="Times New Roman"/>
          <w:color w:val="000000"/>
          <w:sz w:val="20"/>
          <w:szCs w:val="20"/>
        </w:rPr>
        <w:t xml:space="preserve">Business and market conditions may impact the amount of goodwill we carry in our consolidated balance sheet related to the Investment Management and Research segment. To the extent that securities valuations are depressed for prolonged </w:t>
      </w:r>
      <w:r>
        <w:rPr>
          <w:rFonts w:eastAsia="Times New Roman"/>
          <w:color w:val="000000"/>
          <w:sz w:val="20"/>
          <w:szCs w:val="20"/>
        </w:rPr>
        <w:t>periods of time or market conditions deteriorate, or that AB experiences significant net redemptions, its AUM, revenues, profitability and unit price will be adversely affected. This may result in the need to recognize an impairment of goodwill which could</w:t>
      </w:r>
      <w:r>
        <w:rPr>
          <w:rFonts w:eastAsia="Times New Roman"/>
          <w:color w:val="000000"/>
          <w:sz w:val="20"/>
          <w:szCs w:val="20"/>
        </w:rPr>
        <w:t xml:space="preserve"> adversely affect our business, results of operations or financial condition.</w:t>
      </w:r>
    </w:p>
    <w:p w:rsidR="00000000" w:rsidRDefault="005B0BC3">
      <w:pPr>
        <w:jc w:val="both"/>
        <w:divId w:val="530261661"/>
        <w:rPr>
          <w:rFonts w:eastAsia="Times New Roman"/>
        </w:rPr>
      </w:pPr>
      <w:r>
        <w:rPr>
          <w:rFonts w:eastAsia="Times New Roman"/>
          <w:b/>
          <w:bCs/>
          <w:i/>
          <w:iCs/>
          <w:color w:val="000000"/>
          <w:sz w:val="20"/>
          <w:szCs w:val="20"/>
        </w:rPr>
        <w:t>Adverse capital and credit market conditions.</w:t>
      </w:r>
    </w:p>
    <w:p w:rsidR="00000000" w:rsidRDefault="005B0BC3">
      <w:pPr>
        <w:ind w:firstLine="360"/>
        <w:divId w:val="2058238209"/>
        <w:rPr>
          <w:rFonts w:eastAsia="Times New Roman"/>
        </w:rPr>
      </w:pPr>
      <w:r>
        <w:rPr>
          <w:rFonts w:eastAsia="Times New Roman"/>
          <w:color w:val="000000"/>
          <w:sz w:val="20"/>
          <w:szCs w:val="20"/>
        </w:rPr>
        <w:t xml:space="preserve">Volatility and disruption in the capital and credit markets may exert downward pressure on the availability of liquidity and credit </w:t>
      </w:r>
      <w:r>
        <w:rPr>
          <w:rFonts w:eastAsia="Times New Roman"/>
          <w:color w:val="000000"/>
          <w:sz w:val="20"/>
          <w:szCs w:val="20"/>
        </w:rPr>
        <w:t>capacity. We need liquidity to pay our operating expenses (including potential hedging losses), interest expenses and any distributions on our capital stock and to capitalize our insurance subsidiaries. Without sufficient liquidity, we could be required to</w:t>
      </w:r>
      <w:r>
        <w:rPr>
          <w:rFonts w:eastAsia="Times New Roman"/>
          <w:color w:val="000000"/>
          <w:sz w:val="20"/>
          <w:szCs w:val="20"/>
        </w:rPr>
        <w:t xml:space="preserve"> curtail our operations and our business would suffer. While we expect that our future liquidity needs will be satisfied primarily through cash generated by our operations, borrowings from third parties and dividends and distributions from our subsidiaries</w:t>
      </w:r>
      <w:r>
        <w:rPr>
          <w:rFonts w:eastAsia="Times New Roman"/>
          <w:color w:val="000000"/>
          <w:sz w:val="20"/>
          <w:szCs w:val="20"/>
        </w:rPr>
        <w:t>, it is possible that we will not be able to meet our anticipated short-term and long-term benefit and expense payment obligations. If current resources are insufficient to satisfy our needs, we may access financing sources such as bank debt or the capital</w:t>
      </w:r>
      <w:r>
        <w:rPr>
          <w:rFonts w:eastAsia="Times New Roman"/>
          <w:color w:val="000000"/>
          <w:sz w:val="20"/>
          <w:szCs w:val="20"/>
        </w:rPr>
        <w:t xml:space="preserve"> markets. These services may not be available during times of stress or may only be available on unfavorable terms. If we are unable to access capital markets to issue new debt, refinance existing debt or sell additional shares as needed, or </w:t>
      </w:r>
    </w:p>
    <w:p w:rsidR="00000000" w:rsidRDefault="005B0BC3">
      <w:pPr>
        <w:jc w:val="center"/>
        <w:divId w:val="23022113"/>
        <w:rPr>
          <w:rFonts w:eastAsia="Times New Roman"/>
        </w:rPr>
      </w:pPr>
      <w:r>
        <w:rPr>
          <w:rFonts w:eastAsia="Times New Roman"/>
          <w:color w:val="000000"/>
          <w:sz w:val="20"/>
          <w:szCs w:val="20"/>
        </w:rPr>
        <w:t>56</w:t>
      </w:r>
    </w:p>
    <w:p w:rsidR="00000000" w:rsidRDefault="005B0BC3">
      <w:pPr>
        <w:rPr>
          <w:rFonts w:eastAsia="Times New Roman"/>
        </w:rPr>
      </w:pPr>
      <w:r>
        <w:rPr>
          <w:rFonts w:eastAsia="Times New Roman"/>
        </w:rPr>
        <w:pict>
          <v:rect id="_x0000_i1093" style="width:0;height:1.5pt" o:hralign="center" o:hrstd="t" o:hr="t" fillcolor="#a0a0a0" stroked="f"/>
        </w:pict>
      </w:r>
    </w:p>
    <w:p w:rsidR="00000000" w:rsidRDefault="005B0BC3">
      <w:pPr>
        <w:divId w:val="1273392765"/>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divId w:val="1781560516"/>
        <w:rPr>
          <w:rFonts w:eastAsia="Times New Roman"/>
        </w:rPr>
      </w:pPr>
      <w:r>
        <w:rPr>
          <w:rFonts w:eastAsia="Times New Roman"/>
          <w:color w:val="000000"/>
          <w:sz w:val="20"/>
          <w:szCs w:val="20"/>
        </w:rPr>
        <w:t>if we are unable to obtain such financing on acceptable terms, our business could be adversely impacted. Volatility in the capital markets may also cons</w:t>
      </w:r>
      <w:r>
        <w:rPr>
          <w:rFonts w:eastAsia="Times New Roman"/>
          <w:color w:val="000000"/>
          <w:sz w:val="20"/>
          <w:szCs w:val="20"/>
        </w:rPr>
        <w:t>ume liquidity as we pay hedge losses and meet collateral requirements related to market movements. We expect these hedging programs to incur losses in certain market scenarios, creating a need to pay cash settlements or post collateral to counterparties. A</w:t>
      </w:r>
      <w:r>
        <w:rPr>
          <w:rFonts w:eastAsia="Times New Roman"/>
          <w:color w:val="000000"/>
          <w:sz w:val="20"/>
          <w:szCs w:val="20"/>
        </w:rPr>
        <w:t>lthough our liabilities will also be reduced in these scenarios, this reduction is not immediate, and so in the short term, hedging losses will reduce available liquidity.</w:t>
      </w:r>
    </w:p>
    <w:p w:rsidR="00000000" w:rsidRDefault="005B0BC3">
      <w:pPr>
        <w:ind w:firstLine="360"/>
        <w:divId w:val="972443026"/>
        <w:rPr>
          <w:rFonts w:eastAsia="Times New Roman"/>
        </w:rPr>
      </w:pPr>
      <w:r>
        <w:rPr>
          <w:rFonts w:eastAsia="Times New Roman"/>
          <w:color w:val="000000"/>
          <w:sz w:val="20"/>
          <w:szCs w:val="20"/>
        </w:rPr>
        <w:t>Disruptions, uncertainty or volatility in the capital and credit markets may limit o</w:t>
      </w:r>
      <w:r>
        <w:rPr>
          <w:rFonts w:eastAsia="Times New Roman"/>
          <w:color w:val="000000"/>
          <w:sz w:val="20"/>
          <w:szCs w:val="20"/>
        </w:rPr>
        <w:t>ur ability to raise additional capital to support business growth, or to counter-balance the consequences of losses or increased regulatory reserves and rating agency capital requirements. This could force us to: (i) delay raising capital; (ii) miss paymen</w:t>
      </w:r>
      <w:r>
        <w:rPr>
          <w:rFonts w:eastAsia="Times New Roman"/>
          <w:color w:val="000000"/>
          <w:sz w:val="20"/>
          <w:szCs w:val="20"/>
        </w:rPr>
        <w:t>ts on our debt or reduce or eliminate dividends paid on our capital stock; (iii) issue capital of different types or under different terms than we would otherwise; or (iv) incur a higher cost of capital than would prevail in a more stable market environmen</w:t>
      </w:r>
      <w:r>
        <w:rPr>
          <w:rFonts w:eastAsia="Times New Roman"/>
          <w:color w:val="000000"/>
          <w:sz w:val="20"/>
          <w:szCs w:val="20"/>
        </w:rPr>
        <w:t>t. Ratings agencies may change our credit ratings, and any downgrade is likely to increase our borrowing costs and limit our access to the capital markets and could be detrimental to our business relationships with distribution partners. Our business, resu</w:t>
      </w:r>
      <w:r>
        <w:rPr>
          <w:rFonts w:eastAsia="Times New Roman"/>
          <w:color w:val="000000"/>
          <w:sz w:val="20"/>
          <w:szCs w:val="20"/>
        </w:rPr>
        <w:t>lts of operations, financial condition, liquidity, statutory capital or rating agency capital position could be materially and adversely affected by disruptions in the capital and credit markets.</w:t>
      </w:r>
    </w:p>
    <w:p w:rsidR="00000000" w:rsidRDefault="005B0BC3">
      <w:pPr>
        <w:divId w:val="1840268551"/>
        <w:rPr>
          <w:rFonts w:eastAsia="Times New Roman"/>
        </w:rPr>
      </w:pPr>
      <w:r>
        <w:rPr>
          <w:rFonts w:eastAsia="Times New Roman"/>
          <w:b/>
          <w:bCs/>
          <w:color w:val="000000"/>
          <w:sz w:val="20"/>
          <w:szCs w:val="20"/>
        </w:rPr>
        <w:t>Risks Relating to Our Operations</w:t>
      </w:r>
    </w:p>
    <w:p w:rsidR="00000000" w:rsidRDefault="005B0BC3">
      <w:pPr>
        <w:jc w:val="both"/>
        <w:divId w:val="816067767"/>
        <w:rPr>
          <w:rFonts w:eastAsia="Times New Roman"/>
        </w:rPr>
      </w:pPr>
      <w:r>
        <w:rPr>
          <w:rFonts w:eastAsia="Times New Roman"/>
          <w:b/>
          <w:bCs/>
          <w:i/>
          <w:iCs/>
          <w:color w:val="000000"/>
          <w:sz w:val="20"/>
          <w:szCs w:val="20"/>
        </w:rPr>
        <w:t>Holdings depends on the abi</w:t>
      </w:r>
      <w:r>
        <w:rPr>
          <w:rFonts w:eastAsia="Times New Roman"/>
          <w:b/>
          <w:bCs/>
          <w:i/>
          <w:iCs/>
          <w:color w:val="000000"/>
          <w:sz w:val="20"/>
          <w:szCs w:val="20"/>
        </w:rPr>
        <w:t>lity of its subsidiaries to transfer funds to it to meet its obligations.</w:t>
      </w:r>
    </w:p>
    <w:p w:rsidR="00000000" w:rsidRDefault="005B0BC3">
      <w:pPr>
        <w:ind w:firstLine="360"/>
        <w:divId w:val="1801192800"/>
        <w:rPr>
          <w:rFonts w:eastAsia="Times New Roman"/>
        </w:rPr>
      </w:pPr>
      <w:r>
        <w:rPr>
          <w:rFonts w:eastAsia="Times New Roman"/>
          <w:color w:val="000000"/>
          <w:sz w:val="20"/>
          <w:szCs w:val="20"/>
        </w:rPr>
        <w:t xml:space="preserve">Dividends and other distributions from Holdings’ subsidiaries are the principal sources of funds available to Holdings to pay principal and interest on its outstanding indebtedness, </w:t>
      </w:r>
      <w:r>
        <w:rPr>
          <w:rFonts w:eastAsia="Times New Roman"/>
          <w:color w:val="000000"/>
          <w:sz w:val="20"/>
          <w:szCs w:val="20"/>
        </w:rPr>
        <w:t>to pay corporate operating expenses, to pay any stockholder dividends, to repurchase stock and to meet its other obligations. The inability to receive dividends from our subsidiaries could have a material adverse effect on our business, results of operatio</w:t>
      </w:r>
      <w:r>
        <w:rPr>
          <w:rFonts w:eastAsia="Times New Roman"/>
          <w:color w:val="000000"/>
          <w:sz w:val="20"/>
          <w:szCs w:val="20"/>
        </w:rPr>
        <w:t>ns or financial condition. The ability of our insurance subsidiaries to pay dividends and make other distributions to Holdings will depend on their earnings, tax considerations, covenants contained in any financing or other agreements and applicable regula</w:t>
      </w:r>
      <w:r>
        <w:rPr>
          <w:rFonts w:eastAsia="Times New Roman"/>
          <w:color w:val="000000"/>
          <w:sz w:val="20"/>
          <w:szCs w:val="20"/>
        </w:rPr>
        <w:t>tory restrictions and receipt of regulatory approvals. If the ability of our insurance or non-insurance subsidiaries to pay dividends or make other distributions or payments to Holdings is materially restricted by these or other factors, we may be required</w:t>
      </w:r>
      <w:r>
        <w:rPr>
          <w:rFonts w:eastAsia="Times New Roman"/>
          <w:color w:val="000000"/>
          <w:sz w:val="20"/>
          <w:szCs w:val="20"/>
        </w:rPr>
        <w:t xml:space="preserve"> to raise cash through the incurrence of debt, the issuance of equity or the sale of assets. However, there is no assurance that we would be able to raise sufficient cash by these means. This could materially and adversely affect our ability to pay our obl</w:t>
      </w:r>
      <w:r>
        <w:rPr>
          <w:rFonts w:eastAsia="Times New Roman"/>
          <w:color w:val="000000"/>
          <w:sz w:val="20"/>
          <w:szCs w:val="20"/>
        </w:rPr>
        <w:t>igations.</w:t>
      </w:r>
    </w:p>
    <w:p w:rsidR="00000000" w:rsidRDefault="005B0BC3">
      <w:pPr>
        <w:jc w:val="both"/>
        <w:divId w:val="1061364308"/>
        <w:rPr>
          <w:rFonts w:eastAsia="Times New Roman"/>
        </w:rPr>
      </w:pPr>
      <w:r>
        <w:rPr>
          <w:rFonts w:eastAsia="Times New Roman"/>
          <w:b/>
          <w:bCs/>
          <w:i/>
          <w:iCs/>
          <w:color w:val="000000"/>
          <w:sz w:val="20"/>
          <w:szCs w:val="20"/>
        </w:rPr>
        <w:t>Failure to protect the confidentiality of customer information or proprietary business information.</w:t>
      </w:r>
    </w:p>
    <w:p w:rsidR="00000000" w:rsidRDefault="005B0BC3">
      <w:pPr>
        <w:ind w:firstLine="360"/>
        <w:divId w:val="314457343"/>
        <w:rPr>
          <w:rFonts w:eastAsia="Times New Roman"/>
        </w:rPr>
      </w:pPr>
      <w:r>
        <w:rPr>
          <w:rFonts w:eastAsia="Times New Roman"/>
          <w:color w:val="000000"/>
          <w:sz w:val="20"/>
          <w:szCs w:val="20"/>
        </w:rPr>
        <w:t>We and certain of our vendors retain confidential information (including customer transactional data and personal information about our customers,</w:t>
      </w:r>
      <w:r>
        <w:rPr>
          <w:rFonts w:eastAsia="Times New Roman"/>
          <w:color w:val="000000"/>
          <w:sz w:val="20"/>
          <w:szCs w:val="20"/>
        </w:rPr>
        <w:t xml:space="preserve"> the employees and customers of our customers, and our own employees). The privacy of this information may be compromised, including as a result of an information security breach. We have implemented a formal, risk-based data security program; however, fai</w:t>
      </w:r>
      <w:r>
        <w:rPr>
          <w:rFonts w:eastAsia="Times New Roman"/>
          <w:color w:val="000000"/>
          <w:sz w:val="20"/>
          <w:szCs w:val="20"/>
        </w:rPr>
        <w:t>lure to implement and maintain effective cybersecurity programs, or any compromise of the security of our information systems, or those of our vendors, or the cloud-based systems we use, through cyber-attacks or for any other reason that results in unautho</w:t>
      </w:r>
      <w:r>
        <w:rPr>
          <w:rFonts w:eastAsia="Times New Roman"/>
          <w:color w:val="000000"/>
          <w:sz w:val="20"/>
          <w:szCs w:val="20"/>
        </w:rPr>
        <w:t>rized access, use, disclosure or destruction of personally identifiable information or customer information, or the disruption of critical operations and services, could damage our reputation, deter people from purchasing our products, subject us to signif</w:t>
      </w:r>
      <w:r>
        <w:rPr>
          <w:rFonts w:eastAsia="Times New Roman"/>
          <w:color w:val="000000"/>
          <w:sz w:val="20"/>
          <w:szCs w:val="20"/>
        </w:rPr>
        <w:t>icant civil and criminal liability and require us to incur significant technical, legal and other expenses any of which could have a material adverse effect on our business, results of operations or financial condition.</w:t>
      </w:r>
    </w:p>
    <w:p w:rsidR="00000000" w:rsidRDefault="005B0BC3">
      <w:pPr>
        <w:jc w:val="both"/>
        <w:divId w:val="381101334"/>
        <w:rPr>
          <w:rFonts w:eastAsia="Times New Roman"/>
        </w:rPr>
      </w:pPr>
      <w:r>
        <w:rPr>
          <w:rFonts w:eastAsia="Times New Roman"/>
          <w:b/>
          <w:bCs/>
          <w:i/>
          <w:iCs/>
          <w:color w:val="000000"/>
          <w:sz w:val="20"/>
          <w:szCs w:val="20"/>
        </w:rPr>
        <w:t>Our operational failures or those of</w:t>
      </w:r>
      <w:r>
        <w:rPr>
          <w:rFonts w:eastAsia="Times New Roman"/>
          <w:b/>
          <w:bCs/>
          <w:i/>
          <w:iCs/>
          <w:color w:val="000000"/>
          <w:sz w:val="20"/>
          <w:szCs w:val="20"/>
        </w:rPr>
        <w:t xml:space="preserve"> service providers on which we rely.</w:t>
      </w:r>
    </w:p>
    <w:p w:rsidR="00000000" w:rsidRDefault="005B0BC3">
      <w:pPr>
        <w:ind w:firstLine="360"/>
        <w:divId w:val="1538084821"/>
        <w:rPr>
          <w:rFonts w:eastAsia="Times New Roman"/>
        </w:rPr>
      </w:pPr>
      <w:r>
        <w:rPr>
          <w:rFonts w:eastAsia="Times New Roman"/>
          <w:color w:val="000000"/>
          <w:sz w:val="20"/>
          <w:szCs w:val="20"/>
        </w:rPr>
        <w:t>Weaknesses or failures in our internal processes or systems or those of our vendors could lead to disruption of our operations, liability to clients, exposure to disciplinary action or harm to our reputation. Our busine</w:t>
      </w:r>
      <w:r>
        <w:rPr>
          <w:rFonts w:eastAsia="Times New Roman"/>
          <w:color w:val="000000"/>
          <w:sz w:val="20"/>
          <w:szCs w:val="20"/>
        </w:rPr>
        <w:t>ss is highly dependent on our ability to process large numbers of transactions, many of which are highly complex, across numerous and diverse markets. These transactions generally must comply with client investment guidelines, as well as stringent legal an</w:t>
      </w:r>
      <w:r>
        <w:rPr>
          <w:rFonts w:eastAsia="Times New Roman"/>
          <w:color w:val="000000"/>
          <w:sz w:val="20"/>
          <w:szCs w:val="20"/>
        </w:rPr>
        <w:t>d regulatory standards. If we make a mistake in performing our services that causes financial harm to a client, we have a duty to act promptly to put the client in the position the client would have been in had we not made the error. The occurrence of mist</w:t>
      </w:r>
      <w:r>
        <w:rPr>
          <w:rFonts w:eastAsia="Times New Roman"/>
          <w:color w:val="000000"/>
          <w:sz w:val="20"/>
          <w:szCs w:val="20"/>
        </w:rPr>
        <w:t>akes, particularly significant ones, can have a material adverse effect on our reputation, business, results of operations or financial condition.</w:t>
      </w:r>
    </w:p>
    <w:p w:rsidR="00000000" w:rsidRDefault="005B0BC3">
      <w:pPr>
        <w:jc w:val="both"/>
        <w:divId w:val="722607263"/>
        <w:rPr>
          <w:rFonts w:eastAsia="Times New Roman"/>
        </w:rPr>
      </w:pPr>
      <w:r>
        <w:rPr>
          <w:rFonts w:eastAsia="Times New Roman"/>
          <w:b/>
          <w:bCs/>
          <w:i/>
          <w:iCs/>
          <w:color w:val="000000"/>
          <w:sz w:val="20"/>
          <w:szCs w:val="20"/>
        </w:rPr>
        <w:t>The occurrence of a catastrophe, including natural or man-made disasters.</w:t>
      </w:r>
    </w:p>
    <w:p w:rsidR="00000000" w:rsidRDefault="005B0BC3">
      <w:pPr>
        <w:divId w:val="263653844"/>
        <w:rPr>
          <w:rFonts w:eastAsia="Times New Roman"/>
        </w:rPr>
      </w:pPr>
      <w:r>
        <w:rPr>
          <w:rFonts w:eastAsia="Times New Roman"/>
          <w:color w:val="000000"/>
          <w:sz w:val="20"/>
          <w:szCs w:val="20"/>
        </w:rPr>
        <w:t>Any catastrophic event, such as pan</w:t>
      </w:r>
      <w:r>
        <w:rPr>
          <w:rFonts w:eastAsia="Times New Roman"/>
          <w:color w:val="000000"/>
          <w:sz w:val="20"/>
          <w:szCs w:val="20"/>
        </w:rPr>
        <w:t>demic diseases like COVID-19, terrorist attacks, accidents, floods, severe storms or hurricanes or cyber-terrorism, could have a material and adverse effect on our business. We could experience long-term interruptions in our service and the services provid</w:t>
      </w:r>
      <w:r>
        <w:rPr>
          <w:rFonts w:eastAsia="Times New Roman"/>
          <w:color w:val="000000"/>
          <w:sz w:val="20"/>
          <w:szCs w:val="20"/>
        </w:rPr>
        <w:t>ed by our significant vendors. Some of our operational systems are not fully redundant, and our disaster recovery and business continuity planning cannot account for all eventualities. Additionally, unanticipated problems with our disaster recovery systems</w:t>
      </w:r>
      <w:r>
        <w:rPr>
          <w:rFonts w:eastAsia="Times New Roman"/>
          <w:color w:val="000000"/>
          <w:sz w:val="20"/>
          <w:szCs w:val="20"/>
        </w:rPr>
        <w:t xml:space="preserve"> could further impede our ability to conduct business, particularly if </w:t>
      </w:r>
    </w:p>
    <w:p w:rsidR="00000000" w:rsidRDefault="005B0BC3">
      <w:pPr>
        <w:jc w:val="center"/>
        <w:divId w:val="446393399"/>
        <w:rPr>
          <w:rFonts w:eastAsia="Times New Roman"/>
        </w:rPr>
      </w:pPr>
      <w:r>
        <w:rPr>
          <w:rFonts w:eastAsia="Times New Roman"/>
          <w:color w:val="000000"/>
          <w:sz w:val="20"/>
          <w:szCs w:val="20"/>
        </w:rPr>
        <w:t>57</w:t>
      </w:r>
    </w:p>
    <w:p w:rsidR="00000000" w:rsidRDefault="005B0BC3">
      <w:pPr>
        <w:rPr>
          <w:rFonts w:eastAsia="Times New Roman"/>
        </w:rPr>
      </w:pPr>
      <w:r>
        <w:rPr>
          <w:rFonts w:eastAsia="Times New Roman"/>
        </w:rPr>
        <w:pict>
          <v:rect id="_x0000_i1094" style="width:0;height:1.5pt" o:hralign="center" o:hrstd="t" o:hr="t" fillcolor="#a0a0a0" stroked="f"/>
        </w:pict>
      </w:r>
    </w:p>
    <w:p w:rsidR="00000000" w:rsidRDefault="005B0BC3">
      <w:pPr>
        <w:divId w:val="475419402"/>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divId w:val="1917931491"/>
        <w:rPr>
          <w:rFonts w:eastAsia="Times New Roman"/>
        </w:rPr>
      </w:pPr>
      <w:r>
        <w:rPr>
          <w:rFonts w:eastAsia="Times New Roman"/>
          <w:color w:val="000000"/>
          <w:sz w:val="20"/>
          <w:szCs w:val="20"/>
        </w:rPr>
        <w:t>those problems affect our computer-based data processing, transmis</w:t>
      </w:r>
      <w:r>
        <w:rPr>
          <w:rFonts w:eastAsia="Times New Roman"/>
          <w:color w:val="000000"/>
          <w:sz w:val="20"/>
          <w:szCs w:val="20"/>
        </w:rPr>
        <w:t>sion, storage and retrieval systems and destroy valuable data. We could experience a material adverse effect on our liquidity, financial condition and the operating results of our insurance business due to increased mortality and, in certain cases, morbidi</w:t>
      </w:r>
      <w:r>
        <w:rPr>
          <w:rFonts w:eastAsia="Times New Roman"/>
          <w:color w:val="000000"/>
          <w:sz w:val="20"/>
          <w:szCs w:val="20"/>
        </w:rPr>
        <w:t>ty rates and/or its impact on the economy and financial markets. Our workforce may be unable to be physically located at one of our facilities, which could result in lengthy interruptions in our service. A catastrophe may affect our computer-based data pro</w:t>
      </w:r>
      <w:r>
        <w:rPr>
          <w:rFonts w:eastAsia="Times New Roman"/>
          <w:color w:val="000000"/>
          <w:sz w:val="20"/>
          <w:szCs w:val="20"/>
        </w:rPr>
        <w:t>cessing, transmission, storage and retrieval systems and destroy valuable data. Climate change may increase the frequency and severity of weather-related disasters and pandemics.</w:t>
      </w:r>
    </w:p>
    <w:p w:rsidR="00000000" w:rsidRDefault="005B0BC3">
      <w:pPr>
        <w:divId w:val="1513493173"/>
        <w:rPr>
          <w:rFonts w:eastAsia="Times New Roman"/>
        </w:rPr>
      </w:pPr>
    </w:p>
    <w:p w:rsidR="00000000" w:rsidRDefault="005B0BC3">
      <w:pPr>
        <w:jc w:val="both"/>
        <w:divId w:val="723677581"/>
        <w:rPr>
          <w:rFonts w:eastAsia="Times New Roman"/>
        </w:rPr>
      </w:pPr>
      <w:r>
        <w:rPr>
          <w:rFonts w:eastAsia="Times New Roman"/>
          <w:b/>
          <w:bCs/>
          <w:i/>
          <w:iCs/>
          <w:color w:val="000000"/>
          <w:sz w:val="20"/>
          <w:szCs w:val="20"/>
        </w:rPr>
        <w:t>Our ability to recruit, motivate and retain key employees and experienced and productive financial professionals.</w:t>
      </w:r>
    </w:p>
    <w:p w:rsidR="00000000" w:rsidRDefault="005B0BC3">
      <w:pPr>
        <w:ind w:firstLine="360"/>
        <w:divId w:val="1359702416"/>
        <w:rPr>
          <w:rFonts w:eastAsia="Times New Roman"/>
        </w:rPr>
      </w:pPr>
      <w:r>
        <w:rPr>
          <w:rFonts w:eastAsia="Times New Roman"/>
          <w:color w:val="000000"/>
          <w:sz w:val="20"/>
          <w:szCs w:val="20"/>
        </w:rPr>
        <w:t>Our business depends on our ability to recruit, motivate and retain highly skilled, technical, investment, managerial and executive personnel,</w:t>
      </w:r>
      <w:r>
        <w:rPr>
          <w:rFonts w:eastAsia="Times New Roman"/>
          <w:color w:val="000000"/>
          <w:sz w:val="20"/>
          <w:szCs w:val="20"/>
        </w:rPr>
        <w:t xml:space="preserve"> and there is no assurance that we will be able to do so. Our financial professionals and our key employees are key factors driving our sales. Intense competition exists among insurers and other financial services companies for financial professionals and </w:t>
      </w:r>
      <w:r>
        <w:rPr>
          <w:rFonts w:eastAsia="Times New Roman"/>
          <w:color w:val="000000"/>
          <w:sz w:val="20"/>
          <w:szCs w:val="20"/>
        </w:rPr>
        <w:t>key employees. We cannot provide assurances that we will be successful in our respective efforts to recruit, motivate and retain key employees and top financial professionals and the loss of such employees and professionals could have a material adverse ef</w:t>
      </w:r>
      <w:r>
        <w:rPr>
          <w:rFonts w:eastAsia="Times New Roman"/>
          <w:color w:val="000000"/>
          <w:sz w:val="20"/>
          <w:szCs w:val="20"/>
        </w:rPr>
        <w:t>fect on our business, results of operations or financial condition.</w:t>
      </w:r>
    </w:p>
    <w:p w:rsidR="00000000" w:rsidRDefault="005B0BC3">
      <w:pPr>
        <w:jc w:val="both"/>
        <w:divId w:val="1692535480"/>
        <w:rPr>
          <w:rFonts w:eastAsia="Times New Roman"/>
        </w:rPr>
      </w:pPr>
      <w:r>
        <w:rPr>
          <w:rFonts w:eastAsia="Times New Roman"/>
          <w:b/>
          <w:bCs/>
          <w:i/>
          <w:iCs/>
          <w:color w:val="000000"/>
          <w:sz w:val="20"/>
          <w:szCs w:val="20"/>
        </w:rPr>
        <w:t>Misconduct by our employees or financial professionals.</w:t>
      </w:r>
    </w:p>
    <w:p w:rsidR="00000000" w:rsidRDefault="005B0BC3">
      <w:pPr>
        <w:ind w:firstLine="360"/>
        <w:divId w:val="847258723"/>
        <w:rPr>
          <w:rFonts w:eastAsia="Times New Roman"/>
        </w:rPr>
      </w:pPr>
      <w:r>
        <w:rPr>
          <w:rFonts w:eastAsia="Times New Roman"/>
          <w:color w:val="000000"/>
          <w:sz w:val="20"/>
          <w:szCs w:val="20"/>
        </w:rPr>
        <w:t>Misconduct by our employees, financial professionals, agents, intermediaries, representatives of our broker-dealer subsidiaries or employees of our vendors could result in violations of law by us or our subsidiaries, regulatory sanctions or serious reputat</w:t>
      </w:r>
      <w:r>
        <w:rPr>
          <w:rFonts w:eastAsia="Times New Roman"/>
          <w:color w:val="000000"/>
          <w:sz w:val="20"/>
          <w:szCs w:val="20"/>
        </w:rPr>
        <w:t xml:space="preserve">ional or financial harm. We employ controls and procedures designed to monitor employees’ and financial professionals’ business decisions and to prevent them from taking excessive or inappropriate risks, including with respect to information security, but </w:t>
      </w:r>
      <w:r>
        <w:rPr>
          <w:rFonts w:eastAsia="Times New Roman"/>
          <w:color w:val="000000"/>
          <w:sz w:val="20"/>
          <w:szCs w:val="20"/>
        </w:rPr>
        <w:t>employees may take such risks regardless of such controls and procedures. If our employees or financial professionals take excessive or inappropriate risks, those risks could harm our reputation, subject us to significant civil or criminal liability and re</w:t>
      </w:r>
      <w:r>
        <w:rPr>
          <w:rFonts w:eastAsia="Times New Roman"/>
          <w:color w:val="000000"/>
          <w:sz w:val="20"/>
          <w:szCs w:val="20"/>
        </w:rPr>
        <w:t>quire us to incur significant technical, legal and other expenses.</w:t>
      </w:r>
    </w:p>
    <w:p w:rsidR="00000000" w:rsidRDefault="005B0BC3">
      <w:pPr>
        <w:jc w:val="both"/>
        <w:divId w:val="23293919"/>
        <w:rPr>
          <w:rFonts w:eastAsia="Times New Roman"/>
        </w:rPr>
      </w:pPr>
      <w:r>
        <w:rPr>
          <w:rFonts w:eastAsia="Times New Roman"/>
          <w:b/>
          <w:bCs/>
          <w:i/>
          <w:iCs/>
          <w:color w:val="000000"/>
          <w:sz w:val="20"/>
          <w:szCs w:val="20"/>
        </w:rPr>
        <w:t>Potential strategic transactions.</w:t>
      </w:r>
    </w:p>
    <w:p w:rsidR="00000000" w:rsidRDefault="005B0BC3">
      <w:pPr>
        <w:ind w:firstLine="360"/>
        <w:divId w:val="1921674574"/>
        <w:rPr>
          <w:rFonts w:eastAsia="Times New Roman"/>
        </w:rPr>
      </w:pPr>
      <w:r>
        <w:rPr>
          <w:rFonts w:eastAsia="Times New Roman"/>
          <w:color w:val="000000"/>
          <w:sz w:val="20"/>
          <w:szCs w:val="20"/>
        </w:rPr>
        <w:t>We may consider potential strategic transactions, including acquisitions, dispositions, mergers, joint ventures and similar transactions. These transaction</w:t>
      </w:r>
      <w:r>
        <w:rPr>
          <w:rFonts w:eastAsia="Times New Roman"/>
          <w:color w:val="000000"/>
          <w:sz w:val="20"/>
          <w:szCs w:val="20"/>
        </w:rPr>
        <w:t>s may not be effective and could result in decreased earnings and harm to our competitive position. In addition, these transactions, if undertaken, may involve a number of risks and present financial, managerial and operational challenges. Furthermore, str</w:t>
      </w:r>
      <w:r>
        <w:rPr>
          <w:rFonts w:eastAsia="Times New Roman"/>
          <w:color w:val="000000"/>
          <w:sz w:val="20"/>
          <w:szCs w:val="20"/>
        </w:rPr>
        <w:t>ategic transactions may require us to increase our leverage or, if we issue shares to fund an acquisition, would dilute the holdings of the existing stockholders. Any of the above could cause us to fail to realize the benefits anticipated from any such tra</w:t>
      </w:r>
      <w:r>
        <w:rPr>
          <w:rFonts w:eastAsia="Times New Roman"/>
          <w:color w:val="000000"/>
          <w:sz w:val="20"/>
          <w:szCs w:val="20"/>
        </w:rPr>
        <w:t>nsaction.</w:t>
      </w:r>
    </w:p>
    <w:p w:rsidR="00000000" w:rsidRDefault="005B0BC3">
      <w:pPr>
        <w:jc w:val="both"/>
        <w:divId w:val="1669093813"/>
        <w:rPr>
          <w:rFonts w:eastAsia="Times New Roman"/>
        </w:rPr>
      </w:pPr>
      <w:r>
        <w:rPr>
          <w:rFonts w:eastAsia="Times New Roman"/>
          <w:b/>
          <w:bCs/>
          <w:i/>
          <w:iCs/>
          <w:color w:val="000000"/>
          <w:sz w:val="20"/>
          <w:szCs w:val="20"/>
        </w:rPr>
        <w:t>Changes in accounting standards.</w:t>
      </w:r>
    </w:p>
    <w:p w:rsidR="00000000" w:rsidRDefault="005B0BC3">
      <w:pPr>
        <w:ind w:firstLine="360"/>
        <w:divId w:val="452483157"/>
        <w:rPr>
          <w:rFonts w:eastAsia="Times New Roman"/>
        </w:rPr>
      </w:pPr>
      <w:r>
        <w:rPr>
          <w:rFonts w:eastAsia="Times New Roman"/>
          <w:color w:val="000000"/>
          <w:sz w:val="20"/>
          <w:szCs w:val="20"/>
        </w:rPr>
        <w:t>Our consolidated financial statements are prepared in accordance with U.S. GAAP, the principles of which are revised from time to time. Accordingly, from time to time we are required to adopt new or revised accoun</w:t>
      </w:r>
      <w:r>
        <w:rPr>
          <w:rFonts w:eastAsia="Times New Roman"/>
          <w:color w:val="000000"/>
          <w:sz w:val="20"/>
          <w:szCs w:val="20"/>
        </w:rPr>
        <w:t xml:space="preserve">ting standards issued by recognized authoritative bodies, including the Financial Accounting Standards Board (“FASB”). We may not be able to predict or assess the effects of these new accounting pronouncements or new interpretations of existing accounting </w:t>
      </w:r>
      <w:r>
        <w:rPr>
          <w:rFonts w:eastAsia="Times New Roman"/>
          <w:color w:val="000000"/>
          <w:sz w:val="20"/>
          <w:szCs w:val="20"/>
        </w:rPr>
        <w:t>pronouncements, and they may have material adverse effects on our business, results of operations or financial condition. For a discussion of accounting pronouncements and their potential impact on our business, including Accounting Standards Update 2018-1</w:t>
      </w:r>
      <w:r>
        <w:rPr>
          <w:rFonts w:eastAsia="Times New Roman"/>
          <w:color w:val="000000"/>
          <w:sz w:val="20"/>
          <w:szCs w:val="20"/>
        </w:rPr>
        <w:t>2, Financial Services - Insurance (Topic 944): Targeted Improvements to the Accounting for Long-Duration Contracts, see Note 2 of the Notes to these Consolidated Financial Statements.</w:t>
      </w:r>
    </w:p>
    <w:p w:rsidR="00000000" w:rsidRDefault="005B0BC3">
      <w:pPr>
        <w:divId w:val="1727140899"/>
        <w:rPr>
          <w:rFonts w:eastAsia="Times New Roman"/>
        </w:rPr>
      </w:pPr>
    </w:p>
    <w:p w:rsidR="00000000" w:rsidRDefault="005B0BC3">
      <w:pPr>
        <w:jc w:val="both"/>
        <w:divId w:val="120421207"/>
        <w:rPr>
          <w:rFonts w:eastAsia="Times New Roman"/>
        </w:rPr>
      </w:pPr>
      <w:r>
        <w:rPr>
          <w:rFonts w:eastAsia="Times New Roman"/>
          <w:b/>
          <w:bCs/>
          <w:i/>
          <w:iCs/>
          <w:color w:val="000000"/>
          <w:sz w:val="20"/>
          <w:szCs w:val="20"/>
        </w:rPr>
        <w:t>Our investment advisory agreements with clients, and our selling and d</w:t>
      </w:r>
      <w:r>
        <w:rPr>
          <w:rFonts w:eastAsia="Times New Roman"/>
          <w:b/>
          <w:bCs/>
          <w:i/>
          <w:iCs/>
          <w:color w:val="000000"/>
          <w:sz w:val="20"/>
          <w:szCs w:val="20"/>
        </w:rPr>
        <w:t>istribution agreements with various financial intermediaries and consultants, are subject to termination or non-renewal on short notice.</w:t>
      </w:r>
    </w:p>
    <w:p w:rsidR="00000000" w:rsidRDefault="005B0BC3">
      <w:pPr>
        <w:ind w:firstLine="360"/>
        <w:divId w:val="1974018506"/>
        <w:rPr>
          <w:rFonts w:eastAsia="Times New Roman"/>
        </w:rPr>
      </w:pPr>
      <w:r>
        <w:rPr>
          <w:rFonts w:eastAsia="Times New Roman"/>
          <w:color w:val="000000"/>
          <w:sz w:val="20"/>
          <w:szCs w:val="20"/>
        </w:rPr>
        <w:t>AB derives most of its revenues pursuant to written investment management agreements (or other arrangements) with insti</w:t>
      </w:r>
      <w:r>
        <w:rPr>
          <w:rFonts w:eastAsia="Times New Roman"/>
          <w:color w:val="000000"/>
          <w:sz w:val="20"/>
          <w:szCs w:val="20"/>
        </w:rPr>
        <w:t>tutional investors, mutual funds and private wealth clients, and selling and distribution agreements with financial intermediaries that distribute AB funds.. In addition, as part of our variable annuity products, EIMG enters into written investment managem</w:t>
      </w:r>
      <w:r>
        <w:rPr>
          <w:rFonts w:eastAsia="Times New Roman"/>
          <w:color w:val="000000"/>
          <w:sz w:val="20"/>
          <w:szCs w:val="20"/>
        </w:rPr>
        <w:t>ent agreements (or other arrangements) with mutual funds. Generally, these investment management agreements (and other arrangements) are terminable without penalty at any time or upon relatively short notice by either party. In addition, the investment man</w:t>
      </w:r>
      <w:r>
        <w:rPr>
          <w:rFonts w:eastAsia="Times New Roman"/>
          <w:color w:val="000000"/>
          <w:sz w:val="20"/>
          <w:szCs w:val="20"/>
        </w:rPr>
        <w:t>agement agreements pursuant to which AB and EIMG manage an SEC-registered investment company (a “RIC”) must be renewed and approved by the RIC’s boards of directors (including a majority of the independent directors) annually. Consequently, there can be no</w:t>
      </w:r>
      <w:r>
        <w:rPr>
          <w:rFonts w:eastAsia="Times New Roman"/>
          <w:color w:val="000000"/>
          <w:sz w:val="20"/>
          <w:szCs w:val="20"/>
        </w:rPr>
        <w:t xml:space="preserve"> assurance that the board of directors of each RIC will approve the investment management agreement each year or will not condition its approval on revised terms that may be adverse to us.</w:t>
      </w:r>
    </w:p>
    <w:p w:rsidR="00000000" w:rsidRDefault="005B0BC3">
      <w:pPr>
        <w:jc w:val="center"/>
        <w:divId w:val="1686053883"/>
        <w:rPr>
          <w:rFonts w:eastAsia="Times New Roman"/>
        </w:rPr>
      </w:pPr>
      <w:r>
        <w:rPr>
          <w:rFonts w:eastAsia="Times New Roman"/>
          <w:color w:val="000000"/>
          <w:sz w:val="20"/>
          <w:szCs w:val="20"/>
        </w:rPr>
        <w:t>58</w:t>
      </w:r>
    </w:p>
    <w:p w:rsidR="00000000" w:rsidRDefault="005B0BC3">
      <w:pPr>
        <w:rPr>
          <w:rFonts w:eastAsia="Times New Roman"/>
        </w:rPr>
      </w:pPr>
      <w:r>
        <w:rPr>
          <w:rFonts w:eastAsia="Times New Roman"/>
        </w:rPr>
        <w:pict>
          <v:rect id="_x0000_i1095" style="width:0;height:1.5pt" o:hralign="center" o:hrstd="t" o:hr="t" fillcolor="#a0a0a0" stroked="f"/>
        </w:pict>
      </w:r>
    </w:p>
    <w:p w:rsidR="00000000" w:rsidRDefault="005B0BC3">
      <w:pPr>
        <w:divId w:val="480199922"/>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ind w:firstLine="360"/>
        <w:divId w:val="433407935"/>
        <w:rPr>
          <w:rFonts w:eastAsia="Times New Roman"/>
        </w:rPr>
      </w:pPr>
      <w:r>
        <w:rPr>
          <w:rFonts w:eastAsia="Times New Roman"/>
          <w:color w:val="000000"/>
          <w:sz w:val="20"/>
          <w:szCs w:val="20"/>
        </w:rPr>
        <w:t>Similarly, we enter into selling and distribution agreements with various financial intermediaries that are terminable by either party upon notice (generally 60 days) and do not obligate the financial inter</w:t>
      </w:r>
      <w:r>
        <w:rPr>
          <w:rFonts w:eastAsia="Times New Roman"/>
          <w:color w:val="000000"/>
          <w:sz w:val="20"/>
          <w:szCs w:val="20"/>
        </w:rPr>
        <w:t>mediary to sell any specific amount of our products. These intermediaries generally offer their clients investment products that compete with our products. In addition, certain institutional investors rely on consultants to advise them about choosing an in</w:t>
      </w:r>
      <w:r>
        <w:rPr>
          <w:rFonts w:eastAsia="Times New Roman"/>
          <w:color w:val="000000"/>
          <w:sz w:val="20"/>
          <w:szCs w:val="20"/>
        </w:rPr>
        <w:t>vestment adviser and some of AB’s services may not be considered among the best choices by these consultants. As a result, investment consultants may advise their clients to move their assets invested with AB to other investment advisers, which could resul</w:t>
      </w:r>
      <w:r>
        <w:rPr>
          <w:rFonts w:eastAsia="Times New Roman"/>
          <w:color w:val="000000"/>
          <w:sz w:val="20"/>
          <w:szCs w:val="20"/>
        </w:rPr>
        <w:t>t in significant net outflows.</w:t>
      </w:r>
    </w:p>
    <w:p w:rsidR="00000000" w:rsidRDefault="005B0BC3">
      <w:pPr>
        <w:jc w:val="both"/>
        <w:divId w:val="84157882"/>
        <w:rPr>
          <w:rFonts w:eastAsia="Times New Roman"/>
        </w:rPr>
      </w:pPr>
      <w:r>
        <w:rPr>
          <w:rFonts w:eastAsia="Times New Roman"/>
          <w:b/>
          <w:bCs/>
          <w:i/>
          <w:iCs/>
          <w:color w:val="000000"/>
          <w:sz w:val="20"/>
          <w:szCs w:val="20"/>
        </w:rPr>
        <w:t>The replacement of LIBOR may affect our cost of capital and net investment income.</w:t>
      </w:r>
    </w:p>
    <w:p w:rsidR="00000000" w:rsidRDefault="005B0BC3">
      <w:pPr>
        <w:ind w:firstLine="360"/>
        <w:divId w:val="1368337578"/>
        <w:rPr>
          <w:rFonts w:eastAsia="Times New Roman"/>
        </w:rPr>
      </w:pPr>
      <w:r>
        <w:rPr>
          <w:rFonts w:eastAsia="Times New Roman"/>
          <w:color w:val="000000"/>
          <w:sz w:val="20"/>
          <w:szCs w:val="20"/>
        </w:rPr>
        <w:t>It is anticipated that LIBOR will be discontinued no later than June 2023 As a result, existing loans, investments and other contracts relying</w:t>
      </w:r>
      <w:r>
        <w:rPr>
          <w:rFonts w:eastAsia="Times New Roman"/>
          <w:color w:val="000000"/>
          <w:sz w:val="20"/>
          <w:szCs w:val="20"/>
        </w:rPr>
        <w:t xml:space="preserve"> on a LIBOR benchmark will need to designate a replacement rate. In addition, derivatives and other contracts used to hedge those contracts will generally need to be conformed to provide a similar alternative rate to that being hedged. In addition, because</w:t>
      </w:r>
      <w:r>
        <w:rPr>
          <w:rFonts w:eastAsia="Times New Roman"/>
          <w:color w:val="000000"/>
          <w:sz w:val="20"/>
          <w:szCs w:val="20"/>
        </w:rPr>
        <w:t xml:space="preserve"> it is anticipated that banks will no longer extend loans based on LIBOR, new lines of credit we enter into will need to be benchmarked to a new benchmark rate. In light of the LIBOR transition, we anticipate a valuation risk around the potential discontin</w:t>
      </w:r>
      <w:r>
        <w:rPr>
          <w:rFonts w:eastAsia="Times New Roman"/>
          <w:color w:val="000000"/>
          <w:sz w:val="20"/>
          <w:szCs w:val="20"/>
        </w:rPr>
        <w:t xml:space="preserve">uation event as well as potential risks relating to hedging interest-rate risk. Additionally, the elimination of LIBOR or changes to other reference rates or any other changes or reforms to the determination or supervision of reference rates may adversely </w:t>
      </w:r>
      <w:r>
        <w:rPr>
          <w:rFonts w:eastAsia="Times New Roman"/>
          <w:color w:val="000000"/>
          <w:sz w:val="20"/>
          <w:szCs w:val="20"/>
        </w:rPr>
        <w:t>affect the amount of interest payable or interest receivable on certain of our investments. These changes may also impact the market liquidity and market value of these investments. Any changes to LIBOR or any alternative rate, or any further uncertainty i</w:t>
      </w:r>
      <w:r>
        <w:rPr>
          <w:rFonts w:eastAsia="Times New Roman"/>
          <w:color w:val="000000"/>
          <w:sz w:val="20"/>
          <w:szCs w:val="20"/>
        </w:rPr>
        <w:t xml:space="preserve">n relation to the timing and manner of implementation of such changes, could have an adverse effect on the value of investments in our investment portfolio, derivatives we use for hedging, or other indebtedness, securities or commercial contracts. We have </w:t>
      </w:r>
      <w:r>
        <w:rPr>
          <w:rFonts w:eastAsia="Times New Roman"/>
          <w:color w:val="000000"/>
          <w:sz w:val="20"/>
          <w:szCs w:val="20"/>
        </w:rPr>
        <w:t xml:space="preserve">inventoried all aspects of our business that utilize a LIBOR benchmark and, for those instruments that currently do not have an appropriate fallback rate, we are in the process of either disposing of the instrument or negotiating a fallback rate. There is </w:t>
      </w:r>
      <w:r>
        <w:rPr>
          <w:rFonts w:eastAsia="Times New Roman"/>
          <w:color w:val="000000"/>
          <w:sz w:val="20"/>
          <w:szCs w:val="20"/>
        </w:rPr>
        <w:t>no assurance that we will complete this process by the transition date or that the alternative rate we negotiate will not be materially less favorable than the previous, LIBOR-based rate.</w:t>
      </w:r>
    </w:p>
    <w:p w:rsidR="00000000" w:rsidRDefault="005B0BC3">
      <w:pPr>
        <w:divId w:val="2103984494"/>
        <w:rPr>
          <w:rFonts w:eastAsia="Times New Roman"/>
        </w:rPr>
      </w:pPr>
      <w:r>
        <w:rPr>
          <w:rFonts w:eastAsia="Times New Roman"/>
          <w:b/>
          <w:bCs/>
          <w:i/>
          <w:iCs/>
          <w:color w:val="000000"/>
          <w:sz w:val="20"/>
          <w:szCs w:val="20"/>
        </w:rPr>
        <w:t>Climate change may adversely affect our investment portfolio and inv</w:t>
      </w:r>
      <w:r>
        <w:rPr>
          <w:rFonts w:eastAsia="Times New Roman"/>
          <w:b/>
          <w:bCs/>
          <w:i/>
          <w:iCs/>
          <w:color w:val="000000"/>
          <w:sz w:val="20"/>
          <w:szCs w:val="20"/>
        </w:rPr>
        <w:t>estor sentiment.</w:t>
      </w:r>
    </w:p>
    <w:p w:rsidR="00000000" w:rsidRDefault="005B0BC3">
      <w:pPr>
        <w:ind w:firstLine="360"/>
        <w:divId w:val="936983919"/>
        <w:rPr>
          <w:rFonts w:eastAsia="Times New Roman"/>
        </w:rPr>
      </w:pPr>
      <w:r>
        <w:rPr>
          <w:rFonts w:eastAsia="Times New Roman"/>
          <w:color w:val="000000"/>
          <w:sz w:val="20"/>
          <w:szCs w:val="20"/>
        </w:rPr>
        <w:t>Climate change could pose a systemic risk to the financial system. Disasters related to climate change and regulation related to climate change may affect the entities in which we invest, our willingness to continue to invest and the value</w:t>
      </w:r>
      <w:r>
        <w:rPr>
          <w:rFonts w:eastAsia="Times New Roman"/>
          <w:color w:val="000000"/>
          <w:sz w:val="20"/>
          <w:szCs w:val="20"/>
        </w:rPr>
        <w:t xml:space="preserve"> of, and return from, our investments. It may also affect our counterparties, including reinsurers and derivatives counterparties. We cannot predict the long-term impacts to our business from climate change or related regulation. Climate change may also in</w:t>
      </w:r>
      <w:r>
        <w:rPr>
          <w:rFonts w:eastAsia="Times New Roman"/>
          <w:color w:val="000000"/>
          <w:sz w:val="20"/>
          <w:szCs w:val="20"/>
        </w:rPr>
        <w:t>fluence investor sentiment with respect to the Company and investments in our portfolio. A failure to identify and address these issues could have a material adverse effect on our business, results of operations or financial condition.</w:t>
      </w:r>
    </w:p>
    <w:p w:rsidR="00000000" w:rsidRDefault="005B0BC3">
      <w:pPr>
        <w:divId w:val="1801804155"/>
        <w:rPr>
          <w:rFonts w:eastAsia="Times New Roman"/>
        </w:rPr>
      </w:pPr>
      <w:r>
        <w:rPr>
          <w:rFonts w:eastAsia="Times New Roman"/>
          <w:b/>
          <w:bCs/>
          <w:color w:val="000000"/>
          <w:sz w:val="20"/>
          <w:szCs w:val="20"/>
        </w:rPr>
        <w:t>Risks Relating to Cr</w:t>
      </w:r>
      <w:r>
        <w:rPr>
          <w:rFonts w:eastAsia="Times New Roman"/>
          <w:b/>
          <w:bCs/>
          <w:color w:val="000000"/>
          <w:sz w:val="20"/>
          <w:szCs w:val="20"/>
        </w:rPr>
        <w:t>edit, Counterparties and Investments</w:t>
      </w:r>
    </w:p>
    <w:p w:rsidR="00000000" w:rsidRDefault="005B0BC3">
      <w:pPr>
        <w:jc w:val="both"/>
        <w:divId w:val="1413159752"/>
        <w:rPr>
          <w:rFonts w:eastAsia="Times New Roman"/>
        </w:rPr>
      </w:pPr>
      <w:r>
        <w:rPr>
          <w:rFonts w:eastAsia="Times New Roman"/>
          <w:b/>
          <w:bCs/>
          <w:i/>
          <w:iCs/>
          <w:color w:val="000000"/>
          <w:sz w:val="20"/>
          <w:szCs w:val="20"/>
        </w:rPr>
        <w:t>Our counterparties’ requirements to pledge collateral related to declines in estimated fair value of derivative contracts.</w:t>
      </w:r>
    </w:p>
    <w:p w:rsidR="00000000" w:rsidRDefault="005B0BC3">
      <w:pPr>
        <w:ind w:firstLine="360"/>
        <w:divId w:val="656299583"/>
        <w:rPr>
          <w:rFonts w:eastAsia="Times New Roman"/>
        </w:rPr>
      </w:pPr>
      <w:r>
        <w:rPr>
          <w:rFonts w:eastAsia="Times New Roman"/>
          <w:color w:val="000000"/>
          <w:sz w:val="20"/>
          <w:szCs w:val="20"/>
        </w:rPr>
        <w:t>We use derivatives and other instruments to help us mitigate various business risks. Our transac</w:t>
      </w:r>
      <w:r>
        <w:rPr>
          <w:rFonts w:eastAsia="Times New Roman"/>
          <w:color w:val="000000"/>
          <w:sz w:val="20"/>
          <w:szCs w:val="20"/>
        </w:rPr>
        <w:t>tions with financial and other institutions generally specify the circumstances under which the parties are required to pledge collateral related to any decline in the market value of the derivatives contracts. If our counterparties fail or refuse to honor</w:t>
      </w:r>
      <w:r>
        <w:rPr>
          <w:rFonts w:eastAsia="Times New Roman"/>
          <w:color w:val="000000"/>
          <w:sz w:val="20"/>
          <w:szCs w:val="20"/>
        </w:rPr>
        <w:t xml:space="preserve"> their obligations under these contracts, we could face significant losses to the extent collateral agreements do not fully offset our exposures and our hedges of the related risk will be ineffective. Such failure could have a material adverse effect on ou</w:t>
      </w:r>
      <w:r>
        <w:rPr>
          <w:rFonts w:eastAsia="Times New Roman"/>
          <w:color w:val="000000"/>
          <w:sz w:val="20"/>
          <w:szCs w:val="20"/>
        </w:rPr>
        <w:t>r business, results of operations or financial condition.</w:t>
      </w:r>
    </w:p>
    <w:p w:rsidR="00000000" w:rsidRDefault="005B0BC3">
      <w:pPr>
        <w:jc w:val="both"/>
        <w:divId w:val="1172837692"/>
        <w:rPr>
          <w:rFonts w:eastAsia="Times New Roman"/>
        </w:rPr>
      </w:pPr>
      <w:r>
        <w:rPr>
          <w:rFonts w:eastAsia="Times New Roman"/>
          <w:b/>
          <w:bCs/>
          <w:i/>
          <w:iCs/>
          <w:color w:val="000000"/>
          <w:sz w:val="20"/>
          <w:szCs w:val="20"/>
        </w:rPr>
        <w:t>Changes in the actual or perceived soundness or condition of other financial institutions and market participants.</w:t>
      </w:r>
    </w:p>
    <w:p w:rsidR="00000000" w:rsidRDefault="005B0BC3">
      <w:pPr>
        <w:ind w:firstLine="360"/>
        <w:divId w:val="442657216"/>
        <w:rPr>
          <w:rFonts w:eastAsia="Times New Roman"/>
        </w:rPr>
      </w:pPr>
      <w:r>
        <w:rPr>
          <w:rFonts w:eastAsia="Times New Roman"/>
          <w:color w:val="000000"/>
          <w:sz w:val="20"/>
          <w:szCs w:val="20"/>
        </w:rPr>
        <w:t>A default by any financial institution or by a sovereign could lead to additional d</w:t>
      </w:r>
      <w:r>
        <w:rPr>
          <w:rFonts w:eastAsia="Times New Roman"/>
          <w:color w:val="000000"/>
          <w:sz w:val="20"/>
          <w:szCs w:val="20"/>
        </w:rPr>
        <w:t>efaults by other market participants. Such failures could disrupt securities markets or clearance and settlement systems and lead to a chain of defaults, because the commercial and financial soundness of many financial institutions may be closely related a</w:t>
      </w:r>
      <w:r>
        <w:rPr>
          <w:rFonts w:eastAsia="Times New Roman"/>
          <w:color w:val="000000"/>
          <w:sz w:val="20"/>
          <w:szCs w:val="20"/>
        </w:rPr>
        <w:t xml:space="preserve">s a result of credit, trading, clearing or other relationships. Even the perceived lack of creditworthiness of a financial institution may lead to market-wide liquidity problems and losses or defaults by us or by other institutions. This risk is sometimes </w:t>
      </w:r>
      <w:r>
        <w:rPr>
          <w:rFonts w:eastAsia="Times New Roman"/>
          <w:color w:val="000000"/>
          <w:sz w:val="20"/>
          <w:szCs w:val="20"/>
        </w:rPr>
        <w:t>referred to as “systemic risk” and may adversely affect financial intermediaries with which we interact on a daily basis. Systemic risk could have a material adverse effect on our ability to raise new funding and on our business, results of operations or f</w:t>
      </w:r>
      <w:r>
        <w:rPr>
          <w:rFonts w:eastAsia="Times New Roman"/>
          <w:color w:val="000000"/>
          <w:sz w:val="20"/>
          <w:szCs w:val="20"/>
        </w:rPr>
        <w:t>inancial condition. In addition, such a failure could impact future product sales as a potential result of reduced confidence in the financial services industry.</w:t>
      </w:r>
    </w:p>
    <w:p w:rsidR="00000000" w:rsidRDefault="005B0BC3">
      <w:pPr>
        <w:jc w:val="both"/>
        <w:divId w:val="242841770"/>
        <w:rPr>
          <w:rFonts w:eastAsia="Times New Roman"/>
        </w:rPr>
      </w:pPr>
      <w:r>
        <w:rPr>
          <w:rFonts w:eastAsia="Times New Roman"/>
          <w:b/>
          <w:bCs/>
          <w:i/>
          <w:iCs/>
          <w:color w:val="000000"/>
          <w:sz w:val="20"/>
          <w:szCs w:val="20"/>
        </w:rPr>
        <w:t>Losses due to defaults by third parties and affiliates, including outsourcing relationships.</w:t>
      </w:r>
    </w:p>
    <w:p w:rsidR="00000000" w:rsidRDefault="005B0BC3">
      <w:pPr>
        <w:ind w:firstLine="360"/>
        <w:divId w:val="1208028335"/>
        <w:rPr>
          <w:rFonts w:eastAsia="Times New Roman"/>
        </w:rPr>
      </w:pPr>
      <w:r>
        <w:rPr>
          <w:rFonts w:eastAsia="Times New Roman"/>
          <w:color w:val="000000"/>
          <w:sz w:val="20"/>
          <w:szCs w:val="20"/>
        </w:rPr>
        <w:t>W</w:t>
      </w:r>
      <w:r>
        <w:rPr>
          <w:rFonts w:eastAsia="Times New Roman"/>
          <w:color w:val="000000"/>
          <w:sz w:val="20"/>
          <w:szCs w:val="20"/>
        </w:rPr>
        <w:t xml:space="preserve">e depend on third parties and affiliates that owe us money, securities or other assets to pay or perform under their obligations. Defaults by one or more of these parties could have a material adverse effect on our business, results of operations </w:t>
      </w:r>
    </w:p>
    <w:p w:rsidR="00000000" w:rsidRDefault="005B0BC3">
      <w:pPr>
        <w:jc w:val="center"/>
        <w:divId w:val="749498835"/>
        <w:rPr>
          <w:rFonts w:eastAsia="Times New Roman"/>
        </w:rPr>
      </w:pPr>
      <w:r>
        <w:rPr>
          <w:rFonts w:eastAsia="Times New Roman"/>
          <w:color w:val="000000"/>
          <w:sz w:val="20"/>
          <w:szCs w:val="20"/>
        </w:rPr>
        <w:t>59</w:t>
      </w:r>
    </w:p>
    <w:p w:rsidR="00000000" w:rsidRDefault="005B0BC3">
      <w:pPr>
        <w:rPr>
          <w:rFonts w:eastAsia="Times New Roman"/>
        </w:rPr>
      </w:pPr>
      <w:r>
        <w:rPr>
          <w:rFonts w:eastAsia="Times New Roman"/>
        </w:rPr>
        <w:pict>
          <v:rect id="_x0000_i1096" style="width:0;height:1.5pt" o:hralign="center" o:hrstd="t" o:hr="t" fillcolor="#a0a0a0" stroked="f"/>
        </w:pict>
      </w:r>
    </w:p>
    <w:p w:rsidR="00000000" w:rsidRDefault="005B0BC3">
      <w:pPr>
        <w:divId w:val="620846886"/>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divId w:val="232547299"/>
        <w:rPr>
          <w:rFonts w:eastAsia="Times New Roman"/>
        </w:rPr>
      </w:pPr>
      <w:r>
        <w:rPr>
          <w:rFonts w:eastAsia="Times New Roman"/>
          <w:color w:val="000000"/>
          <w:sz w:val="20"/>
          <w:szCs w:val="20"/>
        </w:rPr>
        <w:t>or financial condition. Moreover, as a result of contractual provisions certain swap dealers require us to add to derivatives documentation and to agreements, we may not be able to exercise default rights or enforce transfer restrictions against certain co</w:t>
      </w:r>
      <w:r>
        <w:rPr>
          <w:rFonts w:eastAsia="Times New Roman"/>
          <w:color w:val="000000"/>
          <w:sz w:val="20"/>
          <w:szCs w:val="20"/>
        </w:rPr>
        <w:t xml:space="preserve">unterparties which may limit our ability to recover amounts due to us upon a counterparty’s default. We rely on various counterparties and other vendors to augment our existing investment, operational, financial and technological capabilities, but the use </w:t>
      </w:r>
      <w:r>
        <w:rPr>
          <w:rFonts w:eastAsia="Times New Roman"/>
          <w:color w:val="000000"/>
          <w:sz w:val="20"/>
          <w:szCs w:val="20"/>
        </w:rPr>
        <w:t xml:space="preserve">of a vendor does not diminish our responsibility to ensure that client and regulatory obligations are met. Disruptions in the financial markets and other economic </w:t>
      </w:r>
    </w:p>
    <w:p w:rsidR="00000000" w:rsidRDefault="005B0BC3">
      <w:pPr>
        <w:ind w:firstLine="360"/>
        <w:divId w:val="702748084"/>
        <w:rPr>
          <w:rFonts w:eastAsia="Times New Roman"/>
        </w:rPr>
      </w:pPr>
      <w:r>
        <w:rPr>
          <w:rFonts w:eastAsia="Times New Roman"/>
          <w:color w:val="000000"/>
          <w:sz w:val="20"/>
          <w:szCs w:val="20"/>
        </w:rPr>
        <w:t>challenges may cause our counterparties and other vendors to experience significant cash flo</w:t>
      </w:r>
      <w:r>
        <w:rPr>
          <w:rFonts w:eastAsia="Times New Roman"/>
          <w:color w:val="000000"/>
          <w:sz w:val="20"/>
          <w:szCs w:val="20"/>
        </w:rPr>
        <w:t>w problems or even render them insolvent, which may expose us to significant costs and impair our ability to conduct business. We are also subject to the risk that our rights against third parties may not be enforceable in all circumstances. The deteriorat</w:t>
      </w:r>
      <w:r>
        <w:rPr>
          <w:rFonts w:eastAsia="Times New Roman"/>
          <w:color w:val="000000"/>
          <w:sz w:val="20"/>
          <w:szCs w:val="20"/>
        </w:rPr>
        <w:t xml:space="preserve">ion or perceived deterioration in the credit quality of third parties whose securities or obligations we hold could result in losses or adversely affect our ability to use those securities or obligations for liquidity purposes. </w:t>
      </w:r>
    </w:p>
    <w:p w:rsidR="00000000" w:rsidRDefault="005B0BC3">
      <w:pPr>
        <w:jc w:val="both"/>
        <w:divId w:val="577254563"/>
        <w:rPr>
          <w:rFonts w:eastAsia="Times New Roman"/>
        </w:rPr>
      </w:pPr>
      <w:r>
        <w:rPr>
          <w:rFonts w:eastAsia="Times New Roman"/>
          <w:b/>
          <w:bCs/>
          <w:i/>
          <w:iCs/>
          <w:color w:val="000000"/>
          <w:sz w:val="20"/>
          <w:szCs w:val="20"/>
        </w:rPr>
        <w:t>Economic downturns, default</w:t>
      </w:r>
      <w:r>
        <w:rPr>
          <w:rFonts w:eastAsia="Times New Roman"/>
          <w:b/>
          <w:bCs/>
          <w:i/>
          <w:iCs/>
          <w:color w:val="000000"/>
          <w:sz w:val="20"/>
          <w:szCs w:val="20"/>
        </w:rPr>
        <w:t>s and other events may adversely affect our investments.</w:t>
      </w:r>
    </w:p>
    <w:p w:rsidR="00000000" w:rsidRDefault="005B0BC3">
      <w:pPr>
        <w:ind w:firstLine="360"/>
        <w:divId w:val="1901404092"/>
        <w:rPr>
          <w:rFonts w:eastAsia="Times New Roman"/>
        </w:rPr>
      </w:pPr>
      <w:r>
        <w:rPr>
          <w:rFonts w:eastAsia="Times New Roman"/>
          <w:color w:val="000000"/>
          <w:sz w:val="20"/>
          <w:szCs w:val="20"/>
        </w:rPr>
        <w:t>The occurrence of a major economic downturn, acts of corporate malfeasance, widening credit risk spreads, ratings downgrades or other events that adversely affect the issuers or guarantors of securit</w:t>
      </w:r>
      <w:r>
        <w:rPr>
          <w:rFonts w:eastAsia="Times New Roman"/>
          <w:color w:val="000000"/>
          <w:sz w:val="20"/>
          <w:szCs w:val="20"/>
        </w:rPr>
        <w:t>ies we own or the underlying collateral of structured securities we own could cause the estimated fair value of our fixed maturity securities portfolio and corresponding earnings to decline and cause the default rate of the fixed maturity securities in our</w:t>
      </w:r>
      <w:r>
        <w:rPr>
          <w:rFonts w:eastAsia="Times New Roman"/>
          <w:color w:val="000000"/>
          <w:sz w:val="20"/>
          <w:szCs w:val="20"/>
        </w:rPr>
        <w:t xml:space="preserve"> investment portfolio to increase. We may have to hold more capital to support our securities to maintain our insurance companies’ RBC levels, should securities we hold suffer a ratings downgrade. Levels of write-downs or impairments are impacted by intent</w:t>
      </w:r>
      <w:r>
        <w:rPr>
          <w:rFonts w:eastAsia="Times New Roman"/>
          <w:color w:val="000000"/>
          <w:sz w:val="20"/>
          <w:szCs w:val="20"/>
        </w:rPr>
        <w:t xml:space="preserve"> to sell, or our assessment of the likelihood that we will be required to sell, fixed maturity securities, as well as our intent and ability to hold equity securities which have declined in value until recovery. Realized losses or impairments on these secu</w:t>
      </w:r>
      <w:r>
        <w:rPr>
          <w:rFonts w:eastAsia="Times New Roman"/>
          <w:color w:val="000000"/>
          <w:sz w:val="20"/>
          <w:szCs w:val="20"/>
        </w:rPr>
        <w:t>rities may have a material adverse effect on our business, results of operations, liquidity or financial condition in, or at the end of, any quarterly or annual period.</w:t>
      </w:r>
    </w:p>
    <w:p w:rsidR="00000000" w:rsidRDefault="005B0BC3">
      <w:pPr>
        <w:jc w:val="both"/>
        <w:divId w:val="2144883769"/>
        <w:rPr>
          <w:rFonts w:eastAsia="Times New Roman"/>
        </w:rPr>
      </w:pPr>
      <w:r>
        <w:rPr>
          <w:rFonts w:eastAsia="Times New Roman"/>
          <w:b/>
          <w:bCs/>
          <w:i/>
          <w:iCs/>
          <w:color w:val="000000"/>
          <w:sz w:val="20"/>
          <w:szCs w:val="20"/>
        </w:rPr>
        <w:t>Some of our investments are relatively illiquid and may be difficult to sell.</w:t>
      </w:r>
    </w:p>
    <w:p w:rsidR="00000000" w:rsidRDefault="005B0BC3">
      <w:pPr>
        <w:ind w:firstLine="360"/>
        <w:divId w:val="898828886"/>
        <w:rPr>
          <w:rFonts w:eastAsia="Times New Roman"/>
        </w:rPr>
      </w:pPr>
      <w:r>
        <w:rPr>
          <w:rFonts w:eastAsia="Times New Roman"/>
          <w:color w:val="000000"/>
          <w:sz w:val="20"/>
          <w:szCs w:val="20"/>
        </w:rPr>
        <w:t>We hold c</w:t>
      </w:r>
      <w:r>
        <w:rPr>
          <w:rFonts w:eastAsia="Times New Roman"/>
          <w:color w:val="000000"/>
          <w:sz w:val="20"/>
          <w:szCs w:val="20"/>
        </w:rPr>
        <w:t>ertain investments that may lack liquidity, such as privately placed fixed maturity securities, mortgage loans, commercial mortgage backed securities and alternative investments. In the past, even some of our very high quality investments experienced reduc</w:t>
      </w:r>
      <w:r>
        <w:rPr>
          <w:rFonts w:eastAsia="Times New Roman"/>
          <w:color w:val="000000"/>
          <w:sz w:val="20"/>
          <w:szCs w:val="20"/>
        </w:rPr>
        <w:t>ed liquidity during periods of market volatility or disruption. If we were required to liquidate these investments on short notice or were required to post or return collateral, we may have difficulty doing so and be forced to sell them for less than we ot</w:t>
      </w:r>
      <w:r>
        <w:rPr>
          <w:rFonts w:eastAsia="Times New Roman"/>
          <w:color w:val="000000"/>
          <w:sz w:val="20"/>
          <w:szCs w:val="20"/>
        </w:rPr>
        <w:t>herwise would have been able to realize. The reported values of our relatively illiquid types of investments do not necessarily reflect the current market price for the asset. If we were forced to sell certain of our assets in the current market, there can</w:t>
      </w:r>
      <w:r>
        <w:rPr>
          <w:rFonts w:eastAsia="Times New Roman"/>
          <w:color w:val="000000"/>
          <w:sz w:val="20"/>
          <w:szCs w:val="20"/>
        </w:rPr>
        <w:t xml:space="preserve"> be no assurance that we would be able to sell them for the prices at which we have recorded them and we might be forced to sell them at significantly lower prices, which could have a material adverse effect on our business, results of operations, liquidit</w:t>
      </w:r>
      <w:r>
        <w:rPr>
          <w:rFonts w:eastAsia="Times New Roman"/>
          <w:color w:val="000000"/>
          <w:sz w:val="20"/>
          <w:szCs w:val="20"/>
        </w:rPr>
        <w:t>y or financial condition.</w:t>
      </w:r>
    </w:p>
    <w:p w:rsidR="00000000" w:rsidRDefault="005B0BC3">
      <w:pPr>
        <w:jc w:val="both"/>
        <w:divId w:val="44763357"/>
        <w:rPr>
          <w:rFonts w:eastAsia="Times New Roman"/>
        </w:rPr>
      </w:pPr>
      <w:r>
        <w:rPr>
          <w:rFonts w:eastAsia="Times New Roman"/>
          <w:b/>
          <w:bCs/>
          <w:i/>
          <w:iCs/>
          <w:color w:val="000000"/>
          <w:sz w:val="20"/>
          <w:szCs w:val="20"/>
        </w:rPr>
        <w:t>Defaults on our mortgage loans and volatility in performance.</w:t>
      </w:r>
    </w:p>
    <w:p w:rsidR="00000000" w:rsidRDefault="005B0BC3">
      <w:pPr>
        <w:ind w:firstLine="360"/>
        <w:divId w:val="511263883"/>
        <w:rPr>
          <w:rFonts w:eastAsia="Times New Roman"/>
        </w:rPr>
      </w:pPr>
      <w:r>
        <w:rPr>
          <w:rFonts w:eastAsia="Times New Roman"/>
          <w:color w:val="000000"/>
          <w:sz w:val="20"/>
          <w:szCs w:val="20"/>
        </w:rPr>
        <w:t>A portion of our investment portfolio consists of mortgage loans on commercial and agricultural real estate. Although we manage credit risk and market valuation risk fo</w:t>
      </w:r>
      <w:r>
        <w:rPr>
          <w:rFonts w:eastAsia="Times New Roman"/>
          <w:color w:val="000000"/>
          <w:sz w:val="20"/>
          <w:szCs w:val="20"/>
        </w:rPr>
        <w:t xml:space="preserve">r our commercial and agricultural real estate assets through geographic, property type and product type diversification and asset allocation, general economic conditions in the commercial and agricultural real estate sectors will continue to influence the </w:t>
      </w:r>
      <w:r>
        <w:rPr>
          <w:rFonts w:eastAsia="Times New Roman"/>
          <w:color w:val="000000"/>
          <w:sz w:val="20"/>
          <w:szCs w:val="20"/>
        </w:rPr>
        <w:t>performance of these investments. These factors, which are beyond our control, could have a material adverse effect on our business, results of operations, liquidity or financial condition. An increase in the default rate of our mortgage loan investments o</w:t>
      </w:r>
      <w:r>
        <w:rPr>
          <w:rFonts w:eastAsia="Times New Roman"/>
          <w:color w:val="000000"/>
          <w:sz w:val="20"/>
          <w:szCs w:val="20"/>
        </w:rPr>
        <w:t>r fluctuations in their performance could have a material adverse effect on our business, results of operations, liquidity or financial condition. For information on the effects of the COVID-19 pandemic on our mortgage loans, see “Management’s Discussion a</w:t>
      </w:r>
      <w:r>
        <w:rPr>
          <w:rFonts w:eastAsia="Times New Roman"/>
          <w:color w:val="000000"/>
          <w:sz w:val="20"/>
          <w:szCs w:val="20"/>
        </w:rPr>
        <w:t>nd Analysis of Financial Condition and Results of Operations—General Account Investment Portfolio.”</w:t>
      </w:r>
    </w:p>
    <w:p w:rsidR="00000000" w:rsidRDefault="005B0BC3">
      <w:pPr>
        <w:jc w:val="center"/>
        <w:divId w:val="820585721"/>
        <w:rPr>
          <w:rFonts w:eastAsia="Times New Roman"/>
        </w:rPr>
      </w:pPr>
      <w:r>
        <w:rPr>
          <w:rFonts w:eastAsia="Times New Roman"/>
          <w:b/>
          <w:bCs/>
          <w:color w:val="000000"/>
          <w:sz w:val="20"/>
          <w:szCs w:val="20"/>
        </w:rPr>
        <w:t>Risks Relating to Our Retirement and Protection Businesses</w:t>
      </w:r>
    </w:p>
    <w:p w:rsidR="00000000" w:rsidRDefault="005B0BC3">
      <w:pPr>
        <w:divId w:val="1925870642"/>
        <w:rPr>
          <w:rFonts w:eastAsia="Times New Roman"/>
        </w:rPr>
      </w:pPr>
      <w:r>
        <w:rPr>
          <w:rFonts w:eastAsia="Times New Roman"/>
          <w:b/>
          <w:bCs/>
          <w:color w:val="000000"/>
          <w:sz w:val="20"/>
          <w:szCs w:val="20"/>
        </w:rPr>
        <w:t>Risks Relating to Reinsurance and Hedging</w:t>
      </w:r>
    </w:p>
    <w:p w:rsidR="00000000" w:rsidRDefault="005B0BC3">
      <w:pPr>
        <w:jc w:val="both"/>
        <w:divId w:val="1235967822"/>
        <w:rPr>
          <w:rFonts w:eastAsia="Times New Roman"/>
        </w:rPr>
      </w:pPr>
      <w:r>
        <w:rPr>
          <w:rFonts w:eastAsia="Times New Roman"/>
          <w:b/>
          <w:bCs/>
          <w:i/>
          <w:iCs/>
          <w:color w:val="000000"/>
          <w:sz w:val="20"/>
          <w:szCs w:val="20"/>
        </w:rPr>
        <w:t>Our reinsurance and hedging programs.</w:t>
      </w:r>
    </w:p>
    <w:p w:rsidR="00000000" w:rsidRDefault="005B0BC3">
      <w:pPr>
        <w:ind w:firstLine="360"/>
        <w:divId w:val="1469126591"/>
        <w:rPr>
          <w:rFonts w:eastAsia="Times New Roman"/>
        </w:rPr>
      </w:pPr>
      <w:r>
        <w:rPr>
          <w:rFonts w:eastAsia="Times New Roman"/>
          <w:color w:val="000000"/>
          <w:sz w:val="20"/>
          <w:szCs w:val="20"/>
        </w:rPr>
        <w:t>We seek to mitiga</w:t>
      </w:r>
      <w:r>
        <w:rPr>
          <w:rFonts w:eastAsia="Times New Roman"/>
          <w:color w:val="000000"/>
          <w:sz w:val="20"/>
          <w:szCs w:val="20"/>
        </w:rPr>
        <w:t>te some risks associated with the GMxB features or minimum crediting rate contained in certain of our retirement and protection products through our hedging and reinsurance programs. (As of December 31, 2021, 61% of the variable annuity AV in our Individua</w:t>
      </w:r>
      <w:r>
        <w:rPr>
          <w:rFonts w:eastAsia="Times New Roman"/>
          <w:color w:val="000000"/>
          <w:sz w:val="20"/>
          <w:szCs w:val="20"/>
        </w:rPr>
        <w:t>l Retirement segment was attributable to products that included GMxB features.) However, these programs cannot eliminate all of the risks, and no assurance can be given as to the extent to which such programs will be completely effective in reducing such r</w:t>
      </w:r>
      <w:r>
        <w:rPr>
          <w:rFonts w:eastAsia="Times New Roman"/>
          <w:color w:val="000000"/>
          <w:sz w:val="20"/>
          <w:szCs w:val="20"/>
        </w:rPr>
        <w:t xml:space="preserve">isks. </w:t>
      </w:r>
    </w:p>
    <w:p w:rsidR="00000000" w:rsidRDefault="005B0BC3">
      <w:pPr>
        <w:jc w:val="center"/>
        <w:divId w:val="2116707238"/>
        <w:rPr>
          <w:rFonts w:eastAsia="Times New Roman"/>
        </w:rPr>
      </w:pPr>
      <w:r>
        <w:rPr>
          <w:rFonts w:eastAsia="Times New Roman"/>
          <w:color w:val="000000"/>
          <w:sz w:val="20"/>
          <w:szCs w:val="20"/>
        </w:rPr>
        <w:t>60</w:t>
      </w:r>
    </w:p>
    <w:p w:rsidR="00000000" w:rsidRDefault="005B0BC3">
      <w:pPr>
        <w:rPr>
          <w:rFonts w:eastAsia="Times New Roman"/>
        </w:rPr>
      </w:pPr>
      <w:r>
        <w:rPr>
          <w:rFonts w:eastAsia="Times New Roman"/>
        </w:rPr>
        <w:pict>
          <v:rect id="_x0000_i1097" style="width:0;height:1.5pt" o:hralign="center" o:hrstd="t" o:hr="t" fillcolor="#a0a0a0" stroked="f"/>
        </w:pict>
      </w:r>
    </w:p>
    <w:p w:rsidR="00000000" w:rsidRDefault="005B0BC3">
      <w:pPr>
        <w:divId w:val="524750651"/>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ind w:firstLine="360"/>
        <w:divId w:val="1593733049"/>
        <w:rPr>
          <w:rFonts w:eastAsia="Times New Roman"/>
        </w:rPr>
      </w:pPr>
      <w:r>
        <w:rPr>
          <w:rFonts w:eastAsia="Times New Roman"/>
          <w:i/>
          <w:iCs/>
          <w:color w:val="000000"/>
          <w:sz w:val="20"/>
          <w:szCs w:val="20"/>
        </w:rPr>
        <w:t>Reinsurance</w:t>
      </w:r>
      <w:r>
        <w:rPr>
          <w:rFonts w:eastAsia="Times New Roman"/>
          <w:color w:val="000000"/>
          <w:sz w:val="20"/>
          <w:szCs w:val="20"/>
        </w:rPr>
        <w:t>—We use reinsurance to mitigate a portion of the risks that we face, principally in certain of our in-force annuity and l</w:t>
      </w:r>
      <w:r>
        <w:rPr>
          <w:rFonts w:eastAsia="Times New Roman"/>
          <w:color w:val="000000"/>
          <w:sz w:val="20"/>
          <w:szCs w:val="20"/>
        </w:rPr>
        <w:t>ife insurance products. Under our reinsurance arrangements, other insurers assume a portion of the obligation to pay claims and related expenses to which we are subject. However, we remain liable as the direct insurer on all risks we reinsure and, therefor</w:t>
      </w:r>
      <w:r>
        <w:rPr>
          <w:rFonts w:eastAsia="Times New Roman"/>
          <w:color w:val="000000"/>
          <w:sz w:val="20"/>
          <w:szCs w:val="20"/>
        </w:rPr>
        <w:t>e, are subject to the risk that our reinsurer is unable or unwilling to pay or reimburse claims at the time demand is made. The inability or unwillingness of a reinsurer to meet its obligations to us, or the inability to collect under our reinsurance treat</w:t>
      </w:r>
      <w:r>
        <w:rPr>
          <w:rFonts w:eastAsia="Times New Roman"/>
          <w:color w:val="000000"/>
          <w:sz w:val="20"/>
          <w:szCs w:val="20"/>
        </w:rPr>
        <w:t>ies for any other reason, could have a material adverse impact on our business, results of operations or financial condition. Prolonged or severe adverse mortality or morbidity experience could result in increased reinsurance costs, and ultimately may redu</w:t>
      </w:r>
      <w:r>
        <w:rPr>
          <w:rFonts w:eastAsia="Times New Roman"/>
          <w:color w:val="000000"/>
          <w:sz w:val="20"/>
          <w:szCs w:val="20"/>
        </w:rPr>
        <w:t>ce the availability of reinsurance for future life insurance sales. If, for new sales, we are unable to maintain our current level of reinsurance or purchase new reinsurance protection in amounts that we consider sufficient, we would either have to be will</w:t>
      </w:r>
      <w:r>
        <w:rPr>
          <w:rFonts w:eastAsia="Times New Roman"/>
          <w:color w:val="000000"/>
          <w:sz w:val="20"/>
          <w:szCs w:val="20"/>
        </w:rPr>
        <w:t>ing to accept an increase in our net exposures, revise our pricing to reflect higher reinsurance premiums or limit the amount of new business written on any individual life. If this were to occur, we may be exposed to reduced profitability and cash flow st</w:t>
      </w:r>
      <w:r>
        <w:rPr>
          <w:rFonts w:eastAsia="Times New Roman"/>
          <w:color w:val="000000"/>
          <w:sz w:val="20"/>
          <w:szCs w:val="20"/>
        </w:rPr>
        <w:t>rain or we may not be able to price new business at competitive rates. The premium rates and other fees that we charge are based, in part, on the assumption that reinsurance will be available at a certain cost. If a reinsurer raises the rates that it charg</w:t>
      </w:r>
      <w:r>
        <w:rPr>
          <w:rFonts w:eastAsia="Times New Roman"/>
          <w:color w:val="000000"/>
          <w:sz w:val="20"/>
          <w:szCs w:val="20"/>
        </w:rPr>
        <w:t>es on a block of in-force business, we may not be able to pass the increased costs onto our customers and our profitability will be negatively impacted. Additionally, such a rate increase could result in our recapturing of the business, which may result in</w:t>
      </w:r>
      <w:r>
        <w:rPr>
          <w:rFonts w:eastAsia="Times New Roman"/>
          <w:color w:val="000000"/>
          <w:sz w:val="20"/>
          <w:szCs w:val="20"/>
        </w:rPr>
        <w:t xml:space="preserve"> a need to maintain additional reserves, reduce reinsurance receivables and expose us to greater risks. </w:t>
      </w:r>
    </w:p>
    <w:p w:rsidR="00000000" w:rsidRDefault="005B0BC3">
      <w:pPr>
        <w:ind w:firstLine="360"/>
        <w:divId w:val="742534543"/>
        <w:rPr>
          <w:rFonts w:eastAsia="Times New Roman"/>
        </w:rPr>
      </w:pPr>
      <w:r>
        <w:rPr>
          <w:rFonts w:eastAsia="Times New Roman"/>
          <w:i/>
          <w:iCs/>
          <w:color w:val="000000"/>
          <w:sz w:val="20"/>
          <w:szCs w:val="20"/>
        </w:rPr>
        <w:t>Hedging Programs</w:t>
      </w:r>
      <w:r>
        <w:rPr>
          <w:rFonts w:eastAsia="Times New Roman"/>
          <w:color w:val="000000"/>
          <w:sz w:val="20"/>
          <w:szCs w:val="20"/>
        </w:rPr>
        <w:t>—We use a hedging program to mitigate a portion of the unreinsured risks we face in, among other areas, the GMxB features of our variab</w:t>
      </w:r>
      <w:r>
        <w:rPr>
          <w:rFonts w:eastAsia="Times New Roman"/>
          <w:color w:val="000000"/>
          <w:sz w:val="20"/>
          <w:szCs w:val="20"/>
        </w:rPr>
        <w:t>le annuity products and minimum crediting rates on our variable annuity and life products from unfavorable changes in benefit exposures due to movements in the capital markets. In certain cases, however, we may not be able to effectively apply these techni</w:t>
      </w:r>
      <w:r>
        <w:rPr>
          <w:rFonts w:eastAsia="Times New Roman"/>
          <w:color w:val="000000"/>
          <w:sz w:val="20"/>
          <w:szCs w:val="20"/>
        </w:rPr>
        <w:t>ques because the derivatives markets in question may not be of sufficient size or liquidity or there could be an operational error in the application of our hedging strategy or for other reasons. The operation of our hedging programs is based on models inv</w:t>
      </w:r>
      <w:r>
        <w:rPr>
          <w:rFonts w:eastAsia="Times New Roman"/>
          <w:color w:val="000000"/>
          <w:sz w:val="20"/>
          <w:szCs w:val="20"/>
        </w:rPr>
        <w:t>olving numerous estimates and assumptions. There can be no assurance that ultimate actual experience will not differ materially from our assumptions, particularly, but not only, during periods of high market volatility, which could adversely impact our bus</w:t>
      </w:r>
      <w:r>
        <w:rPr>
          <w:rFonts w:eastAsia="Times New Roman"/>
          <w:color w:val="000000"/>
          <w:sz w:val="20"/>
          <w:szCs w:val="20"/>
        </w:rPr>
        <w:t>iness, results of operations or financial condition. For example, in the past, due to, among other things, levels of volatility in the equity and interest rate markets above our assumptions as well as deviations between actual and assumed surrender and wit</w:t>
      </w:r>
      <w:r>
        <w:rPr>
          <w:rFonts w:eastAsia="Times New Roman"/>
          <w:color w:val="000000"/>
          <w:sz w:val="20"/>
          <w:szCs w:val="20"/>
        </w:rPr>
        <w:t xml:space="preserve">hdrawal rates, gains from our hedging programs did not fully offset the economic effect of the increase in the potential net benefits payable under the GMxB features offered in certain of our products. If these circumstances were to re-occur in the future </w:t>
      </w:r>
      <w:r>
        <w:rPr>
          <w:rFonts w:eastAsia="Times New Roman"/>
          <w:color w:val="000000"/>
          <w:sz w:val="20"/>
          <w:szCs w:val="20"/>
        </w:rPr>
        <w:t>or if, for other reasons, results from our hedging programs in the future do not correlate with the economic effect of changes in benefit exposures to customers, we could experience economic losses which could have a material adverse impact on our business</w:t>
      </w:r>
      <w:r>
        <w:rPr>
          <w:rFonts w:eastAsia="Times New Roman"/>
          <w:color w:val="000000"/>
          <w:sz w:val="20"/>
          <w:szCs w:val="20"/>
        </w:rPr>
        <w:t>, results of operations or financial condition. Additionally, our strategies may result in under or over-hedging our liability exposure, which could result in an increase in our hedging losses and greater volatility in our earnings and have a material adve</w:t>
      </w:r>
      <w:r>
        <w:rPr>
          <w:rFonts w:eastAsia="Times New Roman"/>
          <w:color w:val="000000"/>
          <w:sz w:val="20"/>
          <w:szCs w:val="20"/>
        </w:rPr>
        <w:t>rse effect on our business, results of operations or financial condition. For further discussion, see “—Risks Relating to Estimates, Assumptions and Valuations—Our risk management policies and procedures.”</w:t>
      </w:r>
    </w:p>
    <w:p w:rsidR="00000000" w:rsidRDefault="005B0BC3">
      <w:pPr>
        <w:jc w:val="both"/>
        <w:divId w:val="1525486228"/>
        <w:rPr>
          <w:rFonts w:eastAsia="Times New Roman"/>
        </w:rPr>
      </w:pPr>
      <w:r>
        <w:rPr>
          <w:rFonts w:eastAsia="Times New Roman"/>
          <w:b/>
          <w:bCs/>
          <w:i/>
          <w:iCs/>
          <w:color w:val="000000"/>
          <w:sz w:val="20"/>
          <w:szCs w:val="20"/>
        </w:rPr>
        <w:t>Our reinsurance arrangement with an affiliated cap</w:t>
      </w:r>
      <w:r>
        <w:rPr>
          <w:rFonts w:eastAsia="Times New Roman"/>
          <w:b/>
          <w:bCs/>
          <w:i/>
          <w:iCs/>
          <w:color w:val="000000"/>
          <w:sz w:val="20"/>
          <w:szCs w:val="20"/>
        </w:rPr>
        <w:t>tive.</w:t>
      </w:r>
    </w:p>
    <w:p w:rsidR="00000000" w:rsidRDefault="005B0BC3">
      <w:pPr>
        <w:ind w:firstLine="360"/>
        <w:divId w:val="952832780"/>
        <w:rPr>
          <w:rFonts w:eastAsia="Times New Roman"/>
        </w:rPr>
      </w:pPr>
      <w:r>
        <w:rPr>
          <w:rFonts w:eastAsia="Times New Roman"/>
          <w:color w:val="000000"/>
          <w:sz w:val="20"/>
          <w:szCs w:val="20"/>
        </w:rPr>
        <w:t>The reinsurance arrangement with EQ AZ Life Re Company (the “Affiliated Captive”) provides important capital management benefits to Equitable Financial and Equitable America (collectively, the “Affiliated Cedants”). Under applicable statutory account</w:t>
      </w:r>
      <w:r>
        <w:rPr>
          <w:rFonts w:eastAsia="Times New Roman"/>
          <w:color w:val="000000"/>
          <w:sz w:val="20"/>
          <w:szCs w:val="20"/>
        </w:rPr>
        <w:t>ing rules, the Affiliated Cedants are currently, and will in the future be, entitled to a credit in their calculations of reserves for amounts reinsured to the Affiliated Captive, to the extent the Affiliated Captive hold assets in trust or provide letters</w:t>
      </w:r>
      <w:r>
        <w:rPr>
          <w:rFonts w:eastAsia="Times New Roman"/>
          <w:color w:val="000000"/>
          <w:sz w:val="20"/>
          <w:szCs w:val="20"/>
        </w:rPr>
        <w:t xml:space="preserve"> of credit or other financing acceptable to the respective domestic regulators of the Affiliated Cedants. The level of assets required to be maintained in the trust fluctuates based on market and interest rate movements, age of the policies, mortality expe</w:t>
      </w:r>
      <w:r>
        <w:rPr>
          <w:rFonts w:eastAsia="Times New Roman"/>
          <w:color w:val="000000"/>
          <w:sz w:val="20"/>
          <w:szCs w:val="20"/>
        </w:rPr>
        <w:t>rience and policyholder behavior. Increasing reserve requirements may necessitate that additional assets be placed in trust or securing additional letters of credit, which could impact the liquidity of the Affiliated Captive.</w:t>
      </w:r>
    </w:p>
    <w:p w:rsidR="00000000" w:rsidRDefault="005B0BC3">
      <w:pPr>
        <w:divId w:val="973028137"/>
        <w:rPr>
          <w:rFonts w:eastAsia="Times New Roman"/>
        </w:rPr>
      </w:pPr>
      <w:r>
        <w:rPr>
          <w:rFonts w:eastAsia="Times New Roman"/>
          <w:b/>
          <w:bCs/>
          <w:color w:val="000000"/>
          <w:sz w:val="20"/>
          <w:szCs w:val="20"/>
        </w:rPr>
        <w:t>Risks Relating to the Our Prod</w:t>
      </w:r>
      <w:r>
        <w:rPr>
          <w:rFonts w:eastAsia="Times New Roman"/>
          <w:b/>
          <w:bCs/>
          <w:color w:val="000000"/>
          <w:sz w:val="20"/>
          <w:szCs w:val="20"/>
        </w:rPr>
        <w:t>ucts, Our Structure and Product Distribution</w:t>
      </w:r>
    </w:p>
    <w:p w:rsidR="00000000" w:rsidRDefault="005B0BC3">
      <w:pPr>
        <w:jc w:val="both"/>
        <w:divId w:val="580792508"/>
        <w:rPr>
          <w:rFonts w:eastAsia="Times New Roman"/>
        </w:rPr>
      </w:pPr>
      <w:r>
        <w:rPr>
          <w:rFonts w:eastAsia="Times New Roman"/>
          <w:b/>
          <w:bCs/>
          <w:i/>
          <w:iCs/>
          <w:color w:val="000000"/>
          <w:sz w:val="20"/>
          <w:szCs w:val="20"/>
        </w:rPr>
        <w:t>GMxB features within certain of our products.</w:t>
      </w:r>
    </w:p>
    <w:p w:rsidR="00000000" w:rsidRDefault="005B0BC3">
      <w:pPr>
        <w:ind w:firstLine="360"/>
        <w:divId w:val="1145008763"/>
        <w:rPr>
          <w:rFonts w:eastAsia="Times New Roman"/>
        </w:rPr>
      </w:pPr>
      <w:r>
        <w:rPr>
          <w:rFonts w:eastAsia="Times New Roman"/>
          <w:color w:val="000000"/>
          <w:sz w:val="20"/>
          <w:szCs w:val="20"/>
        </w:rPr>
        <w:t>Certain of the variable annuity products we offer and certain in-force variable annuity products we offered historically, and certain variable annuity risks we assum</w:t>
      </w:r>
      <w:r>
        <w:rPr>
          <w:rFonts w:eastAsia="Times New Roman"/>
          <w:color w:val="000000"/>
          <w:sz w:val="20"/>
          <w:szCs w:val="20"/>
        </w:rPr>
        <w:t>ed historically through reinsurance, include GMxB features. We also offer index-linked variable annuities with guarantees against a defined floor on losses. GMxB features are designed to offer protection to policyholders against changes in equity markets a</w:t>
      </w:r>
      <w:r>
        <w:rPr>
          <w:rFonts w:eastAsia="Times New Roman"/>
          <w:color w:val="000000"/>
          <w:sz w:val="20"/>
          <w:szCs w:val="20"/>
        </w:rPr>
        <w:t>nd interest rates. Any such periods of significant and sustained negative or low Separate Accounts returns, increased equity volatility or reduced interest rates will result in an increase in the valuation of our liabilities associated with those products.</w:t>
      </w:r>
      <w:r>
        <w:rPr>
          <w:rFonts w:eastAsia="Times New Roman"/>
          <w:color w:val="000000"/>
          <w:sz w:val="20"/>
          <w:szCs w:val="20"/>
        </w:rPr>
        <w:t xml:space="preserve"> In addition, if the Separate Account assets consisting of fixed income securities, which support the guaranteed index-linked return feature, are insufficient to reflect a period of sustained growth in the equity-index on which the product is based, we may</w:t>
      </w:r>
      <w:r>
        <w:rPr>
          <w:rFonts w:eastAsia="Times New Roman"/>
          <w:color w:val="000000"/>
          <w:sz w:val="20"/>
          <w:szCs w:val="20"/>
        </w:rPr>
        <w:t xml:space="preserve"> be required to support such Separate Accounts with assets from our General </w:t>
      </w:r>
    </w:p>
    <w:p w:rsidR="00000000" w:rsidRDefault="005B0BC3">
      <w:pPr>
        <w:jc w:val="center"/>
        <w:divId w:val="1927104932"/>
        <w:rPr>
          <w:rFonts w:eastAsia="Times New Roman"/>
        </w:rPr>
      </w:pPr>
      <w:r>
        <w:rPr>
          <w:rFonts w:eastAsia="Times New Roman"/>
          <w:color w:val="000000"/>
          <w:sz w:val="20"/>
          <w:szCs w:val="20"/>
        </w:rPr>
        <w:t>61</w:t>
      </w:r>
    </w:p>
    <w:p w:rsidR="00000000" w:rsidRDefault="005B0BC3">
      <w:pPr>
        <w:rPr>
          <w:rFonts w:eastAsia="Times New Roman"/>
        </w:rPr>
      </w:pPr>
      <w:r>
        <w:rPr>
          <w:rFonts w:eastAsia="Times New Roman"/>
        </w:rPr>
        <w:pict>
          <v:rect id="_x0000_i1098" style="width:0;height:1.5pt" o:hralign="center" o:hrstd="t" o:hr="t" fillcolor="#a0a0a0" stroked="f"/>
        </w:pict>
      </w:r>
    </w:p>
    <w:p w:rsidR="00000000" w:rsidRDefault="005B0BC3">
      <w:pPr>
        <w:divId w:val="25643020"/>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divId w:val="1701468556"/>
        <w:rPr>
          <w:rFonts w:eastAsia="Times New Roman"/>
        </w:rPr>
      </w:pPr>
      <w:r>
        <w:rPr>
          <w:rFonts w:eastAsia="Times New Roman"/>
          <w:color w:val="000000"/>
          <w:sz w:val="20"/>
          <w:szCs w:val="20"/>
        </w:rPr>
        <w:t>Account and increase our liabilities. An increase in these liabilities would result in a decrease in our net income and depending on the magnitude of any such increase, could materially and adversely affect our financial condition, including our capitaliza</w:t>
      </w:r>
      <w:r>
        <w:rPr>
          <w:rFonts w:eastAsia="Times New Roman"/>
          <w:color w:val="000000"/>
          <w:sz w:val="20"/>
          <w:szCs w:val="20"/>
        </w:rPr>
        <w:t>tion, as well as the financial strength ratings which are necessary to support our product sales.</w:t>
      </w:r>
    </w:p>
    <w:p w:rsidR="00000000" w:rsidRDefault="005B0BC3">
      <w:pPr>
        <w:ind w:firstLine="360"/>
        <w:divId w:val="2035837838"/>
        <w:rPr>
          <w:rFonts w:eastAsia="Times New Roman"/>
        </w:rPr>
      </w:pPr>
      <w:r>
        <w:rPr>
          <w:rFonts w:eastAsia="Times New Roman"/>
          <w:color w:val="000000"/>
          <w:sz w:val="20"/>
          <w:szCs w:val="20"/>
        </w:rPr>
        <w:t>Additionally, we make assumptions regarding policyholder behavior at the time of pricing and in selecting and using the GMxB features inherent within our prod</w:t>
      </w:r>
      <w:r>
        <w:rPr>
          <w:rFonts w:eastAsia="Times New Roman"/>
          <w:color w:val="000000"/>
          <w:sz w:val="20"/>
          <w:szCs w:val="20"/>
        </w:rPr>
        <w:t>ucts. An increase in the valuation of the liability could result to the extent emerging and actual experience deviates from these policyholder option use assumptions. If we update our assumptions based on our actuarial assumption review, we could be requir</w:t>
      </w:r>
      <w:r>
        <w:rPr>
          <w:rFonts w:eastAsia="Times New Roman"/>
          <w:color w:val="000000"/>
          <w:sz w:val="20"/>
          <w:szCs w:val="20"/>
        </w:rPr>
        <w:t>ed to increase the liabilities we record for future policy benefits and claims to a level that may materially and adversely affect our business, results of operations or financial condition which, in certain circumstances, could impair our solvency. In add</w:t>
      </w:r>
      <w:r>
        <w:rPr>
          <w:rFonts w:eastAsia="Times New Roman"/>
          <w:color w:val="000000"/>
          <w:sz w:val="20"/>
          <w:szCs w:val="20"/>
        </w:rPr>
        <w:t xml:space="preserve">ition, we have in the past updated our assumptions on policyholder behavior, which has negatively impacted our net income, and there can be no assurance that similar updates will not be required in the future. </w:t>
      </w:r>
    </w:p>
    <w:p w:rsidR="00000000" w:rsidRDefault="005B0BC3">
      <w:pPr>
        <w:ind w:firstLine="360"/>
        <w:divId w:val="1407800796"/>
        <w:rPr>
          <w:rFonts w:eastAsia="Times New Roman"/>
        </w:rPr>
      </w:pPr>
      <w:r>
        <w:rPr>
          <w:rFonts w:eastAsia="Times New Roman"/>
          <w:color w:val="000000"/>
          <w:sz w:val="20"/>
          <w:szCs w:val="20"/>
        </w:rPr>
        <w:t>In addition, hedging instruments may not effe</w:t>
      </w:r>
      <w:r>
        <w:rPr>
          <w:rFonts w:eastAsia="Times New Roman"/>
          <w:color w:val="000000"/>
          <w:sz w:val="20"/>
          <w:szCs w:val="20"/>
        </w:rPr>
        <w:t>ctively offset the costs of GMxB features or may otherwise be insufficient in relation to our obligations. Furthermore, we are subject to the risk that changes in policyholder behavior or mortality, combined with adverse market events, could produce econom</w:t>
      </w:r>
      <w:r>
        <w:rPr>
          <w:rFonts w:eastAsia="Times New Roman"/>
          <w:color w:val="000000"/>
          <w:sz w:val="20"/>
          <w:szCs w:val="20"/>
        </w:rPr>
        <w:t>ic losses not addressed by our risk management techniques. These factors, individually or collectively, may have a material adverse effect on our business, results of operations, including net income, capitalization, financial condition or liquidity includ</w:t>
      </w:r>
      <w:r>
        <w:rPr>
          <w:rFonts w:eastAsia="Times New Roman"/>
          <w:color w:val="000000"/>
          <w:sz w:val="20"/>
          <w:szCs w:val="20"/>
        </w:rPr>
        <w:t>ing our ability to receive dividends from our insurance subsidiaries.</w:t>
      </w:r>
    </w:p>
    <w:p w:rsidR="00000000" w:rsidRDefault="005B0BC3">
      <w:pPr>
        <w:jc w:val="both"/>
        <w:divId w:val="155386377"/>
        <w:rPr>
          <w:rFonts w:eastAsia="Times New Roman"/>
        </w:rPr>
      </w:pPr>
      <w:r>
        <w:rPr>
          <w:rFonts w:eastAsia="Times New Roman"/>
          <w:b/>
          <w:bCs/>
          <w:i/>
          <w:iCs/>
          <w:color w:val="000000"/>
          <w:sz w:val="20"/>
          <w:szCs w:val="20"/>
        </w:rPr>
        <w:t>The amount of statutory capital that we have and the amount of statutory capital we must hold to meet our statutory capital requirements and our financial strength and credit ratings can</w:t>
      </w:r>
      <w:r>
        <w:rPr>
          <w:rFonts w:eastAsia="Times New Roman"/>
          <w:b/>
          <w:bCs/>
          <w:i/>
          <w:iCs/>
          <w:color w:val="000000"/>
          <w:sz w:val="20"/>
          <w:szCs w:val="20"/>
        </w:rPr>
        <w:t xml:space="preserve"> vary significantly.</w:t>
      </w:r>
    </w:p>
    <w:p w:rsidR="00000000" w:rsidRDefault="005B0BC3">
      <w:pPr>
        <w:ind w:firstLine="360"/>
        <w:divId w:val="776868164"/>
        <w:rPr>
          <w:rFonts w:eastAsia="Times New Roman"/>
        </w:rPr>
      </w:pPr>
      <w:r>
        <w:rPr>
          <w:rFonts w:eastAsia="Times New Roman"/>
          <w:color w:val="000000"/>
          <w:sz w:val="20"/>
          <w:szCs w:val="20"/>
        </w:rPr>
        <w:t>In any particular year, statutory surplus amounts and RBC ratios may increase or decrease depending on a variety of factors. Additionally, state insurance regulators have significant leeway in how to interpret existing regulations, whi</w:t>
      </w:r>
      <w:r>
        <w:rPr>
          <w:rFonts w:eastAsia="Times New Roman"/>
          <w:color w:val="000000"/>
          <w:sz w:val="20"/>
          <w:szCs w:val="20"/>
        </w:rPr>
        <w:t xml:space="preserve">ch could further impact the amount of statutory capital or reserves that we must maintain. Equitable Financial is primarily regulated by the NYDFS, which from time to time has taken more stringent positions than other state insurance regulators on matters </w:t>
      </w:r>
      <w:r>
        <w:rPr>
          <w:rFonts w:eastAsia="Times New Roman"/>
          <w:color w:val="000000"/>
          <w:sz w:val="20"/>
          <w:szCs w:val="20"/>
        </w:rPr>
        <w:t>affecting, among other things, statutory capital or reserves. In certain circumstances, particularly those involving significant market declines, the effect of these more stringent positions may be that our financial condition appears to be worse than comp</w:t>
      </w:r>
      <w:r>
        <w:rPr>
          <w:rFonts w:eastAsia="Times New Roman"/>
          <w:color w:val="000000"/>
          <w:sz w:val="20"/>
          <w:szCs w:val="20"/>
        </w:rPr>
        <w:t>etitors who are not subject to the same stringent standards, which could have a material adverse impact on our business, results of operations or financial condition. Moreover, rating agencies may implement changes to their internal models that have the ef</w:t>
      </w:r>
      <w:r>
        <w:rPr>
          <w:rFonts w:eastAsia="Times New Roman"/>
          <w:color w:val="000000"/>
          <w:sz w:val="20"/>
          <w:szCs w:val="20"/>
        </w:rPr>
        <w:t xml:space="preserve">fect of increasing or decreasing the amount of capital our insurance subsidiaries must hold in order to maintain their current ratings. To the extent that our statutory capital resources are deemed to be insufficient to maintain a particular rating by one </w:t>
      </w:r>
      <w:r>
        <w:rPr>
          <w:rFonts w:eastAsia="Times New Roman"/>
          <w:color w:val="000000"/>
          <w:sz w:val="20"/>
          <w:szCs w:val="20"/>
        </w:rPr>
        <w:t>or more rating agencies, our insurance subsidiaries’ financial strength and credit ratings might be downgraded by one or more rating agencies. There can be no assurance that any of our insurance subsidiaries will be able to maintain its current RBC ratio i</w:t>
      </w:r>
      <w:r>
        <w:rPr>
          <w:rFonts w:eastAsia="Times New Roman"/>
          <w:color w:val="000000"/>
          <w:sz w:val="20"/>
          <w:szCs w:val="20"/>
        </w:rPr>
        <w:t>n the future or that its RBC ratio will not fall to a level that could have a material adverse effect on our business, results of operations or financial condition.</w:t>
      </w:r>
    </w:p>
    <w:p w:rsidR="00000000" w:rsidRDefault="005B0BC3">
      <w:pPr>
        <w:ind w:firstLine="360"/>
        <w:divId w:val="1818298891"/>
        <w:rPr>
          <w:rFonts w:eastAsia="Times New Roman"/>
        </w:rPr>
      </w:pPr>
      <w:r>
        <w:rPr>
          <w:rFonts w:eastAsia="Times New Roman"/>
          <w:color w:val="000000"/>
          <w:sz w:val="20"/>
          <w:szCs w:val="20"/>
        </w:rPr>
        <w:t>The failure of any of our insurance subsidiaries to meet its applicable RBC requirements or</w:t>
      </w:r>
      <w:r>
        <w:rPr>
          <w:rFonts w:eastAsia="Times New Roman"/>
          <w:color w:val="000000"/>
          <w:sz w:val="20"/>
          <w:szCs w:val="20"/>
        </w:rPr>
        <w:t xml:space="preserve"> minimum capital and surplus requirements could subject it to further examination or corrective action imposed by insurance regulators, including limitations on its ability to write additional business, supervision by regulators, rehabilitation, or seizure</w:t>
      </w:r>
      <w:r>
        <w:rPr>
          <w:rFonts w:eastAsia="Times New Roman"/>
          <w:color w:val="000000"/>
          <w:sz w:val="20"/>
          <w:szCs w:val="20"/>
        </w:rPr>
        <w:t xml:space="preserve"> or liquidation. Any corrective action imposed could have a material adverse effect on our business, results of operations or financial condition. A decline in RBC ratios may limit the ability of an insurance subsidiary to make dividends or distributions t</w:t>
      </w:r>
      <w:r>
        <w:rPr>
          <w:rFonts w:eastAsia="Times New Roman"/>
          <w:color w:val="000000"/>
          <w:sz w:val="20"/>
          <w:szCs w:val="20"/>
        </w:rPr>
        <w:t>o us, could result in a loss of customers or new business, and could be a factor in causing ratings agencies to downgrade the insurer’s financial strength ratings, each of which could have a material adverse effect on our business, results of operations or</w:t>
      </w:r>
      <w:r>
        <w:rPr>
          <w:rFonts w:eastAsia="Times New Roman"/>
          <w:color w:val="000000"/>
          <w:sz w:val="20"/>
          <w:szCs w:val="20"/>
        </w:rPr>
        <w:t xml:space="preserve"> financial condition.</w:t>
      </w:r>
    </w:p>
    <w:p w:rsidR="00000000" w:rsidRDefault="005B0BC3">
      <w:pPr>
        <w:jc w:val="both"/>
        <w:divId w:val="1621453803"/>
        <w:rPr>
          <w:rFonts w:eastAsia="Times New Roman"/>
        </w:rPr>
      </w:pPr>
      <w:r>
        <w:rPr>
          <w:rFonts w:eastAsia="Times New Roman"/>
          <w:b/>
          <w:bCs/>
          <w:i/>
          <w:iCs/>
          <w:color w:val="000000"/>
          <w:sz w:val="20"/>
          <w:szCs w:val="20"/>
        </w:rPr>
        <w:t>A downgrade in our financial strength and claims-paying ratings.</w:t>
      </w:r>
    </w:p>
    <w:p w:rsidR="00000000" w:rsidRDefault="005B0BC3">
      <w:pPr>
        <w:ind w:firstLine="360"/>
        <w:divId w:val="1233809909"/>
        <w:rPr>
          <w:rFonts w:eastAsia="Times New Roman"/>
        </w:rPr>
      </w:pPr>
      <w:r>
        <w:rPr>
          <w:rFonts w:eastAsia="Times New Roman"/>
          <w:color w:val="000000"/>
          <w:sz w:val="20"/>
          <w:szCs w:val="20"/>
        </w:rPr>
        <w:t>Claims-paying and financial strength ratings are important factors in establishing the competitive position of insurance companies. They indicate the rating agencies’ op</w:t>
      </w:r>
      <w:r>
        <w:rPr>
          <w:rFonts w:eastAsia="Times New Roman"/>
          <w:color w:val="000000"/>
          <w:sz w:val="20"/>
          <w:szCs w:val="20"/>
        </w:rPr>
        <w:t xml:space="preserve">inions regarding an insurance company’s ability to meet policyholder obligations and are important to maintaining public confidence in our products and our competitive position. A downgrade of our ratings or those of Equitable Financial, Equitable America </w:t>
      </w:r>
      <w:r>
        <w:rPr>
          <w:rFonts w:eastAsia="Times New Roman"/>
          <w:color w:val="000000"/>
          <w:sz w:val="20"/>
          <w:szCs w:val="20"/>
        </w:rPr>
        <w:t>or Holdings could adversely affect our business, results of operations or financial condition by, among other things, reducing new sales of our products, increasing surrenders and withdrawals from our existing contracts, possibly requiring us to reduce pri</w:t>
      </w:r>
      <w:r>
        <w:rPr>
          <w:rFonts w:eastAsia="Times New Roman"/>
          <w:color w:val="000000"/>
          <w:sz w:val="20"/>
          <w:szCs w:val="20"/>
        </w:rPr>
        <w:t>ces or take other actions for many of our products and services to remain competitive, or adversely affecting our ability to obtain reinsurance or obtain reasonable pricing on reinsurance. A downgrade in our ratings may also adversely affect our cost of ra</w:t>
      </w:r>
      <w:r>
        <w:rPr>
          <w:rFonts w:eastAsia="Times New Roman"/>
          <w:color w:val="000000"/>
          <w:sz w:val="20"/>
          <w:szCs w:val="20"/>
        </w:rPr>
        <w:t>ising capital or limit our access to capital.</w:t>
      </w:r>
    </w:p>
    <w:p w:rsidR="00000000" w:rsidRDefault="005B0BC3">
      <w:pPr>
        <w:jc w:val="both"/>
        <w:divId w:val="1889801365"/>
        <w:rPr>
          <w:rFonts w:eastAsia="Times New Roman"/>
        </w:rPr>
      </w:pPr>
      <w:r>
        <w:rPr>
          <w:rFonts w:eastAsia="Times New Roman"/>
          <w:b/>
          <w:bCs/>
          <w:i/>
          <w:iCs/>
          <w:color w:val="000000"/>
          <w:sz w:val="20"/>
          <w:szCs w:val="20"/>
        </w:rPr>
        <w:t xml:space="preserve">State insurance laws limit the ability of our insurance subsidiaries to pay dividends and other distributions to Holdings. </w:t>
      </w:r>
    </w:p>
    <w:p w:rsidR="00000000" w:rsidRDefault="005B0BC3">
      <w:pPr>
        <w:ind w:firstLine="360"/>
        <w:divId w:val="620263431"/>
        <w:rPr>
          <w:rFonts w:eastAsia="Times New Roman"/>
        </w:rPr>
      </w:pPr>
      <w:r>
        <w:rPr>
          <w:rFonts w:eastAsia="Times New Roman"/>
          <w:color w:val="000000"/>
          <w:sz w:val="20"/>
          <w:szCs w:val="20"/>
        </w:rPr>
        <w:t>The payment of dividends and other distributions to Holdings by its insurance subsidia</w:t>
      </w:r>
      <w:r>
        <w:rPr>
          <w:rFonts w:eastAsia="Times New Roman"/>
          <w:color w:val="000000"/>
          <w:sz w:val="20"/>
          <w:szCs w:val="20"/>
        </w:rPr>
        <w:t>ries, including its captive reinsurer, is regulated by state insurance laws and regulations. These restrictions may limit or prevent our insurance subsidiaries from making dividend or other payments to Holdings. These restrictions are based, in part, on ea</w:t>
      </w:r>
      <w:r>
        <w:rPr>
          <w:rFonts w:eastAsia="Times New Roman"/>
          <w:color w:val="000000"/>
          <w:sz w:val="20"/>
          <w:szCs w:val="20"/>
        </w:rPr>
        <w:t xml:space="preserve">rned surplus and the prior year’s </w:t>
      </w:r>
    </w:p>
    <w:p w:rsidR="00000000" w:rsidRDefault="005B0BC3">
      <w:pPr>
        <w:jc w:val="center"/>
        <w:divId w:val="1642422744"/>
        <w:rPr>
          <w:rFonts w:eastAsia="Times New Roman"/>
        </w:rPr>
      </w:pPr>
      <w:r>
        <w:rPr>
          <w:rFonts w:eastAsia="Times New Roman"/>
          <w:color w:val="000000"/>
          <w:sz w:val="20"/>
          <w:szCs w:val="20"/>
        </w:rPr>
        <w:t>62</w:t>
      </w:r>
    </w:p>
    <w:p w:rsidR="00000000" w:rsidRDefault="005B0BC3">
      <w:pPr>
        <w:rPr>
          <w:rFonts w:eastAsia="Times New Roman"/>
        </w:rPr>
      </w:pPr>
      <w:r>
        <w:rPr>
          <w:rFonts w:eastAsia="Times New Roman"/>
        </w:rPr>
        <w:pict>
          <v:rect id="_x0000_i1099" style="width:0;height:1.5pt" o:hralign="center" o:hrstd="t" o:hr="t" fillcolor="#a0a0a0" stroked="f"/>
        </w:pict>
      </w:r>
    </w:p>
    <w:p w:rsidR="00000000" w:rsidRDefault="005B0BC3">
      <w:pPr>
        <w:divId w:val="848061075"/>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divId w:val="488012639"/>
        <w:rPr>
          <w:rFonts w:eastAsia="Times New Roman"/>
        </w:rPr>
      </w:pPr>
      <w:r>
        <w:rPr>
          <w:rFonts w:eastAsia="Times New Roman"/>
          <w:color w:val="000000"/>
          <w:sz w:val="20"/>
          <w:szCs w:val="20"/>
        </w:rPr>
        <w:t>statutory income and policyholder surplus. In general, dividends may be paid only from earned surplus (t</w:t>
      </w:r>
      <w:r>
        <w:rPr>
          <w:rFonts w:eastAsia="Times New Roman"/>
          <w:color w:val="000000"/>
          <w:sz w:val="20"/>
          <w:szCs w:val="20"/>
        </w:rPr>
        <w:t>ypically defined as available or unassigned surplus, subject to possible adjustments) which is derived from realized net profits on the company’s business. Dividends up to specified levels are generally considered ordinary and generally may be made without</w:t>
      </w:r>
      <w:r>
        <w:rPr>
          <w:rFonts w:eastAsia="Times New Roman"/>
          <w:color w:val="000000"/>
          <w:sz w:val="20"/>
          <w:szCs w:val="20"/>
        </w:rPr>
        <w:t xml:space="preserve"> prior regulatory approval. Meanwhile, dividends paid from sources other than earned surplus or in larger amounts, often called “extraordinary dividends,” are generally subject to approval by the insurance commissioner of the relevant state of domicile. In</w:t>
      </w:r>
      <w:r>
        <w:rPr>
          <w:rFonts w:eastAsia="Times New Roman"/>
          <w:color w:val="000000"/>
          <w:sz w:val="20"/>
          <w:szCs w:val="20"/>
        </w:rPr>
        <w:t xml:space="preserve"> addition, certain states may prohibit the payment of dividends from other than the insurance company’s earned surplus. If any of our insurance subsidiaries subject to the positive earned surplus requirement do not succeed in building up sufficient positiv</w:t>
      </w:r>
      <w:r>
        <w:rPr>
          <w:rFonts w:eastAsia="Times New Roman"/>
          <w:color w:val="000000"/>
          <w:sz w:val="20"/>
          <w:szCs w:val="20"/>
        </w:rPr>
        <w:t>e earned surplus to have ordinary dividend capacity in future years, such subsidiary would be unable to pay dividends or distributions to our holding company, in certain cases, absent prior approval of its domiciliary insurance regulator. For further infor</w:t>
      </w:r>
      <w:r>
        <w:rPr>
          <w:rFonts w:eastAsia="Times New Roman"/>
          <w:color w:val="000000"/>
          <w:sz w:val="20"/>
          <w:szCs w:val="20"/>
        </w:rPr>
        <w:t>mation on state insurance laws related to payments of dividends, see “Business—Regulation—Insurance Regulation—Holding Company and Shareholder Dividend Regulation.”</w:t>
      </w:r>
    </w:p>
    <w:p w:rsidR="00000000" w:rsidRDefault="005B0BC3">
      <w:pPr>
        <w:divId w:val="301424015"/>
        <w:rPr>
          <w:rFonts w:eastAsia="Times New Roman"/>
        </w:rPr>
      </w:pPr>
      <w:r>
        <w:rPr>
          <w:rFonts w:eastAsia="Times New Roman"/>
          <w:color w:val="000000"/>
          <w:sz w:val="20"/>
          <w:szCs w:val="20"/>
        </w:rPr>
        <w:t>From time to time, the NAIC and various state insurance regulators have considered, and may</w:t>
      </w:r>
      <w:r>
        <w:rPr>
          <w:rFonts w:eastAsia="Times New Roman"/>
          <w:color w:val="000000"/>
          <w:sz w:val="20"/>
          <w:szCs w:val="20"/>
        </w:rPr>
        <w:t xml:space="preserve"> in the future consider, proposals to further limit dividend payments that an insurance company may make without regulatory approval. For example, the NYDFS enacted Regulation 213. Due to a permitted statutory accounting practice agreed to with the NYDFS, </w:t>
      </w:r>
      <w:r>
        <w:rPr>
          <w:rFonts w:eastAsia="Times New Roman"/>
          <w:color w:val="000000"/>
          <w:sz w:val="20"/>
          <w:szCs w:val="20"/>
        </w:rPr>
        <w:t xml:space="preserve">Equitable Financial will need the prior approval of the NYDFS to pay the portion, if any, of any ordinary dividend that exceeds the ordinary dividend that Equitable Financial would be permitted to pay under New York insurance law absent the application of </w:t>
      </w:r>
      <w:r>
        <w:rPr>
          <w:rFonts w:eastAsia="Times New Roman"/>
          <w:color w:val="000000"/>
          <w:sz w:val="20"/>
          <w:szCs w:val="20"/>
        </w:rPr>
        <w:t>such permitted practice. If more stringent restrictions on dividend payments are adopted by jurisdictions in which our insurance subsidiaries are domiciled, such restrictions could have the effect of significantly reducing dividends or other amounts payabl</w:t>
      </w:r>
      <w:r>
        <w:rPr>
          <w:rFonts w:eastAsia="Times New Roman"/>
          <w:color w:val="000000"/>
          <w:sz w:val="20"/>
          <w:szCs w:val="20"/>
        </w:rPr>
        <w:t>e to Holdings by its insurance subsidiaries without prior approval by regulatory authorities. The ability of our insurance subsidiaries to pay dividends or make other distributions is also limited by our need to maintain the financial strength ratings assi</w:t>
      </w:r>
      <w:r>
        <w:rPr>
          <w:rFonts w:eastAsia="Times New Roman"/>
          <w:color w:val="000000"/>
          <w:sz w:val="20"/>
          <w:szCs w:val="20"/>
        </w:rPr>
        <w:t>gned to such subsidiaries by the rating agencies. These ratings depend to a large extent on the capitalization levels of our insurance subsidiaries.</w:t>
      </w:r>
    </w:p>
    <w:p w:rsidR="00000000" w:rsidRDefault="005B0BC3">
      <w:pPr>
        <w:divId w:val="1380666444"/>
        <w:rPr>
          <w:rFonts w:eastAsia="Times New Roman"/>
        </w:rPr>
      </w:pPr>
    </w:p>
    <w:p w:rsidR="00000000" w:rsidRDefault="005B0BC3">
      <w:pPr>
        <w:jc w:val="both"/>
        <w:divId w:val="703755472"/>
        <w:rPr>
          <w:rFonts w:eastAsia="Times New Roman"/>
        </w:rPr>
      </w:pPr>
      <w:r>
        <w:rPr>
          <w:rFonts w:eastAsia="Times New Roman"/>
          <w:b/>
          <w:bCs/>
          <w:i/>
          <w:iCs/>
          <w:color w:val="000000"/>
          <w:sz w:val="20"/>
          <w:szCs w:val="20"/>
        </w:rPr>
        <w:t>A loss of, or significant change in, key product distribution relationships.</w:t>
      </w:r>
    </w:p>
    <w:p w:rsidR="00000000" w:rsidRDefault="005B0BC3">
      <w:pPr>
        <w:ind w:firstLine="360"/>
        <w:divId w:val="2091385664"/>
        <w:rPr>
          <w:rFonts w:eastAsia="Times New Roman"/>
        </w:rPr>
      </w:pPr>
      <w:r>
        <w:rPr>
          <w:rFonts w:eastAsia="Times New Roman"/>
          <w:color w:val="000000"/>
          <w:sz w:val="20"/>
          <w:szCs w:val="20"/>
        </w:rPr>
        <w:t>We distribute certain produc</w:t>
      </w:r>
      <w:r>
        <w:rPr>
          <w:rFonts w:eastAsia="Times New Roman"/>
          <w:color w:val="000000"/>
          <w:sz w:val="20"/>
          <w:szCs w:val="20"/>
        </w:rPr>
        <w:t>ts under agreements with third-party distributors and other members of the financial services industry that are not affiliated with us. We compete with other financial institutions to attract and retain commercial relationships in each of these channels. A</w:t>
      </w:r>
      <w:r>
        <w:rPr>
          <w:rFonts w:eastAsia="Times New Roman"/>
          <w:color w:val="000000"/>
          <w:sz w:val="20"/>
          <w:szCs w:val="20"/>
        </w:rPr>
        <w:t>n interruption or significant change in certain key relationships could materially and adversely affect our ability to market our products and could have a material adverse effect on our business, results of operation or financial condition. Distributors m</w:t>
      </w:r>
      <w:r>
        <w:rPr>
          <w:rFonts w:eastAsia="Times New Roman"/>
          <w:color w:val="000000"/>
          <w:sz w:val="20"/>
          <w:szCs w:val="20"/>
        </w:rPr>
        <w:t>ay elect to alter, reduce or terminate their distribution relationships with us, including for such reasons as changes in our distribution strategy, adverse developments in our business, adverse rating agency actions or concerns about market-related risks.</w:t>
      </w:r>
      <w:r>
        <w:rPr>
          <w:rFonts w:eastAsia="Times New Roman"/>
          <w:color w:val="000000"/>
          <w:sz w:val="20"/>
          <w:szCs w:val="20"/>
        </w:rPr>
        <w:t xml:space="preserve"> Alternatively, we may terminate one or more distribution agreements due to, for example, a loss of confidence in, or a change in control of, one of the third-party distributors, which could reduce sales.</w:t>
      </w:r>
    </w:p>
    <w:p w:rsidR="00000000" w:rsidRDefault="005B0BC3">
      <w:pPr>
        <w:ind w:firstLine="360"/>
        <w:divId w:val="1064989422"/>
        <w:rPr>
          <w:rFonts w:eastAsia="Times New Roman"/>
        </w:rPr>
      </w:pPr>
      <w:r>
        <w:rPr>
          <w:rFonts w:eastAsia="Times New Roman"/>
          <w:color w:val="000000"/>
          <w:sz w:val="20"/>
          <w:szCs w:val="20"/>
        </w:rPr>
        <w:t xml:space="preserve">We are also at risk that key distribution partners </w:t>
      </w:r>
      <w:r>
        <w:rPr>
          <w:rFonts w:eastAsia="Times New Roman"/>
          <w:color w:val="000000"/>
          <w:sz w:val="20"/>
          <w:szCs w:val="20"/>
        </w:rPr>
        <w:t>may merge or change their business models in ways that affect how our products are sold, either in response to changing business priorities or as a result of shifts in regulatory supervision or potential changes in state and federal laws and regulations re</w:t>
      </w:r>
      <w:r>
        <w:rPr>
          <w:rFonts w:eastAsia="Times New Roman"/>
          <w:color w:val="000000"/>
          <w:sz w:val="20"/>
          <w:szCs w:val="20"/>
        </w:rPr>
        <w:t>garding standards of conduct applicable to third-party distributors when providing investment advice to retail and other customers. Our key distribution relationships may also be adversely impacted by regulatory changes that increase the costs associated w</w:t>
      </w:r>
      <w:r>
        <w:rPr>
          <w:rFonts w:eastAsia="Times New Roman"/>
          <w:color w:val="000000"/>
          <w:sz w:val="20"/>
          <w:szCs w:val="20"/>
        </w:rPr>
        <w:t xml:space="preserve">ith marketing, or restrict the ability of distribution partners to receive sales and promotion related charges. </w:t>
      </w:r>
    </w:p>
    <w:p w:rsidR="00000000" w:rsidRDefault="005B0BC3">
      <w:pPr>
        <w:divId w:val="1110051064"/>
        <w:rPr>
          <w:rFonts w:eastAsia="Times New Roman"/>
        </w:rPr>
      </w:pPr>
      <w:r>
        <w:rPr>
          <w:rFonts w:eastAsia="Times New Roman"/>
          <w:b/>
          <w:bCs/>
          <w:color w:val="000000"/>
          <w:sz w:val="20"/>
          <w:szCs w:val="20"/>
        </w:rPr>
        <w:t>Risks Relating to Estimates, Assumptions and Valuations</w:t>
      </w:r>
    </w:p>
    <w:p w:rsidR="00000000" w:rsidRDefault="005B0BC3">
      <w:pPr>
        <w:jc w:val="both"/>
        <w:divId w:val="455492517"/>
        <w:rPr>
          <w:rFonts w:eastAsia="Times New Roman"/>
        </w:rPr>
      </w:pPr>
      <w:r>
        <w:rPr>
          <w:rFonts w:eastAsia="Times New Roman"/>
          <w:b/>
          <w:bCs/>
          <w:i/>
          <w:iCs/>
          <w:color w:val="000000"/>
          <w:sz w:val="20"/>
          <w:szCs w:val="20"/>
        </w:rPr>
        <w:t>Our risk management policies and procedures.</w:t>
      </w:r>
    </w:p>
    <w:p w:rsidR="00000000" w:rsidRDefault="005B0BC3">
      <w:pPr>
        <w:ind w:firstLine="360"/>
        <w:divId w:val="485898636"/>
        <w:rPr>
          <w:rFonts w:eastAsia="Times New Roman"/>
        </w:rPr>
      </w:pPr>
      <w:r>
        <w:rPr>
          <w:rFonts w:eastAsia="Times New Roman"/>
          <w:color w:val="000000"/>
          <w:sz w:val="20"/>
          <w:szCs w:val="20"/>
        </w:rPr>
        <w:t>Our policies and procedures, including hed</w:t>
      </w:r>
      <w:r>
        <w:rPr>
          <w:rFonts w:eastAsia="Times New Roman"/>
          <w:color w:val="000000"/>
          <w:sz w:val="20"/>
          <w:szCs w:val="20"/>
        </w:rPr>
        <w:t>ging programs, to identify, monitor and manage risks may not be adequate or fully effective. Many of our methods of managing risk and exposures are based upon our use of historical market behavior or statistics based on historical models. As a result, thes</w:t>
      </w:r>
      <w:r>
        <w:rPr>
          <w:rFonts w:eastAsia="Times New Roman"/>
          <w:color w:val="000000"/>
          <w:sz w:val="20"/>
          <w:szCs w:val="20"/>
        </w:rPr>
        <w:t>e methods may not predict future exposures, which could be significantly greater than the historical measures indicate. Other risk management methods depend upon the evaluation of information regarding markets, clients, catastrophe occurrence or other matt</w:t>
      </w:r>
      <w:r>
        <w:rPr>
          <w:rFonts w:eastAsia="Times New Roman"/>
          <w:color w:val="000000"/>
          <w:sz w:val="20"/>
          <w:szCs w:val="20"/>
        </w:rPr>
        <w:t>ers that is publicly available or otherwise accessible to us, which may not always be accurate, complete, up-to-date or properly evaluated. Management of operational, legal and regulatory risks requires, among other things, policies and procedures to recor</w:t>
      </w:r>
      <w:r>
        <w:rPr>
          <w:rFonts w:eastAsia="Times New Roman"/>
          <w:color w:val="000000"/>
          <w:sz w:val="20"/>
          <w:szCs w:val="20"/>
        </w:rPr>
        <w:t>d and verify large numbers of transactions and events. These policies and procedures may not be fully effective.</w:t>
      </w:r>
    </w:p>
    <w:p w:rsidR="00000000" w:rsidRDefault="005B0BC3">
      <w:pPr>
        <w:ind w:firstLine="360"/>
        <w:divId w:val="1364330534"/>
        <w:rPr>
          <w:rFonts w:eastAsia="Times New Roman"/>
        </w:rPr>
      </w:pPr>
      <w:r>
        <w:rPr>
          <w:rFonts w:eastAsia="Times New Roman"/>
          <w:color w:val="000000"/>
          <w:sz w:val="20"/>
          <w:szCs w:val="20"/>
        </w:rPr>
        <w:t>We employ various strategies to mitigate risks inherent in our business and operations. These risks include current or future changes in the fa</w:t>
      </w:r>
      <w:r>
        <w:rPr>
          <w:rFonts w:eastAsia="Times New Roman"/>
          <w:color w:val="000000"/>
          <w:sz w:val="20"/>
          <w:szCs w:val="20"/>
        </w:rPr>
        <w:t>ir value of our assets and liabilities, current or future changes in cash flows, the effect of interest rates, equity markets and credit spread changes, the occurrence of credit defaults and changes in mortality and longevity. We seek to control these risk</w:t>
      </w:r>
      <w:r>
        <w:rPr>
          <w:rFonts w:eastAsia="Times New Roman"/>
          <w:color w:val="000000"/>
          <w:sz w:val="20"/>
          <w:szCs w:val="20"/>
        </w:rPr>
        <w:t xml:space="preserve">s by, among other things, entering into reinsurance contracts and through our hedging programs. Developing an effective strategy for dealing with these risks is complex, and no strategy can completely insulate us from such risks. Our </w:t>
      </w:r>
    </w:p>
    <w:p w:rsidR="00000000" w:rsidRDefault="005B0BC3">
      <w:pPr>
        <w:jc w:val="center"/>
        <w:divId w:val="523906738"/>
        <w:rPr>
          <w:rFonts w:eastAsia="Times New Roman"/>
        </w:rPr>
      </w:pPr>
      <w:r>
        <w:rPr>
          <w:rFonts w:eastAsia="Times New Roman"/>
          <w:color w:val="000000"/>
          <w:sz w:val="20"/>
          <w:szCs w:val="20"/>
        </w:rPr>
        <w:t>63</w:t>
      </w:r>
    </w:p>
    <w:p w:rsidR="00000000" w:rsidRDefault="005B0BC3">
      <w:pPr>
        <w:rPr>
          <w:rFonts w:eastAsia="Times New Roman"/>
        </w:rPr>
      </w:pPr>
      <w:r>
        <w:rPr>
          <w:rFonts w:eastAsia="Times New Roman"/>
        </w:rPr>
        <w:pict>
          <v:rect id="_x0000_i1100" style="width:0;height:1.5pt" o:hralign="center" o:hrstd="t" o:hr="t" fillcolor="#a0a0a0" stroked="f"/>
        </w:pict>
      </w:r>
    </w:p>
    <w:p w:rsidR="00000000" w:rsidRDefault="005B0BC3">
      <w:pPr>
        <w:divId w:val="2052413670"/>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divId w:val="1001084277"/>
        <w:rPr>
          <w:rFonts w:eastAsia="Times New Roman"/>
        </w:rPr>
      </w:pPr>
      <w:r>
        <w:rPr>
          <w:rFonts w:eastAsia="Times New Roman"/>
          <w:color w:val="000000"/>
          <w:sz w:val="20"/>
          <w:szCs w:val="20"/>
        </w:rPr>
        <w:t>hedging strategies also rely on assumptions and projections that may prove to be incorrect or prove to be inadequate. Moreover definitions used in our derivatives contracts may differ from those used in the contract being hedged. For example, swap document</w:t>
      </w:r>
      <w:r>
        <w:rPr>
          <w:rFonts w:eastAsia="Times New Roman"/>
          <w:color w:val="000000"/>
          <w:sz w:val="20"/>
          <w:szCs w:val="20"/>
        </w:rPr>
        <w:t xml:space="preserve">s typically use SOFR as a fallback to LIBOR whereas corporate or municipal bonds or loans held by us may use different fallback rates. Accordingly, our hedging activities may not have the desired beneficial impact on our business, results of operations or </w:t>
      </w:r>
      <w:r>
        <w:rPr>
          <w:rFonts w:eastAsia="Times New Roman"/>
          <w:color w:val="000000"/>
          <w:sz w:val="20"/>
          <w:szCs w:val="20"/>
        </w:rPr>
        <w:t xml:space="preserve">financial condition. As U.S. GAAP accounting differs from the methods used to determine regulatory reserves and rating agency capital requirements, our hedging program tends to create earnings volatility in our U.S. GAAP financial statements. Further, the </w:t>
      </w:r>
      <w:r>
        <w:rPr>
          <w:rFonts w:eastAsia="Times New Roman"/>
          <w:color w:val="000000"/>
          <w:sz w:val="20"/>
          <w:szCs w:val="20"/>
        </w:rPr>
        <w:t>nature, timing, design or execution of our hedging transactions could actually increase our risks and losses. Our hedging strategies and the derivatives that we use, or may use in the future, may not adequately mitigate or offset the hedged risk and our he</w:t>
      </w:r>
      <w:r>
        <w:rPr>
          <w:rFonts w:eastAsia="Times New Roman"/>
          <w:color w:val="000000"/>
          <w:sz w:val="20"/>
          <w:szCs w:val="20"/>
        </w:rPr>
        <w:t>dging transactions may result in losses, including both losses based on the risk being hedged as well as losses based on the derivative. The terms of the derivatives and other instruments used to hedge the stated risks may not match those of the instrument</w:t>
      </w:r>
      <w:r>
        <w:rPr>
          <w:rFonts w:eastAsia="Times New Roman"/>
          <w:color w:val="000000"/>
          <w:sz w:val="20"/>
          <w:szCs w:val="20"/>
        </w:rPr>
        <w:t xml:space="preserve">s they are hedging which could cause unpredictability in results. </w:t>
      </w:r>
    </w:p>
    <w:p w:rsidR="00000000" w:rsidRDefault="005B0BC3">
      <w:pPr>
        <w:jc w:val="both"/>
        <w:divId w:val="2066946783"/>
        <w:rPr>
          <w:rFonts w:eastAsia="Times New Roman"/>
        </w:rPr>
      </w:pPr>
      <w:r>
        <w:rPr>
          <w:rFonts w:eastAsia="Times New Roman"/>
          <w:b/>
          <w:bCs/>
          <w:i/>
          <w:iCs/>
          <w:color w:val="000000"/>
          <w:sz w:val="20"/>
          <w:szCs w:val="20"/>
        </w:rPr>
        <w:t>Our reserves could be inadequate and product profitability could decrease due to differences between our actual experience and management’s estimates and assumptions.</w:t>
      </w:r>
    </w:p>
    <w:p w:rsidR="00000000" w:rsidRDefault="005B0BC3">
      <w:pPr>
        <w:ind w:firstLine="360"/>
        <w:divId w:val="1614555336"/>
        <w:rPr>
          <w:rFonts w:eastAsia="Times New Roman"/>
        </w:rPr>
      </w:pPr>
      <w:r>
        <w:rPr>
          <w:rFonts w:eastAsia="Times New Roman"/>
          <w:color w:val="000000"/>
          <w:sz w:val="20"/>
          <w:szCs w:val="20"/>
        </w:rPr>
        <w:t>Our reserve requiremen</w:t>
      </w:r>
      <w:r>
        <w:rPr>
          <w:rFonts w:eastAsia="Times New Roman"/>
          <w:color w:val="000000"/>
          <w:sz w:val="20"/>
          <w:szCs w:val="20"/>
        </w:rPr>
        <w:t>ts for our direct and reinsurance assumed business are calculated based on a number of estimates and assumptions, including estimates and assumptions related to future mortality, morbidity, longevity, persistency, interest rates, future equity performance,</w:t>
      </w:r>
      <w:r>
        <w:rPr>
          <w:rFonts w:eastAsia="Times New Roman"/>
          <w:color w:val="000000"/>
          <w:sz w:val="20"/>
          <w:szCs w:val="20"/>
        </w:rPr>
        <w:t xml:space="preserve"> reinvestment rates, claims experience and policyholder elections (i.e., the exercise or non-exercise of rights by policyholders under the contracts). The assumptions and estimates used in connection with the reserve estimation process are inherently uncer</w:t>
      </w:r>
      <w:r>
        <w:rPr>
          <w:rFonts w:eastAsia="Times New Roman"/>
          <w:color w:val="000000"/>
          <w:sz w:val="20"/>
          <w:szCs w:val="20"/>
        </w:rPr>
        <w:t>tain and involve the exercise of significant judgment. We review the appropriateness of reserves and the underlying assumptions at least annually and, if necessary, update our assumptions as additional information becomes available. We cannot, however, det</w:t>
      </w:r>
      <w:r>
        <w:rPr>
          <w:rFonts w:eastAsia="Times New Roman"/>
          <w:color w:val="000000"/>
          <w:sz w:val="20"/>
          <w:szCs w:val="20"/>
        </w:rPr>
        <w:t>ermine with precision the amounts that we will pay for, or the timing of payment of, actual benefits and claims or whether the assets supporting the policy liabilities will grow to the level assumed prior to payment of benefits or claims. Our claim costs c</w:t>
      </w:r>
      <w:r>
        <w:rPr>
          <w:rFonts w:eastAsia="Times New Roman"/>
          <w:color w:val="000000"/>
          <w:sz w:val="20"/>
          <w:szCs w:val="20"/>
        </w:rPr>
        <w:t>ould increase significantly, and our reserves could be inadequate if actual results differ significantly from our estimates and assumptions. If so, we will be required to increase reserves or reduce DAC, which could materially and adversely impact our busi</w:t>
      </w:r>
      <w:r>
        <w:rPr>
          <w:rFonts w:eastAsia="Times New Roman"/>
          <w:color w:val="000000"/>
          <w:sz w:val="20"/>
          <w:szCs w:val="20"/>
        </w:rPr>
        <w:t>ness, results of operations or financial condition. Future reserve increases in connection with experience updates could be material and adverse to the results of operations or financial condition of the Company. Future changes as a result of future assump</w:t>
      </w:r>
      <w:r>
        <w:rPr>
          <w:rFonts w:eastAsia="Times New Roman"/>
          <w:color w:val="000000"/>
          <w:sz w:val="20"/>
          <w:szCs w:val="20"/>
        </w:rPr>
        <w:t>tions reviews could require us to make material additional capital contributions to one or more of our insurance company subsidiaries or could otherwise materially and adversely impact our business, results of operations or financial condition and may nega</w:t>
      </w:r>
      <w:r>
        <w:rPr>
          <w:rFonts w:eastAsia="Times New Roman"/>
          <w:color w:val="000000"/>
          <w:sz w:val="20"/>
          <w:szCs w:val="20"/>
        </w:rPr>
        <w:t>tively and materially impact our stock price.</w:t>
      </w:r>
    </w:p>
    <w:p w:rsidR="00000000" w:rsidRDefault="005B0BC3">
      <w:pPr>
        <w:ind w:firstLine="360"/>
        <w:divId w:val="160899601"/>
        <w:rPr>
          <w:rFonts w:eastAsia="Times New Roman"/>
        </w:rPr>
      </w:pPr>
      <w:r>
        <w:rPr>
          <w:rFonts w:eastAsia="Times New Roman"/>
          <w:color w:val="000000"/>
          <w:sz w:val="20"/>
          <w:szCs w:val="20"/>
        </w:rPr>
        <w:t xml:space="preserve">Significant deviations in actual experience from our pricing assumptions could have an adverse effect on the profitability of our products. If actual persistency is significantly different from that assumed in </w:t>
      </w:r>
      <w:r>
        <w:rPr>
          <w:rFonts w:eastAsia="Times New Roman"/>
          <w:color w:val="000000"/>
          <w:sz w:val="20"/>
          <w:szCs w:val="20"/>
        </w:rPr>
        <w:t>our current reserving assumptions, our reserves for future policy benefits may prove to be inadequate. Although some of our variable annuity and life insurance products permit us to increase premiums or adjust other charges and credits during the life of t</w:t>
      </w:r>
      <w:r>
        <w:rPr>
          <w:rFonts w:eastAsia="Times New Roman"/>
          <w:color w:val="000000"/>
          <w:sz w:val="20"/>
          <w:szCs w:val="20"/>
        </w:rPr>
        <w:t>he policy or contract, the adjustments permitted under the terms of the policies or contracts may not be sufficient to maintain profitability. Many of our variable annuity and life insurance products do not permit us to increase premiums or adjust other ch</w:t>
      </w:r>
      <w:r>
        <w:rPr>
          <w:rFonts w:eastAsia="Times New Roman"/>
          <w:color w:val="000000"/>
          <w:sz w:val="20"/>
          <w:szCs w:val="20"/>
        </w:rPr>
        <w:t>arges and credits or limit those adjustments during the life of the policy or contract. Even if we are permitted under the contract to increase premiums or adjust other charges and credits, we may not be able to do so due to litigation, point of sale discl</w:t>
      </w:r>
      <w:r>
        <w:rPr>
          <w:rFonts w:eastAsia="Times New Roman"/>
          <w:color w:val="000000"/>
          <w:sz w:val="20"/>
          <w:szCs w:val="20"/>
        </w:rPr>
        <w:t>osures, regulatory reputation and market risk or due to actions by our competitors. In addition, the development of a secondary market for life insurance could adversely affect the profitability of existing business and our pricing assumptions for new busi</w:t>
      </w:r>
      <w:r>
        <w:rPr>
          <w:rFonts w:eastAsia="Times New Roman"/>
          <w:color w:val="000000"/>
          <w:sz w:val="20"/>
          <w:szCs w:val="20"/>
        </w:rPr>
        <w:t>ness.</w:t>
      </w:r>
    </w:p>
    <w:p w:rsidR="00000000" w:rsidRDefault="005B0BC3">
      <w:pPr>
        <w:jc w:val="both"/>
        <w:divId w:val="1870217817"/>
        <w:rPr>
          <w:rFonts w:eastAsia="Times New Roman"/>
        </w:rPr>
      </w:pPr>
      <w:r>
        <w:rPr>
          <w:rFonts w:eastAsia="Times New Roman"/>
          <w:b/>
          <w:bCs/>
          <w:i/>
          <w:iCs/>
          <w:color w:val="000000"/>
          <w:sz w:val="20"/>
          <w:szCs w:val="20"/>
        </w:rPr>
        <w:t>We may be required to accelerate the amortization of DAC.</w:t>
      </w:r>
    </w:p>
    <w:p w:rsidR="00000000" w:rsidRDefault="005B0BC3">
      <w:pPr>
        <w:ind w:firstLine="360"/>
        <w:divId w:val="1799449385"/>
        <w:rPr>
          <w:rFonts w:eastAsia="Times New Roman"/>
        </w:rPr>
      </w:pPr>
      <w:r>
        <w:rPr>
          <w:rFonts w:eastAsia="Times New Roman"/>
          <w:color w:val="000000"/>
          <w:sz w:val="20"/>
          <w:szCs w:val="20"/>
        </w:rPr>
        <w:t>DAC represents policy acquisition costs that have been capitalized. Capitalized costs associated with DAC are amortized in proportion to actual and estimated gross profits, gross premiums or g</w:t>
      </w:r>
      <w:r>
        <w:rPr>
          <w:rFonts w:eastAsia="Times New Roman"/>
          <w:color w:val="000000"/>
          <w:sz w:val="20"/>
          <w:szCs w:val="20"/>
        </w:rPr>
        <w:t>ross revenues depending on the type of contract. On an ongoing basis, we test the DAC recorded on our balance sheets to determine if the amount is recoverable under current assumptions. In addition, we regularly review the estimates and assumptions underly</w:t>
      </w:r>
      <w:r>
        <w:rPr>
          <w:rFonts w:eastAsia="Times New Roman"/>
          <w:color w:val="000000"/>
          <w:sz w:val="20"/>
          <w:szCs w:val="20"/>
        </w:rPr>
        <w:t>ing DAC. The projection of estimated gross profits, gross premiums or gross revenues requires the use of certain assumptions, principally related to Separate Accounts fund returns in excess of amounts credited to policyholders, policyholder behavior such a</w:t>
      </w:r>
      <w:r>
        <w:rPr>
          <w:rFonts w:eastAsia="Times New Roman"/>
          <w:color w:val="000000"/>
          <w:sz w:val="20"/>
          <w:szCs w:val="20"/>
        </w:rPr>
        <w:t>s surrender, lapse and annuitization rates, interest margin, expense margin, mortality, future impairments and hedging costs. Estimating future gross profits, gross premiums or gross revenues is a complex process requiring considerable judgment and the for</w:t>
      </w:r>
      <w:r>
        <w:rPr>
          <w:rFonts w:eastAsia="Times New Roman"/>
          <w:color w:val="000000"/>
          <w:sz w:val="20"/>
          <w:szCs w:val="20"/>
        </w:rPr>
        <w:t>ecasting of events well into the future. If these assumptions prove to be inaccurate, if an estimation technique used to estimate future gross profits, gross premiums or gross revenues is changed, or if significant or sustained equity market declines occur</w:t>
      </w:r>
      <w:r>
        <w:rPr>
          <w:rFonts w:eastAsia="Times New Roman"/>
          <w:color w:val="000000"/>
          <w:sz w:val="20"/>
          <w:szCs w:val="20"/>
        </w:rPr>
        <w:t xml:space="preserve"> or persist, we could be required to accelerate the amortization of DAC, which would result in a charge to earnings. Such adjustments could have a material adverse effect on our business, results of operations or financial condition.</w:t>
      </w:r>
    </w:p>
    <w:p w:rsidR="00000000" w:rsidRDefault="005B0BC3">
      <w:pPr>
        <w:jc w:val="both"/>
        <w:divId w:val="1004280467"/>
        <w:rPr>
          <w:rFonts w:eastAsia="Times New Roman"/>
        </w:rPr>
      </w:pPr>
      <w:r>
        <w:rPr>
          <w:rFonts w:eastAsia="Times New Roman"/>
          <w:b/>
          <w:bCs/>
          <w:i/>
          <w:iCs/>
          <w:color w:val="000000"/>
          <w:sz w:val="20"/>
          <w:szCs w:val="20"/>
        </w:rPr>
        <w:t>Our financial models r</w:t>
      </w:r>
      <w:r>
        <w:rPr>
          <w:rFonts w:eastAsia="Times New Roman"/>
          <w:b/>
          <w:bCs/>
          <w:i/>
          <w:iCs/>
          <w:color w:val="000000"/>
          <w:sz w:val="20"/>
          <w:szCs w:val="20"/>
        </w:rPr>
        <w:t>ely on estimates, assumptions and projections.</w:t>
      </w:r>
    </w:p>
    <w:p w:rsidR="00000000" w:rsidRDefault="005B0BC3">
      <w:pPr>
        <w:ind w:firstLine="360"/>
        <w:divId w:val="143008879"/>
        <w:rPr>
          <w:rFonts w:eastAsia="Times New Roman"/>
        </w:rPr>
      </w:pPr>
      <w:r>
        <w:rPr>
          <w:rFonts w:eastAsia="Times New Roman"/>
          <w:color w:val="000000"/>
          <w:sz w:val="20"/>
          <w:szCs w:val="20"/>
        </w:rPr>
        <w:t xml:space="preserve">We use models in our hedging programs and many other aspects of our operations including, but not limited to, product </w:t>
      </w:r>
    </w:p>
    <w:p w:rsidR="00000000" w:rsidRDefault="005B0BC3">
      <w:pPr>
        <w:jc w:val="center"/>
        <w:divId w:val="950821205"/>
        <w:rPr>
          <w:rFonts w:eastAsia="Times New Roman"/>
        </w:rPr>
      </w:pPr>
      <w:r>
        <w:rPr>
          <w:rFonts w:eastAsia="Times New Roman"/>
          <w:color w:val="000000"/>
          <w:sz w:val="20"/>
          <w:szCs w:val="20"/>
        </w:rPr>
        <w:t>64</w:t>
      </w:r>
    </w:p>
    <w:p w:rsidR="00000000" w:rsidRDefault="005B0BC3">
      <w:pPr>
        <w:rPr>
          <w:rFonts w:eastAsia="Times New Roman"/>
        </w:rPr>
      </w:pPr>
      <w:r>
        <w:rPr>
          <w:rFonts w:eastAsia="Times New Roman"/>
        </w:rPr>
        <w:pict>
          <v:rect id="_x0000_i1101" style="width:0;height:1.5pt" o:hralign="center" o:hrstd="t" o:hr="t" fillcolor="#a0a0a0" stroked="f"/>
        </w:pict>
      </w:r>
    </w:p>
    <w:p w:rsidR="00000000" w:rsidRDefault="005B0BC3">
      <w:pPr>
        <w:divId w:val="1501382423"/>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divId w:val="601230101"/>
        <w:rPr>
          <w:rFonts w:eastAsia="Times New Roman"/>
        </w:rPr>
      </w:pPr>
      <w:r>
        <w:rPr>
          <w:rFonts w:eastAsia="Times New Roman"/>
          <w:color w:val="000000"/>
          <w:sz w:val="20"/>
          <w:szCs w:val="20"/>
        </w:rPr>
        <w:t>development and pricing, capital management, the estimation of actuarial reserves, the amortization of DAC, the fair value of the GMIB reinsurance contracts and the valuation of certain other assets and liabilities. These models</w:t>
      </w:r>
      <w:r>
        <w:rPr>
          <w:rFonts w:eastAsia="Times New Roman"/>
          <w:color w:val="000000"/>
          <w:sz w:val="20"/>
          <w:szCs w:val="20"/>
        </w:rPr>
        <w:t xml:space="preserve"> rely on estimates, assumptions and projections that are inherently uncertain and involve the exercise of significant judgment. Due to the complexity of such models, it is possible that errors in the models could exist and our controls could fail to detect</w:t>
      </w:r>
      <w:r>
        <w:rPr>
          <w:rFonts w:eastAsia="Times New Roman"/>
          <w:color w:val="000000"/>
          <w:sz w:val="20"/>
          <w:szCs w:val="20"/>
        </w:rPr>
        <w:t xml:space="preserve"> such errors. Failure to detect such errors could materially and adversely impact our business, results of operations or financial condition.</w:t>
      </w:r>
    </w:p>
    <w:p w:rsidR="00000000" w:rsidRDefault="005B0BC3">
      <w:pPr>
        <w:jc w:val="both"/>
        <w:divId w:val="553738795"/>
        <w:rPr>
          <w:rFonts w:eastAsia="Times New Roman"/>
        </w:rPr>
      </w:pPr>
      <w:r>
        <w:rPr>
          <w:rFonts w:eastAsia="Times New Roman"/>
          <w:b/>
          <w:bCs/>
          <w:i/>
          <w:iCs/>
          <w:color w:val="000000"/>
          <w:sz w:val="20"/>
          <w:szCs w:val="20"/>
        </w:rPr>
        <w:t>Subjectivity of the determination of the amount of allowances and impairments taken on our investments.</w:t>
      </w:r>
    </w:p>
    <w:p w:rsidR="00000000" w:rsidRDefault="005B0BC3">
      <w:pPr>
        <w:ind w:firstLine="360"/>
        <w:divId w:val="565454487"/>
        <w:rPr>
          <w:rFonts w:eastAsia="Times New Roman"/>
        </w:rPr>
      </w:pPr>
      <w:r>
        <w:rPr>
          <w:rFonts w:eastAsia="Times New Roman"/>
          <w:color w:val="000000"/>
          <w:sz w:val="20"/>
          <w:szCs w:val="20"/>
        </w:rPr>
        <w:t>The determ</w:t>
      </w:r>
      <w:r>
        <w:rPr>
          <w:rFonts w:eastAsia="Times New Roman"/>
          <w:color w:val="000000"/>
          <w:sz w:val="20"/>
          <w:szCs w:val="20"/>
        </w:rPr>
        <w:t>ination of the amount of allowances and impairments varies by investment type and is based upon our evaluation of known and inherent risks associated with the respective asset class. Management updates its evaluations regularly and reflects changes in allo</w:t>
      </w:r>
      <w:r>
        <w:rPr>
          <w:rFonts w:eastAsia="Times New Roman"/>
          <w:color w:val="000000"/>
          <w:sz w:val="20"/>
          <w:szCs w:val="20"/>
        </w:rPr>
        <w:t>wances and impairments in operations as such evaluations are revised. There can be no assurance that management’s judgments, as reflected in our financial statements, will ultimately prove to be an accurate estimate of the actual diminution in realized val</w:t>
      </w:r>
      <w:r>
        <w:rPr>
          <w:rFonts w:eastAsia="Times New Roman"/>
          <w:color w:val="000000"/>
          <w:sz w:val="20"/>
          <w:szCs w:val="20"/>
        </w:rPr>
        <w:t>ue. Historical trends may not be indicative of future impairments or allowances. Additional impairments may need to be taken or allowances provided for in the future that could have a material adverse effect on our business, results of operations or financ</w:t>
      </w:r>
      <w:r>
        <w:rPr>
          <w:rFonts w:eastAsia="Times New Roman"/>
          <w:color w:val="000000"/>
          <w:sz w:val="20"/>
          <w:szCs w:val="20"/>
        </w:rPr>
        <w:t>ial condition. Further, rapidly changing and unprecedented credit and equity market conditions could materially impact the valuation of securities as reported within our financial statements and the period-to-period changes in estimated fair value could va</w:t>
      </w:r>
      <w:r>
        <w:rPr>
          <w:rFonts w:eastAsia="Times New Roman"/>
          <w:color w:val="000000"/>
          <w:sz w:val="20"/>
          <w:szCs w:val="20"/>
        </w:rPr>
        <w:t>ry significantly. Decreases in the estimated fair value of securities we hold may have a material adverse effect on our business, results of operations or financial condition.</w:t>
      </w:r>
    </w:p>
    <w:p w:rsidR="00000000" w:rsidRDefault="005B0BC3">
      <w:pPr>
        <w:jc w:val="center"/>
        <w:divId w:val="1993409011"/>
        <w:rPr>
          <w:rFonts w:eastAsia="Times New Roman"/>
        </w:rPr>
      </w:pPr>
      <w:r>
        <w:rPr>
          <w:rFonts w:eastAsia="Times New Roman"/>
          <w:b/>
          <w:bCs/>
          <w:color w:val="000000"/>
          <w:sz w:val="20"/>
          <w:szCs w:val="20"/>
        </w:rPr>
        <w:t>Risks Relating to Our Investment Management and Research Business</w:t>
      </w:r>
    </w:p>
    <w:p w:rsidR="00000000" w:rsidRDefault="005B0BC3">
      <w:pPr>
        <w:jc w:val="both"/>
        <w:divId w:val="1137188040"/>
        <w:rPr>
          <w:rFonts w:eastAsia="Times New Roman"/>
        </w:rPr>
      </w:pPr>
      <w:r>
        <w:rPr>
          <w:rFonts w:eastAsia="Times New Roman"/>
          <w:b/>
          <w:bCs/>
          <w:i/>
          <w:iCs/>
          <w:color w:val="000000"/>
          <w:sz w:val="20"/>
          <w:szCs w:val="20"/>
        </w:rPr>
        <w:t xml:space="preserve">AB’s revenues </w:t>
      </w:r>
      <w:r>
        <w:rPr>
          <w:rFonts w:eastAsia="Times New Roman"/>
          <w:b/>
          <w:bCs/>
          <w:i/>
          <w:iCs/>
          <w:color w:val="000000"/>
          <w:sz w:val="20"/>
          <w:szCs w:val="20"/>
        </w:rPr>
        <w:t>and results of operations depend on the market value and composition of AB’s AUM.</w:t>
      </w:r>
    </w:p>
    <w:p w:rsidR="00000000" w:rsidRDefault="005B0BC3">
      <w:pPr>
        <w:ind w:firstLine="360"/>
        <w:divId w:val="678429286"/>
        <w:rPr>
          <w:rFonts w:eastAsia="Times New Roman"/>
        </w:rPr>
      </w:pPr>
      <w:r>
        <w:rPr>
          <w:rFonts w:eastAsia="Times New Roman"/>
          <w:color w:val="000000"/>
          <w:sz w:val="20"/>
          <w:szCs w:val="20"/>
        </w:rPr>
        <w:t>AB derives most of its revenues from investment advisory and services fees, which typically are calculated as a percentage of the value of AUM as of a specified date, or as a</w:t>
      </w:r>
      <w:r>
        <w:rPr>
          <w:rFonts w:eastAsia="Times New Roman"/>
          <w:color w:val="000000"/>
          <w:sz w:val="20"/>
          <w:szCs w:val="20"/>
        </w:rPr>
        <w:t xml:space="preserve"> percentage of the value of average AUM for the applicable billing period, and vary with the type of investment service, the size of the account and the total amount of assets AB manages for a particular client. The value and composition of AB’s AUM can be</w:t>
      </w:r>
      <w:r>
        <w:rPr>
          <w:rFonts w:eastAsia="Times New Roman"/>
          <w:color w:val="000000"/>
          <w:sz w:val="20"/>
          <w:szCs w:val="20"/>
        </w:rPr>
        <w:t xml:space="preserve"> adversely affected by several factors, including market factors, client preferences, AB’s investment performance, investing trends and service changes, including fee reductions. A decrease in the value of AB’s AUM, a decrease in the amount of AUM AB manag</w:t>
      </w:r>
      <w:r>
        <w:rPr>
          <w:rFonts w:eastAsia="Times New Roman"/>
          <w:color w:val="000000"/>
          <w:sz w:val="20"/>
          <w:szCs w:val="20"/>
        </w:rPr>
        <w:t xml:space="preserve">es, an adverse mix shift in its AUM and/or a reduction in the level of fees AB charges would adversely affect AB’s investment advisory fees and revenues. A reduction in revenues, without a commensurate reduction in expenses, adversely affects AB’s and our </w:t>
      </w:r>
      <w:r>
        <w:rPr>
          <w:rFonts w:eastAsia="Times New Roman"/>
          <w:color w:val="000000"/>
          <w:sz w:val="20"/>
          <w:szCs w:val="20"/>
        </w:rPr>
        <w:t>business, results of operations or financial condition.</w:t>
      </w:r>
    </w:p>
    <w:p w:rsidR="00000000" w:rsidRDefault="005B0BC3">
      <w:pPr>
        <w:jc w:val="both"/>
        <w:divId w:val="165631383"/>
        <w:rPr>
          <w:rFonts w:eastAsia="Times New Roman"/>
        </w:rPr>
      </w:pPr>
      <w:r>
        <w:rPr>
          <w:rFonts w:eastAsia="Times New Roman"/>
          <w:b/>
          <w:bCs/>
          <w:i/>
          <w:iCs/>
          <w:color w:val="000000"/>
          <w:sz w:val="20"/>
          <w:szCs w:val="20"/>
        </w:rPr>
        <w:t>The industry-wide shift from actively-managed investment services to passive services.</w:t>
      </w:r>
    </w:p>
    <w:p w:rsidR="00000000" w:rsidRDefault="005B0BC3">
      <w:pPr>
        <w:ind w:firstLine="360"/>
        <w:divId w:val="272594780"/>
        <w:rPr>
          <w:rFonts w:eastAsia="Times New Roman"/>
        </w:rPr>
      </w:pPr>
      <w:r>
        <w:rPr>
          <w:rFonts w:eastAsia="Times New Roman"/>
          <w:color w:val="000000"/>
          <w:sz w:val="20"/>
          <w:szCs w:val="20"/>
        </w:rPr>
        <w:t>AB’s competitive environment has become increasingly difficult over the past decade, as active managers, which in</w:t>
      </w:r>
      <w:r>
        <w:rPr>
          <w:rFonts w:eastAsia="Times New Roman"/>
          <w:color w:val="000000"/>
          <w:sz w:val="20"/>
          <w:szCs w:val="20"/>
        </w:rPr>
        <w:t>vest based on individual security selection, have, on average, consistently underperformed passive services, which invest based on market indices. In this environment, organic growth through positive net inflows is difficult to achieve for active managers,</w:t>
      </w:r>
      <w:r>
        <w:rPr>
          <w:rFonts w:eastAsia="Times New Roman"/>
          <w:color w:val="000000"/>
          <w:sz w:val="20"/>
          <w:szCs w:val="20"/>
        </w:rPr>
        <w:t xml:space="preserve"> such as AB, and requires taking market share from other active managers. The significant shift from active services to passive services adversely affects Bernstein Research Services revenues as well. Institutional global market trading volumes continue to</w:t>
      </w:r>
      <w:r>
        <w:rPr>
          <w:rFonts w:eastAsia="Times New Roman"/>
          <w:color w:val="000000"/>
          <w:sz w:val="20"/>
          <w:szCs w:val="20"/>
        </w:rPr>
        <w:t xml:space="preserve"> be pressured (notwithstanding the heightened market volatility and trading volume predominately relating to COVID-19 in the first half of 2020) by persistent active equity outflows and passive equity inflows. As a result, portfolio turnover has declined, </w:t>
      </w:r>
      <w:r>
        <w:rPr>
          <w:rFonts w:eastAsia="Times New Roman"/>
          <w:color w:val="000000"/>
          <w:sz w:val="20"/>
          <w:szCs w:val="20"/>
        </w:rPr>
        <w:t>and investors hold fewer shares that are actively traded by managers.</w:t>
      </w:r>
    </w:p>
    <w:p w:rsidR="00000000" w:rsidRDefault="005B0BC3">
      <w:pPr>
        <w:jc w:val="both"/>
        <w:divId w:val="669873440"/>
        <w:rPr>
          <w:rFonts w:eastAsia="Times New Roman"/>
        </w:rPr>
      </w:pPr>
      <w:r>
        <w:rPr>
          <w:rFonts w:eastAsia="Times New Roman"/>
          <w:b/>
          <w:bCs/>
          <w:i/>
          <w:iCs/>
          <w:color w:val="000000"/>
          <w:sz w:val="20"/>
          <w:szCs w:val="20"/>
        </w:rPr>
        <w:t>AB’s reputation could suffer if it is unable to deliver consistent, competitive investment performance.</w:t>
      </w:r>
    </w:p>
    <w:p w:rsidR="00000000" w:rsidRDefault="005B0BC3">
      <w:pPr>
        <w:ind w:firstLine="360"/>
        <w:divId w:val="1820263776"/>
        <w:rPr>
          <w:rFonts w:eastAsia="Times New Roman"/>
        </w:rPr>
      </w:pPr>
      <w:r>
        <w:rPr>
          <w:rFonts w:eastAsia="Times New Roman"/>
          <w:color w:val="000000"/>
          <w:sz w:val="20"/>
          <w:szCs w:val="20"/>
        </w:rPr>
        <w:t xml:space="preserve">AB’s business is based on the trust and confidence of its clients. Damage to AB’s </w:t>
      </w:r>
      <w:r>
        <w:rPr>
          <w:rFonts w:eastAsia="Times New Roman"/>
          <w:color w:val="000000"/>
          <w:sz w:val="20"/>
          <w:szCs w:val="20"/>
        </w:rPr>
        <w:t>reputation, resulting from poor or inconsistent investment performance, among other factors, can reduce substantially AB’s AUM and impair its ability to maintain or grow its business.</w:t>
      </w:r>
    </w:p>
    <w:p w:rsidR="00000000" w:rsidRDefault="005B0BC3">
      <w:pPr>
        <w:jc w:val="both"/>
        <w:divId w:val="1093823473"/>
        <w:rPr>
          <w:rFonts w:eastAsia="Times New Roman"/>
        </w:rPr>
      </w:pPr>
      <w:r>
        <w:rPr>
          <w:rFonts w:eastAsia="Times New Roman"/>
          <w:b/>
          <w:bCs/>
          <w:i/>
          <w:iCs/>
          <w:color w:val="000000"/>
          <w:sz w:val="20"/>
          <w:szCs w:val="20"/>
        </w:rPr>
        <w:t>Performance-based fee arrangements with AB’s clients cause greater fluct</w:t>
      </w:r>
      <w:r>
        <w:rPr>
          <w:rFonts w:eastAsia="Times New Roman"/>
          <w:b/>
          <w:bCs/>
          <w:i/>
          <w:iCs/>
          <w:color w:val="000000"/>
          <w:sz w:val="20"/>
          <w:szCs w:val="20"/>
        </w:rPr>
        <w:t>uations in its net revenues.</w:t>
      </w:r>
    </w:p>
    <w:p w:rsidR="00000000" w:rsidRDefault="005B0BC3">
      <w:pPr>
        <w:ind w:firstLine="360"/>
        <w:divId w:val="440494219"/>
        <w:rPr>
          <w:rFonts w:eastAsia="Times New Roman"/>
        </w:rPr>
      </w:pPr>
      <w:r>
        <w:rPr>
          <w:rFonts w:eastAsia="Times New Roman"/>
          <w:color w:val="000000"/>
          <w:sz w:val="20"/>
          <w:szCs w:val="20"/>
        </w:rPr>
        <w:t>AB sometimes charges its clients performance-based fees, whereby it charges a base advisory fee and is eligible to earn an additional performance-based fee or incentive allocation that is calculated as either a percentage of ab</w:t>
      </w:r>
      <w:r>
        <w:rPr>
          <w:rFonts w:eastAsia="Times New Roman"/>
          <w:color w:val="000000"/>
          <w:sz w:val="20"/>
          <w:szCs w:val="20"/>
        </w:rPr>
        <w:t>solute investment results or a percentage of investment results in excess of a stated benchmark over a specified period of time. Some performance-based fees include a high-watermark provision, which generally provides that if a client account under-perform</w:t>
      </w:r>
      <w:r>
        <w:rPr>
          <w:rFonts w:eastAsia="Times New Roman"/>
          <w:color w:val="000000"/>
          <w:sz w:val="20"/>
          <w:szCs w:val="20"/>
        </w:rPr>
        <w:t>s relative to its performance target (whether in absolute terms or relative to a specified benchmark), it must gain back such under-performance before AB can collect future performance-based fees. Therefore, if AB fails to achieve the performance target fo</w:t>
      </w:r>
      <w:r>
        <w:rPr>
          <w:rFonts w:eastAsia="Times New Roman"/>
          <w:color w:val="000000"/>
          <w:sz w:val="20"/>
          <w:szCs w:val="20"/>
        </w:rPr>
        <w:t>r a particular period, AB will not earn a performance-based fee for that period and, for accounts with a high-watermark provision, AB’s ability to earn future performance-based fees will be impaired.</w:t>
      </w:r>
    </w:p>
    <w:p w:rsidR="00000000" w:rsidRDefault="005B0BC3">
      <w:pPr>
        <w:jc w:val="both"/>
        <w:divId w:val="975717088"/>
        <w:rPr>
          <w:rFonts w:eastAsia="Times New Roman"/>
        </w:rPr>
      </w:pPr>
      <w:r>
        <w:rPr>
          <w:rFonts w:eastAsia="Times New Roman"/>
          <w:b/>
          <w:bCs/>
          <w:i/>
          <w:iCs/>
          <w:color w:val="000000"/>
          <w:sz w:val="20"/>
          <w:szCs w:val="20"/>
        </w:rPr>
        <w:t>The revenues generated by Bernstein Research Services an</w:t>
      </w:r>
      <w:r>
        <w:rPr>
          <w:rFonts w:eastAsia="Times New Roman"/>
          <w:b/>
          <w:bCs/>
          <w:i/>
          <w:iCs/>
          <w:color w:val="000000"/>
          <w:sz w:val="20"/>
          <w:szCs w:val="20"/>
        </w:rPr>
        <w:t xml:space="preserve">d AB’s broker-dealers may be adversely affected by </w:t>
      </w:r>
    </w:p>
    <w:p w:rsidR="00000000" w:rsidRDefault="005B0BC3">
      <w:pPr>
        <w:jc w:val="center"/>
        <w:divId w:val="950355762"/>
        <w:rPr>
          <w:rFonts w:eastAsia="Times New Roman"/>
        </w:rPr>
      </w:pPr>
      <w:r>
        <w:rPr>
          <w:rFonts w:eastAsia="Times New Roman"/>
          <w:color w:val="000000"/>
          <w:sz w:val="20"/>
          <w:szCs w:val="20"/>
        </w:rPr>
        <w:t>65</w:t>
      </w:r>
    </w:p>
    <w:p w:rsidR="00000000" w:rsidRDefault="005B0BC3">
      <w:pPr>
        <w:rPr>
          <w:rFonts w:eastAsia="Times New Roman"/>
        </w:rPr>
      </w:pPr>
      <w:r>
        <w:rPr>
          <w:rFonts w:eastAsia="Times New Roman"/>
        </w:rPr>
        <w:pict>
          <v:rect id="_x0000_i1102" style="width:0;height:1.5pt" o:hralign="center" o:hrstd="t" o:hr="t" fillcolor="#a0a0a0" stroked="f"/>
        </w:pict>
      </w:r>
    </w:p>
    <w:p w:rsidR="00000000" w:rsidRDefault="005B0BC3">
      <w:pPr>
        <w:divId w:val="1111052869"/>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jc w:val="both"/>
        <w:divId w:val="1203136361"/>
        <w:rPr>
          <w:rFonts w:eastAsia="Times New Roman"/>
        </w:rPr>
      </w:pPr>
      <w:r>
        <w:rPr>
          <w:rFonts w:eastAsia="Times New Roman"/>
          <w:b/>
          <w:bCs/>
          <w:i/>
          <w:iCs/>
          <w:color w:val="000000"/>
          <w:sz w:val="20"/>
          <w:szCs w:val="20"/>
        </w:rPr>
        <w:t>circumstances beyond our control.</w:t>
      </w:r>
    </w:p>
    <w:p w:rsidR="00000000" w:rsidRDefault="005B0BC3">
      <w:pPr>
        <w:ind w:firstLine="360"/>
        <w:divId w:val="1477802302"/>
        <w:rPr>
          <w:rFonts w:eastAsia="Times New Roman"/>
        </w:rPr>
      </w:pPr>
      <w:r>
        <w:rPr>
          <w:rFonts w:eastAsia="Times New Roman"/>
          <w:color w:val="000000"/>
          <w:sz w:val="20"/>
          <w:szCs w:val="20"/>
        </w:rPr>
        <w:t xml:space="preserve">Electronic, or “low-touch,” </w:t>
      </w:r>
      <w:r>
        <w:rPr>
          <w:rFonts w:eastAsia="Times New Roman"/>
          <w:color w:val="000000"/>
          <w:sz w:val="20"/>
          <w:szCs w:val="20"/>
        </w:rPr>
        <w:t>trading represents a significant percentage of buy-side trading activity and typically produces transaction fees that are significantly lower than the price of traditional full service fee rates. As a result, blended pricing throughout our industry is lowe</w:t>
      </w:r>
      <w:r>
        <w:rPr>
          <w:rFonts w:eastAsia="Times New Roman"/>
          <w:color w:val="000000"/>
          <w:sz w:val="20"/>
          <w:szCs w:val="20"/>
        </w:rPr>
        <w:t>r now than it was historically, and price declines may continue. In addition, fee rates we charge and charged by other brokers for brokerage services have historically experienced price pressure, and we expect these trends to continue. Also, while increase</w:t>
      </w:r>
      <w:r>
        <w:rPr>
          <w:rFonts w:eastAsia="Times New Roman"/>
          <w:color w:val="000000"/>
          <w:sz w:val="20"/>
          <w:szCs w:val="20"/>
        </w:rPr>
        <w:t xml:space="preserve">s in transaction volume and market share often can offset decreases in rates, this may not continue. In addition, the failure or inability of any of AB’s broker-dealer’s significant counterparties to perform could expose AB to substantial expenditures and </w:t>
      </w:r>
      <w:r>
        <w:rPr>
          <w:rFonts w:eastAsia="Times New Roman"/>
          <w:color w:val="000000"/>
          <w:sz w:val="20"/>
          <w:szCs w:val="20"/>
        </w:rPr>
        <w:t>adversely affect its revenues. For example, SCB LLC, as a member of clearing and settlement organizations, would be required to settle open trades of any non-performing counterparty. This exposes AB to the mark-to-market adjustment on the trades between tr</w:t>
      </w:r>
      <w:r>
        <w:rPr>
          <w:rFonts w:eastAsia="Times New Roman"/>
          <w:color w:val="000000"/>
          <w:sz w:val="20"/>
          <w:szCs w:val="20"/>
        </w:rPr>
        <w:t>ade date and settlement date, which could be significant, especially during periods of severe market volatility. Also, AB’s ability to access liquidity in such situations may be limited by what its funding relationships are able to offer us at such times.</w:t>
      </w:r>
    </w:p>
    <w:p w:rsidR="00000000" w:rsidRDefault="005B0BC3">
      <w:pPr>
        <w:jc w:val="both"/>
        <w:divId w:val="1571889873"/>
        <w:rPr>
          <w:rFonts w:eastAsia="Times New Roman"/>
        </w:rPr>
      </w:pPr>
      <w:r>
        <w:rPr>
          <w:rFonts w:eastAsia="Times New Roman"/>
          <w:b/>
          <w:bCs/>
          <w:i/>
          <w:iCs/>
          <w:color w:val="000000"/>
          <w:sz w:val="20"/>
          <w:szCs w:val="20"/>
        </w:rPr>
        <w:t>AB’s seed capital investments are subject to market risk.</w:t>
      </w:r>
    </w:p>
    <w:p w:rsidR="00000000" w:rsidRDefault="005B0BC3">
      <w:pPr>
        <w:ind w:firstLine="360"/>
        <w:divId w:val="935406050"/>
        <w:rPr>
          <w:rFonts w:eastAsia="Times New Roman"/>
        </w:rPr>
      </w:pPr>
      <w:r>
        <w:rPr>
          <w:rFonts w:eastAsia="Times New Roman"/>
          <w:color w:val="000000"/>
          <w:sz w:val="20"/>
          <w:szCs w:val="20"/>
        </w:rPr>
        <w:t xml:space="preserve">AB has a seed investment program for the purpose of building track records and assisting with the marketing initiatives pertaining to its new products. These seed capital investments are subject to </w:t>
      </w:r>
      <w:r>
        <w:rPr>
          <w:rFonts w:eastAsia="Times New Roman"/>
          <w:color w:val="000000"/>
          <w:sz w:val="20"/>
          <w:szCs w:val="20"/>
        </w:rPr>
        <w:t>market risk. AB’s risk management team oversees a seed hedging program that attempts to minimize this risk, subject to practical and cost considerations. Also, not all seed investments are deemed appropriate to hedge, and in those cases AB is exposed to ma</w:t>
      </w:r>
      <w:r>
        <w:rPr>
          <w:rFonts w:eastAsia="Times New Roman"/>
          <w:color w:val="000000"/>
          <w:sz w:val="20"/>
          <w:szCs w:val="20"/>
        </w:rPr>
        <w:t>rket risk. In addition, AB may be subject to basis risk in that it cannot always hedge with precision its market exposure and, as a result, AB may be subject to relative spreads between market sectors. As a result, volatility in the capital markets may cau</w:t>
      </w:r>
      <w:r>
        <w:rPr>
          <w:rFonts w:eastAsia="Times New Roman"/>
          <w:color w:val="000000"/>
          <w:sz w:val="20"/>
          <w:szCs w:val="20"/>
        </w:rPr>
        <w:t>se significant changes in its period-to-period financial and operating results.</w:t>
      </w:r>
    </w:p>
    <w:p w:rsidR="00000000" w:rsidRDefault="005B0BC3">
      <w:pPr>
        <w:ind w:firstLine="360"/>
        <w:divId w:val="1357344974"/>
        <w:rPr>
          <w:rFonts w:eastAsia="Times New Roman"/>
        </w:rPr>
      </w:pPr>
      <w:r>
        <w:rPr>
          <w:rFonts w:eastAsia="Times New Roman"/>
          <w:color w:val="000000"/>
          <w:sz w:val="20"/>
          <w:szCs w:val="20"/>
        </w:rPr>
        <w:t>AB uses various derivative instruments in conjunction with its seed hedging program. While in most cases broad market risks are hedged, AB’s hedges are imperfect, and some mark</w:t>
      </w:r>
      <w:r>
        <w:rPr>
          <w:rFonts w:eastAsia="Times New Roman"/>
          <w:color w:val="000000"/>
          <w:sz w:val="20"/>
          <w:szCs w:val="20"/>
        </w:rPr>
        <w:t>et risk remains. In addition, AB’s use of derivatives results in counterparty risk (i.e., the risk that AB may be exposed to credit-related losses in the event of non-performance by counterparties to these derivative instruments), regulatory risk (e.g., sh</w:t>
      </w:r>
      <w:r>
        <w:rPr>
          <w:rFonts w:eastAsia="Times New Roman"/>
          <w:color w:val="000000"/>
          <w:sz w:val="20"/>
          <w:szCs w:val="20"/>
        </w:rPr>
        <w:t>ort selling restrictions) and cash/synthetic basis risk (i.e., the risk that underlying positions do not move identically to the related derivative instruments).</w:t>
      </w:r>
    </w:p>
    <w:p w:rsidR="00000000" w:rsidRDefault="005B0BC3">
      <w:pPr>
        <w:jc w:val="both"/>
        <w:divId w:val="1199318160"/>
        <w:rPr>
          <w:rFonts w:eastAsia="Times New Roman"/>
        </w:rPr>
      </w:pPr>
      <w:r>
        <w:rPr>
          <w:rFonts w:eastAsia="Times New Roman"/>
          <w:b/>
          <w:bCs/>
          <w:i/>
          <w:iCs/>
          <w:color w:val="000000"/>
          <w:sz w:val="20"/>
          <w:szCs w:val="20"/>
        </w:rPr>
        <w:t>AB may not accurately value the securities it holds on behalf of its clients or its company in</w:t>
      </w:r>
      <w:r>
        <w:rPr>
          <w:rFonts w:eastAsia="Times New Roman"/>
          <w:b/>
          <w:bCs/>
          <w:i/>
          <w:iCs/>
          <w:color w:val="000000"/>
          <w:sz w:val="20"/>
          <w:szCs w:val="20"/>
        </w:rPr>
        <w:t>vestments.</w:t>
      </w:r>
    </w:p>
    <w:p w:rsidR="00000000" w:rsidRDefault="005B0BC3">
      <w:pPr>
        <w:ind w:firstLine="360"/>
        <w:divId w:val="1134254315"/>
        <w:rPr>
          <w:rFonts w:eastAsia="Times New Roman"/>
        </w:rPr>
      </w:pPr>
      <w:r>
        <w:rPr>
          <w:rFonts w:eastAsia="Times New Roman"/>
          <w:color w:val="000000"/>
          <w:sz w:val="20"/>
          <w:szCs w:val="20"/>
        </w:rPr>
        <w:t xml:space="preserve">In accordance with applicable regulatory requirements, contractual obligations or client direction, AB employs procedures for the pricing and valuation of securities and other positions held in client accounts or for company investments. AB has </w:t>
      </w:r>
      <w:r>
        <w:rPr>
          <w:rFonts w:eastAsia="Times New Roman"/>
          <w:color w:val="000000"/>
          <w:sz w:val="20"/>
          <w:szCs w:val="20"/>
        </w:rPr>
        <w:t xml:space="preserve">established a valuation committee, which oversees pricing controls and valuation processes. If market quotations for a security are not readily available, the valuation committee determines a fair value for the security. </w:t>
      </w:r>
    </w:p>
    <w:p w:rsidR="00000000" w:rsidRDefault="005B0BC3">
      <w:pPr>
        <w:ind w:firstLine="360"/>
        <w:divId w:val="1391004478"/>
        <w:rPr>
          <w:rFonts w:eastAsia="Times New Roman"/>
        </w:rPr>
      </w:pPr>
      <w:r>
        <w:rPr>
          <w:rFonts w:eastAsia="Times New Roman"/>
          <w:color w:val="000000"/>
          <w:sz w:val="20"/>
          <w:szCs w:val="20"/>
        </w:rPr>
        <w:t>Extraordinary volatility in financ</w:t>
      </w:r>
      <w:r>
        <w:rPr>
          <w:rFonts w:eastAsia="Times New Roman"/>
          <w:color w:val="000000"/>
          <w:sz w:val="20"/>
          <w:szCs w:val="20"/>
        </w:rPr>
        <w:t>ial markets, significant liquidity constraints or AB’s failure to adequately consider one or more factors when determining the fair value of a security based on information with limited market observability could result in AB failing to properly value secu</w:t>
      </w:r>
      <w:r>
        <w:rPr>
          <w:rFonts w:eastAsia="Times New Roman"/>
          <w:color w:val="000000"/>
          <w:sz w:val="20"/>
          <w:szCs w:val="20"/>
        </w:rPr>
        <w:t>rities AB holds for its clients or investments accounted for on its balance sheet. Improper valuation likely would result in AB basing fee calculations on inaccurate AUM figures, striking incorrect net asset values for company-sponsored mutual funds or hed</w:t>
      </w:r>
      <w:r>
        <w:rPr>
          <w:rFonts w:eastAsia="Times New Roman"/>
          <w:color w:val="000000"/>
          <w:sz w:val="20"/>
          <w:szCs w:val="20"/>
        </w:rPr>
        <w:t>ge funds or, in the case of company investments, inaccurately calculating and reporting AB’s financial condition and operating results. Although the overall percentage of AB’s AUM that it fair values based on information with limited market observability i</w:t>
      </w:r>
      <w:r>
        <w:rPr>
          <w:rFonts w:eastAsia="Times New Roman"/>
          <w:color w:val="000000"/>
          <w:sz w:val="20"/>
          <w:szCs w:val="20"/>
        </w:rPr>
        <w:t>s not significant, inaccurate fair value determinations can harm AB’s clients, create regulatory issues and damage its reputation.</w:t>
      </w:r>
    </w:p>
    <w:p w:rsidR="00000000" w:rsidRDefault="005B0BC3">
      <w:pPr>
        <w:jc w:val="both"/>
        <w:divId w:val="1507749652"/>
        <w:rPr>
          <w:rFonts w:eastAsia="Times New Roman"/>
        </w:rPr>
      </w:pPr>
      <w:r>
        <w:rPr>
          <w:rFonts w:eastAsia="Times New Roman"/>
          <w:b/>
          <w:bCs/>
          <w:i/>
          <w:iCs/>
          <w:color w:val="000000"/>
          <w:sz w:val="20"/>
          <w:szCs w:val="20"/>
        </w:rPr>
        <w:t xml:space="preserve">AB may not have sufficient information to confirm or review the accuracy of valuations provided to it by underlying external </w:t>
      </w:r>
      <w:r>
        <w:rPr>
          <w:rFonts w:eastAsia="Times New Roman"/>
          <w:b/>
          <w:bCs/>
          <w:i/>
          <w:iCs/>
          <w:color w:val="000000"/>
          <w:sz w:val="20"/>
          <w:szCs w:val="20"/>
        </w:rPr>
        <w:t>managers for the funds in which certain of its alternative investment products invest.</w:t>
      </w:r>
    </w:p>
    <w:p w:rsidR="00000000" w:rsidRDefault="005B0BC3">
      <w:pPr>
        <w:ind w:firstLine="360"/>
        <w:divId w:val="1875464260"/>
        <w:rPr>
          <w:rFonts w:eastAsia="Times New Roman"/>
        </w:rPr>
      </w:pPr>
      <w:r>
        <w:rPr>
          <w:rFonts w:eastAsia="Times New Roman"/>
          <w:color w:val="000000"/>
          <w:sz w:val="20"/>
          <w:szCs w:val="20"/>
        </w:rPr>
        <w:t>Certain of AB’s alternative investment services invest in funds managed by external managers (“External Managers”) rather than investing directly in securities and other</w:t>
      </w:r>
      <w:r>
        <w:rPr>
          <w:rFonts w:eastAsia="Times New Roman"/>
          <w:color w:val="000000"/>
          <w:sz w:val="20"/>
          <w:szCs w:val="20"/>
        </w:rPr>
        <w:t xml:space="preserve"> instruments. As a result, AB’s ability will be limited with regard to (i) monitoring such investments, (ii) regularly obtaining complete, accurate and current information with respect to such investments and (iii) exercising control over such investments.</w:t>
      </w:r>
      <w:r>
        <w:rPr>
          <w:rFonts w:eastAsia="Times New Roman"/>
          <w:color w:val="000000"/>
          <w:sz w:val="20"/>
          <w:szCs w:val="20"/>
        </w:rPr>
        <w:t xml:space="preserve"> Accordingly, AB may not have sufficient information to confirm or review the accuracy of valuations provided to it by External Managers. In addition, AB will be required to rely on External Managers’ compliance with any applicable investment guidelines an</w:t>
      </w:r>
      <w:r>
        <w:rPr>
          <w:rFonts w:eastAsia="Times New Roman"/>
          <w:color w:val="000000"/>
          <w:sz w:val="20"/>
          <w:szCs w:val="20"/>
        </w:rPr>
        <w:t>d restrictions. Any failure of an External Manager to operate within such guidelines or to provide accurate information with respect to the investment could subject AB’s alternative investment products to losses and cause damage to its reputation.</w:t>
      </w:r>
    </w:p>
    <w:p w:rsidR="00000000" w:rsidRDefault="005B0BC3">
      <w:pPr>
        <w:jc w:val="both"/>
        <w:divId w:val="1304887313"/>
        <w:rPr>
          <w:rFonts w:eastAsia="Times New Roman"/>
        </w:rPr>
      </w:pPr>
      <w:r>
        <w:rPr>
          <w:rFonts w:eastAsia="Times New Roman"/>
          <w:b/>
          <w:bCs/>
          <w:i/>
          <w:iCs/>
          <w:color w:val="000000"/>
          <w:sz w:val="20"/>
          <w:szCs w:val="20"/>
        </w:rPr>
        <w:t>The quan</w:t>
      </w:r>
      <w:r>
        <w:rPr>
          <w:rFonts w:eastAsia="Times New Roman"/>
          <w:b/>
          <w:bCs/>
          <w:i/>
          <w:iCs/>
          <w:color w:val="000000"/>
          <w:sz w:val="20"/>
          <w:szCs w:val="20"/>
        </w:rPr>
        <w:t>titative and systematic models AB uses in certain of its investment services may contain errors.</w:t>
      </w:r>
    </w:p>
    <w:p w:rsidR="00000000" w:rsidRDefault="005B0BC3">
      <w:pPr>
        <w:ind w:firstLine="360"/>
        <w:divId w:val="379328679"/>
        <w:rPr>
          <w:rFonts w:eastAsia="Times New Roman"/>
        </w:rPr>
      </w:pPr>
      <w:r>
        <w:rPr>
          <w:rFonts w:eastAsia="Times New Roman"/>
          <w:color w:val="000000"/>
          <w:sz w:val="20"/>
          <w:szCs w:val="20"/>
        </w:rPr>
        <w:t xml:space="preserve">AB uses quantitative and systematic models in a variety of its investment services, generally in combination with </w:t>
      </w:r>
    </w:p>
    <w:p w:rsidR="00000000" w:rsidRDefault="005B0BC3">
      <w:pPr>
        <w:jc w:val="center"/>
        <w:divId w:val="1412121815"/>
        <w:rPr>
          <w:rFonts w:eastAsia="Times New Roman"/>
        </w:rPr>
      </w:pPr>
      <w:r>
        <w:rPr>
          <w:rFonts w:eastAsia="Times New Roman"/>
          <w:color w:val="000000"/>
          <w:sz w:val="20"/>
          <w:szCs w:val="20"/>
        </w:rPr>
        <w:t>66</w:t>
      </w:r>
    </w:p>
    <w:p w:rsidR="00000000" w:rsidRDefault="005B0BC3">
      <w:pPr>
        <w:rPr>
          <w:rFonts w:eastAsia="Times New Roman"/>
        </w:rPr>
      </w:pPr>
      <w:r>
        <w:rPr>
          <w:rFonts w:eastAsia="Times New Roman"/>
        </w:rPr>
        <w:pict>
          <v:rect id="_x0000_i1103" style="width:0;height:1.5pt" o:hralign="center" o:hrstd="t" o:hr="t" fillcolor="#a0a0a0" stroked="f"/>
        </w:pict>
      </w:r>
    </w:p>
    <w:p w:rsidR="00000000" w:rsidRDefault="005B0BC3">
      <w:pPr>
        <w:divId w:val="611016183"/>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divId w:val="1079132330"/>
        <w:rPr>
          <w:rFonts w:eastAsia="Times New Roman"/>
        </w:rPr>
      </w:pPr>
      <w:r>
        <w:rPr>
          <w:rFonts w:eastAsia="Times New Roman"/>
          <w:color w:val="000000"/>
          <w:sz w:val="20"/>
          <w:szCs w:val="20"/>
        </w:rPr>
        <w:t xml:space="preserve">fundamental research. These models are developed by senior quantitative professionals and typically are implemented by IT professionals. AB’s model risk oversight committee oversees </w:t>
      </w:r>
      <w:r>
        <w:rPr>
          <w:rFonts w:eastAsia="Times New Roman"/>
          <w:color w:val="000000"/>
          <w:sz w:val="20"/>
          <w:szCs w:val="20"/>
        </w:rPr>
        <w:t>the model governance framework and associated model review activities, which are then executed by AB’s model risk team. However, due to the complexity and large data dependency of such models, it is possible that errors in the models could exist and AB’s c</w:t>
      </w:r>
      <w:r>
        <w:rPr>
          <w:rFonts w:eastAsia="Times New Roman"/>
          <w:color w:val="000000"/>
          <w:sz w:val="20"/>
          <w:szCs w:val="20"/>
        </w:rPr>
        <w:t>ontrols could fail to detect such errors. Failure to detect errors could result in client losses and reputational damage.</w:t>
      </w:r>
    </w:p>
    <w:p w:rsidR="00000000" w:rsidRDefault="005B0BC3">
      <w:pPr>
        <w:jc w:val="both"/>
        <w:divId w:val="1229224862"/>
        <w:rPr>
          <w:rFonts w:eastAsia="Times New Roman"/>
        </w:rPr>
      </w:pPr>
      <w:r>
        <w:rPr>
          <w:rFonts w:eastAsia="Times New Roman"/>
          <w:b/>
          <w:bCs/>
          <w:i/>
          <w:iCs/>
          <w:color w:val="000000"/>
          <w:sz w:val="20"/>
          <w:szCs w:val="20"/>
        </w:rPr>
        <w:t>AB may not successfully manage actual and potential conflicts of interest that arise in its business.</w:t>
      </w:r>
    </w:p>
    <w:p w:rsidR="00000000" w:rsidRDefault="005B0BC3">
      <w:pPr>
        <w:ind w:firstLine="360"/>
        <w:divId w:val="419987438"/>
        <w:rPr>
          <w:rFonts w:eastAsia="Times New Roman"/>
        </w:rPr>
      </w:pPr>
      <w:r>
        <w:rPr>
          <w:rFonts w:eastAsia="Times New Roman"/>
          <w:color w:val="000000"/>
          <w:sz w:val="20"/>
          <w:szCs w:val="20"/>
        </w:rPr>
        <w:t>Increasingly, AB must manage act</w:t>
      </w:r>
      <w:r>
        <w:rPr>
          <w:rFonts w:eastAsia="Times New Roman"/>
          <w:color w:val="000000"/>
          <w:sz w:val="20"/>
          <w:szCs w:val="20"/>
        </w:rPr>
        <w:t>ual and potential conflicts of interest, including situations where its services to a particular client conflict, or are perceived to conflict, with the interests of another client. Failure to adequately address potential conflicts of interest could advers</w:t>
      </w:r>
      <w:r>
        <w:rPr>
          <w:rFonts w:eastAsia="Times New Roman"/>
          <w:color w:val="000000"/>
          <w:sz w:val="20"/>
          <w:szCs w:val="20"/>
        </w:rPr>
        <w:t>ely affect AB’s reputation, results of operations and business prospects. AB’s reputation could be damaged and the willingness of clients to enter into transactions in which such a conflict might arise may be affected if AB fails, or appears to fail, to de</w:t>
      </w:r>
      <w:r>
        <w:rPr>
          <w:rFonts w:eastAsia="Times New Roman"/>
          <w:color w:val="000000"/>
          <w:sz w:val="20"/>
          <w:szCs w:val="20"/>
        </w:rPr>
        <w:t>al appropriately with actual or perceived conflicts of interest. In addition, potential or perceived conflicts could give rise to litigation or regulatory enforcement actions.</w:t>
      </w:r>
    </w:p>
    <w:p w:rsidR="00000000" w:rsidRDefault="005B0BC3">
      <w:pPr>
        <w:jc w:val="both"/>
        <w:divId w:val="2109348681"/>
        <w:rPr>
          <w:rFonts w:eastAsia="Times New Roman"/>
        </w:rPr>
      </w:pPr>
      <w:r>
        <w:rPr>
          <w:rFonts w:eastAsia="Times New Roman"/>
          <w:b/>
          <w:bCs/>
          <w:i/>
          <w:iCs/>
          <w:color w:val="000000"/>
          <w:sz w:val="20"/>
          <w:szCs w:val="20"/>
        </w:rPr>
        <w:t>Changes in the partnership structure of AB Holding and ABLP or changes in the ta</w:t>
      </w:r>
      <w:r>
        <w:rPr>
          <w:rFonts w:eastAsia="Times New Roman"/>
          <w:b/>
          <w:bCs/>
          <w:i/>
          <w:iCs/>
          <w:color w:val="000000"/>
          <w:sz w:val="20"/>
          <w:szCs w:val="20"/>
        </w:rPr>
        <w:t>x law governing partnerships would have significant tax ramifications.</w:t>
      </w:r>
    </w:p>
    <w:p w:rsidR="00000000" w:rsidRDefault="005B0BC3">
      <w:pPr>
        <w:ind w:firstLine="360"/>
        <w:divId w:val="1103458129"/>
        <w:rPr>
          <w:rFonts w:eastAsia="Times New Roman"/>
        </w:rPr>
      </w:pPr>
      <w:r>
        <w:rPr>
          <w:rFonts w:eastAsia="Times New Roman"/>
          <w:color w:val="000000"/>
          <w:sz w:val="20"/>
          <w:szCs w:val="20"/>
        </w:rPr>
        <w:t xml:space="preserve">AB Holding is a publicly traded partnership (“PTP”) for federal income tax purposes. In order to preserve AB Holding’s status as a PTP for federal income tax purposes, management seeks </w:t>
      </w:r>
      <w:r>
        <w:rPr>
          <w:rFonts w:eastAsia="Times New Roman"/>
          <w:color w:val="000000"/>
          <w:sz w:val="20"/>
          <w:szCs w:val="20"/>
        </w:rPr>
        <w:t>to ensure that AB Holding does not directly or indirectly (through ABLP) enter into a substantial new line of business. A “new line of business” includes any business that is not closely related to AB’s historical business of providing research and diversi</w:t>
      </w:r>
      <w:r>
        <w:rPr>
          <w:rFonts w:eastAsia="Times New Roman"/>
          <w:color w:val="000000"/>
          <w:sz w:val="20"/>
          <w:szCs w:val="20"/>
        </w:rPr>
        <w:t>fied investment management and related services to its clients. A new line of business is “substantial” when a partnership derives more than 15% of its gross income from, or directly uses more than 15% of its total assets (by value) in, the new line of bus</w:t>
      </w:r>
      <w:r>
        <w:rPr>
          <w:rFonts w:eastAsia="Times New Roman"/>
          <w:color w:val="000000"/>
          <w:sz w:val="20"/>
          <w:szCs w:val="20"/>
        </w:rPr>
        <w:t>iness.</w:t>
      </w:r>
    </w:p>
    <w:p w:rsidR="00000000" w:rsidRDefault="005B0BC3">
      <w:pPr>
        <w:ind w:firstLine="360"/>
        <w:divId w:val="435518187"/>
        <w:rPr>
          <w:rFonts w:eastAsia="Times New Roman"/>
        </w:rPr>
      </w:pPr>
      <w:r>
        <w:rPr>
          <w:rFonts w:eastAsia="Times New Roman"/>
          <w:color w:val="000000"/>
          <w:sz w:val="20"/>
          <w:szCs w:val="20"/>
        </w:rPr>
        <w:t>ABLP is a private partnership for federal income tax purposes and, accordingly, is not subject to federal and state corporate income taxes. In order to preserve ABLP’s status as a private partnership for federal income tax purposes, AB Units must no</w:t>
      </w:r>
      <w:r>
        <w:rPr>
          <w:rFonts w:eastAsia="Times New Roman"/>
          <w:color w:val="000000"/>
          <w:sz w:val="20"/>
          <w:szCs w:val="20"/>
        </w:rPr>
        <w:t>t be considered publicly traded. If such units were to be considered readily tradable, ABLP would become subject to federal and state corporate income tax on its net income. If AB Holding and ABLP were to become subject to corporate income tax as set forth</w:t>
      </w:r>
      <w:r>
        <w:rPr>
          <w:rFonts w:eastAsia="Times New Roman"/>
          <w:color w:val="000000"/>
          <w:sz w:val="20"/>
          <w:szCs w:val="20"/>
        </w:rPr>
        <w:t xml:space="preserve"> above, their net income and quarterly distributions to holders of their units would be materially reduced.</w:t>
      </w:r>
    </w:p>
    <w:p w:rsidR="00000000" w:rsidRDefault="005B0BC3">
      <w:pPr>
        <w:jc w:val="center"/>
        <w:divId w:val="1147478333"/>
        <w:rPr>
          <w:rFonts w:eastAsia="Times New Roman"/>
        </w:rPr>
      </w:pPr>
      <w:r>
        <w:rPr>
          <w:rFonts w:eastAsia="Times New Roman"/>
          <w:b/>
          <w:bCs/>
          <w:color w:val="000000"/>
          <w:sz w:val="20"/>
          <w:szCs w:val="20"/>
        </w:rPr>
        <w:t>Legal and Regulatory Risks</w:t>
      </w:r>
    </w:p>
    <w:p w:rsidR="00000000" w:rsidRDefault="005B0BC3">
      <w:pPr>
        <w:jc w:val="both"/>
        <w:divId w:val="739443116"/>
        <w:rPr>
          <w:rFonts w:eastAsia="Times New Roman"/>
        </w:rPr>
      </w:pPr>
      <w:r>
        <w:rPr>
          <w:rFonts w:eastAsia="Times New Roman"/>
          <w:b/>
          <w:bCs/>
          <w:i/>
          <w:iCs/>
          <w:color w:val="000000"/>
          <w:sz w:val="20"/>
          <w:szCs w:val="20"/>
        </w:rPr>
        <w:t>We are heavily regulated.</w:t>
      </w:r>
    </w:p>
    <w:p w:rsidR="00000000" w:rsidRDefault="005B0BC3">
      <w:pPr>
        <w:ind w:firstLine="360"/>
        <w:divId w:val="423260540"/>
        <w:rPr>
          <w:rFonts w:eastAsia="Times New Roman"/>
        </w:rPr>
      </w:pPr>
      <w:r>
        <w:rPr>
          <w:rFonts w:eastAsia="Times New Roman"/>
          <w:color w:val="000000"/>
          <w:sz w:val="20"/>
          <w:szCs w:val="20"/>
        </w:rPr>
        <w:t xml:space="preserve">We are heavily regulated, and regulators continue to increase their oversight over financial services companies. The adoption of new laws, regulations or standards and changes in the interpretation or enforcement of existing laws, regulations or standards </w:t>
      </w:r>
      <w:r>
        <w:rPr>
          <w:rFonts w:eastAsia="Times New Roman"/>
          <w:color w:val="000000"/>
          <w:sz w:val="20"/>
          <w:szCs w:val="20"/>
        </w:rPr>
        <w:t>have directly affected, and will continue to affect, our business, including making our efforts to comply more expensive and time-consuming. For additional information on regulatory developments and the risks we face, including the Dodd-Frank Act and regul</w:t>
      </w:r>
      <w:r>
        <w:rPr>
          <w:rFonts w:eastAsia="Times New Roman"/>
          <w:color w:val="000000"/>
          <w:sz w:val="20"/>
          <w:szCs w:val="20"/>
        </w:rPr>
        <w:t>ation by the NAIC, see “Business—Regulation”.</w:t>
      </w:r>
    </w:p>
    <w:p w:rsidR="00000000" w:rsidRDefault="005B0BC3">
      <w:pPr>
        <w:ind w:firstLine="360"/>
        <w:divId w:val="1496649987"/>
        <w:rPr>
          <w:rFonts w:eastAsia="Times New Roman"/>
        </w:rPr>
      </w:pPr>
      <w:r>
        <w:rPr>
          <w:rFonts w:eastAsia="Times New Roman"/>
          <w:color w:val="000000"/>
          <w:sz w:val="20"/>
          <w:szCs w:val="20"/>
        </w:rPr>
        <w:t>Our retirement and protection business is subject to a complex and extensive array of state and federal tax, securities, insurance and employee benefit plan laws and regulations, which are administered and enfo</w:t>
      </w:r>
      <w:r>
        <w:rPr>
          <w:rFonts w:eastAsia="Times New Roman"/>
          <w:color w:val="000000"/>
          <w:sz w:val="20"/>
          <w:szCs w:val="20"/>
        </w:rPr>
        <w:t>rced by a number of different governmental and self-regulatory authorities, including, among others, state insurance regulators, state securities administrators, state banking authorities, the SEC, FINRA, the DOL and the IRS. Failure to administer our reti</w:t>
      </w:r>
      <w:r>
        <w:rPr>
          <w:rFonts w:eastAsia="Times New Roman"/>
          <w:color w:val="000000"/>
          <w:sz w:val="20"/>
          <w:szCs w:val="20"/>
        </w:rPr>
        <w:t>rement and protections products in accordance with contract provisions or applicable law, or to meet any of these complex tax, securities or insurance requirements could subject us to administrative penalties imposed by a governmental or self-regulatory au</w:t>
      </w:r>
      <w:r>
        <w:rPr>
          <w:rFonts w:eastAsia="Times New Roman"/>
          <w:color w:val="000000"/>
          <w:sz w:val="20"/>
          <w:szCs w:val="20"/>
        </w:rPr>
        <w:t xml:space="preserve">thority, unanticipated costs associated with remedying such failure or other claims, litigation, harm to our reputation or interruption of our operations. </w:t>
      </w:r>
    </w:p>
    <w:p w:rsidR="00000000" w:rsidRDefault="005B0BC3">
      <w:pPr>
        <w:ind w:firstLine="360"/>
        <w:divId w:val="641155785"/>
        <w:rPr>
          <w:rFonts w:eastAsia="Times New Roman"/>
        </w:rPr>
      </w:pPr>
      <w:r>
        <w:rPr>
          <w:rFonts w:eastAsia="Times New Roman"/>
          <w:color w:val="000000"/>
          <w:sz w:val="20"/>
          <w:szCs w:val="20"/>
        </w:rPr>
        <w:t>Certain of our insurance subsidiaries are required to file periodic and other reports within certain</w:t>
      </w:r>
      <w:r>
        <w:rPr>
          <w:rFonts w:eastAsia="Times New Roman"/>
          <w:color w:val="000000"/>
          <w:sz w:val="20"/>
          <w:szCs w:val="20"/>
        </w:rPr>
        <w:t xml:space="preserve"> time periods imposed by U.S. federal securities laws, rules and regulations. Failure to file such reports within the designated time period or failure to accurately report our financial condition or results of operations could require these insurance subs</w:t>
      </w:r>
      <w:r>
        <w:rPr>
          <w:rFonts w:eastAsia="Times New Roman"/>
          <w:color w:val="000000"/>
          <w:sz w:val="20"/>
          <w:szCs w:val="20"/>
        </w:rPr>
        <w:t>idiaries to curtail or cease sales of certain of our products or delay the launch of new products or new features, which could cause a significant disruption in the business of our insurance subsidiaries. If our affiliated and third-party distribution plat</w:t>
      </w:r>
      <w:r>
        <w:rPr>
          <w:rFonts w:eastAsia="Times New Roman"/>
          <w:color w:val="000000"/>
          <w:sz w:val="20"/>
          <w:szCs w:val="20"/>
        </w:rPr>
        <w:t>forms are required to curtail or cease sales of our products, we may lose shelf space for our products indefinitely, even once we are able to resume sales.</w:t>
      </w:r>
    </w:p>
    <w:p w:rsidR="00000000" w:rsidRDefault="005B0BC3">
      <w:pPr>
        <w:ind w:firstLine="360"/>
        <w:divId w:val="806705844"/>
        <w:rPr>
          <w:rFonts w:eastAsia="Times New Roman"/>
        </w:rPr>
      </w:pPr>
      <w:r>
        <w:rPr>
          <w:rFonts w:eastAsia="Times New Roman"/>
          <w:color w:val="000000"/>
          <w:sz w:val="20"/>
          <w:szCs w:val="20"/>
        </w:rPr>
        <w:t>We currently use a captive reinsurer as part of our capital management strategy. Any regulatory acti</w:t>
      </w:r>
      <w:r>
        <w:rPr>
          <w:rFonts w:eastAsia="Times New Roman"/>
          <w:color w:val="000000"/>
          <w:sz w:val="20"/>
          <w:szCs w:val="20"/>
        </w:rPr>
        <w:t>on that limits our ability to achieve desired benefits from the use of or materially increases our cost of using captive reinsurance and applies retroactively, without grandfathering provisions for existing captive variable annuity reinsurance entities, co</w:t>
      </w:r>
      <w:r>
        <w:rPr>
          <w:rFonts w:eastAsia="Times New Roman"/>
          <w:color w:val="000000"/>
          <w:sz w:val="20"/>
          <w:szCs w:val="20"/>
        </w:rPr>
        <w:t xml:space="preserve">uld have a material adverse effect on our financial condition or results of operations. </w:t>
      </w:r>
    </w:p>
    <w:p w:rsidR="00000000" w:rsidRDefault="005B0BC3">
      <w:pPr>
        <w:jc w:val="center"/>
        <w:divId w:val="1238637772"/>
        <w:rPr>
          <w:rFonts w:eastAsia="Times New Roman"/>
        </w:rPr>
      </w:pPr>
      <w:r>
        <w:rPr>
          <w:rFonts w:eastAsia="Times New Roman"/>
          <w:color w:val="000000"/>
          <w:sz w:val="20"/>
          <w:szCs w:val="20"/>
        </w:rPr>
        <w:t>67</w:t>
      </w:r>
    </w:p>
    <w:p w:rsidR="00000000" w:rsidRDefault="005B0BC3">
      <w:pPr>
        <w:rPr>
          <w:rFonts w:eastAsia="Times New Roman"/>
        </w:rPr>
      </w:pPr>
      <w:r>
        <w:rPr>
          <w:rFonts w:eastAsia="Times New Roman"/>
        </w:rPr>
        <w:pict>
          <v:rect id="_x0000_i1104" style="width:0;height:1.5pt" o:hralign="center" o:hrstd="t" o:hr="t" fillcolor="#a0a0a0" stroked="f"/>
        </w:pict>
      </w:r>
    </w:p>
    <w:p w:rsidR="00000000" w:rsidRDefault="005B0BC3">
      <w:pPr>
        <w:divId w:val="1571231153"/>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ind w:firstLine="360"/>
        <w:divId w:val="2115586042"/>
        <w:rPr>
          <w:rFonts w:eastAsia="Times New Roman"/>
        </w:rPr>
      </w:pPr>
      <w:r>
        <w:rPr>
          <w:rFonts w:eastAsia="Times New Roman"/>
          <w:color w:val="000000"/>
          <w:sz w:val="20"/>
          <w:szCs w:val="20"/>
        </w:rPr>
        <w:t>Virtually all aspects of our investment management and research business are subject to federal and state laws and regulations, rules of secur</w:t>
      </w:r>
      <w:r>
        <w:rPr>
          <w:rFonts w:eastAsia="Times New Roman"/>
          <w:color w:val="000000"/>
          <w:sz w:val="20"/>
          <w:szCs w:val="20"/>
        </w:rPr>
        <w:t>ities regulators and exchanges, and laws and regulations certain foreign jurisdictions in which we conduct business. If we violate these laws or regulations, we could be subject to civil liability, criminal liability or sanction, including restriction or r</w:t>
      </w:r>
      <w:r>
        <w:rPr>
          <w:rFonts w:eastAsia="Times New Roman"/>
          <w:color w:val="000000"/>
          <w:sz w:val="20"/>
          <w:szCs w:val="20"/>
        </w:rPr>
        <w:t>evocation of our professional licenses or registrations or our ability to serve as an investment adviser to registered investment companies or as a qualified professional asset manager for employee benefit plans, revocation of the licenses of our employees</w:t>
      </w:r>
      <w:r>
        <w:rPr>
          <w:rFonts w:eastAsia="Times New Roman"/>
          <w:color w:val="000000"/>
          <w:sz w:val="20"/>
          <w:szCs w:val="20"/>
        </w:rPr>
        <w:t>, censures, fines, restrictions from relying on the issuance safe harbor of Regulation D under the Securities Act when issuing securities or causing our clients not to be able to rely on Regulation D if we act as an investment adviser, placement agent or p</w:t>
      </w:r>
      <w:r>
        <w:rPr>
          <w:rFonts w:eastAsia="Times New Roman"/>
          <w:color w:val="000000"/>
          <w:sz w:val="20"/>
          <w:szCs w:val="20"/>
        </w:rPr>
        <w:t>romoter for the client or to refers clients to private funds or temporary suspension or permanent bar from conducting business. Any such liability or sanction could have a material adverse effect on our business, results of operations or financial conditio</w:t>
      </w:r>
      <w:r>
        <w:rPr>
          <w:rFonts w:eastAsia="Times New Roman"/>
          <w:color w:val="000000"/>
          <w:sz w:val="20"/>
          <w:szCs w:val="20"/>
        </w:rPr>
        <w:t>n. A regulatory proceeding could require substantial expenditures of time and money, trigger termination or default rights under contracts to which we are a party and could potentially damage our reputation.</w:t>
      </w:r>
    </w:p>
    <w:p w:rsidR="00000000" w:rsidRDefault="005B0BC3">
      <w:pPr>
        <w:ind w:firstLine="360"/>
        <w:divId w:val="1280605131"/>
        <w:rPr>
          <w:rFonts w:eastAsia="Times New Roman"/>
        </w:rPr>
      </w:pPr>
      <w:r>
        <w:rPr>
          <w:rFonts w:eastAsia="Times New Roman"/>
          <w:color w:val="000000"/>
          <w:sz w:val="20"/>
          <w:szCs w:val="20"/>
        </w:rPr>
        <w:t>In addition, regulators have imposed and may con</w:t>
      </w:r>
      <w:r>
        <w:rPr>
          <w:rFonts w:eastAsia="Times New Roman"/>
          <w:color w:val="000000"/>
          <w:sz w:val="20"/>
          <w:szCs w:val="20"/>
        </w:rPr>
        <w:t>tinue to impose new requirements or issue new guidance aimed at addressing or mitigating climate change-related risks. These emerging regulatory initiatives, or any policies adopted by investors to address changing societal perceptions on climate change, c</w:t>
      </w:r>
      <w:r>
        <w:rPr>
          <w:rFonts w:eastAsia="Times New Roman"/>
          <w:color w:val="000000"/>
          <w:sz w:val="20"/>
          <w:szCs w:val="20"/>
        </w:rPr>
        <w:t>ould result in increased compliance cost to our businesses and changes to our corporate governance and risk management practices.</w:t>
      </w:r>
    </w:p>
    <w:p w:rsidR="00000000" w:rsidRDefault="005B0BC3">
      <w:pPr>
        <w:divId w:val="1303582313"/>
        <w:rPr>
          <w:rFonts w:eastAsia="Times New Roman"/>
        </w:rPr>
      </w:pPr>
    </w:p>
    <w:p w:rsidR="00000000" w:rsidRDefault="005B0BC3">
      <w:pPr>
        <w:jc w:val="both"/>
        <w:divId w:val="1022820496"/>
        <w:rPr>
          <w:rFonts w:eastAsia="Times New Roman"/>
        </w:rPr>
      </w:pPr>
      <w:r>
        <w:rPr>
          <w:rFonts w:eastAsia="Times New Roman"/>
          <w:b/>
          <w:bCs/>
          <w:i/>
          <w:iCs/>
          <w:color w:val="000000"/>
          <w:sz w:val="20"/>
          <w:szCs w:val="20"/>
        </w:rPr>
        <w:t>Changes in U.S. tax laws and regulations or interpretations thereof.</w:t>
      </w:r>
    </w:p>
    <w:p w:rsidR="00000000" w:rsidRDefault="005B0BC3">
      <w:pPr>
        <w:ind w:firstLine="360"/>
        <w:divId w:val="380717186"/>
        <w:rPr>
          <w:rFonts w:eastAsia="Times New Roman"/>
        </w:rPr>
      </w:pPr>
      <w:r>
        <w:rPr>
          <w:rFonts w:eastAsia="Times New Roman"/>
          <w:color w:val="000000"/>
          <w:sz w:val="20"/>
          <w:szCs w:val="20"/>
        </w:rPr>
        <w:t xml:space="preserve">Changes in tax laws and regulations or interpretations </w:t>
      </w:r>
      <w:r>
        <w:rPr>
          <w:rFonts w:eastAsia="Times New Roman"/>
          <w:color w:val="000000"/>
          <w:sz w:val="20"/>
          <w:szCs w:val="20"/>
        </w:rPr>
        <w:t>of such laws, including U.S. tax reform, could increase our corporate taxes and reduce our earnings. Changes may increase our effective tax rate or have implications that make our products less attractive to consumers. Tax authorities may enact laws, chang</w:t>
      </w:r>
      <w:r>
        <w:rPr>
          <w:rFonts w:eastAsia="Times New Roman"/>
          <w:color w:val="000000"/>
          <w:sz w:val="20"/>
          <w:szCs w:val="20"/>
        </w:rPr>
        <w:t>e regulations to increase existing taxes, or add new types of taxes and authorities who have not imposed taxes in the past, may impose additional taxes. Any such changes may harm our business, results of operations or financial condition.</w:t>
      </w:r>
    </w:p>
    <w:p w:rsidR="00000000" w:rsidRDefault="005B0BC3">
      <w:pPr>
        <w:jc w:val="both"/>
        <w:divId w:val="1220246732"/>
        <w:rPr>
          <w:rFonts w:eastAsia="Times New Roman"/>
        </w:rPr>
      </w:pPr>
      <w:r>
        <w:rPr>
          <w:rFonts w:eastAsia="Times New Roman"/>
          <w:b/>
          <w:bCs/>
          <w:i/>
          <w:iCs/>
          <w:color w:val="000000"/>
          <w:sz w:val="20"/>
          <w:szCs w:val="20"/>
        </w:rPr>
        <w:t>Legal proceedings</w:t>
      </w:r>
      <w:r>
        <w:rPr>
          <w:rFonts w:eastAsia="Times New Roman"/>
          <w:b/>
          <w:bCs/>
          <w:i/>
          <w:iCs/>
          <w:color w:val="000000"/>
          <w:sz w:val="20"/>
          <w:szCs w:val="20"/>
        </w:rPr>
        <w:t xml:space="preserve"> and regulatory actions.</w:t>
      </w:r>
    </w:p>
    <w:p w:rsidR="00000000" w:rsidRDefault="005B0BC3">
      <w:pPr>
        <w:ind w:firstLine="360"/>
        <w:divId w:val="1413046314"/>
        <w:rPr>
          <w:rFonts w:eastAsia="Times New Roman"/>
        </w:rPr>
      </w:pPr>
      <w:r>
        <w:rPr>
          <w:rFonts w:eastAsia="Times New Roman"/>
          <w:color w:val="000000"/>
          <w:sz w:val="20"/>
          <w:szCs w:val="20"/>
        </w:rPr>
        <w:t>A number of lawsuits and regulatory inquiries have been filed or commenced against us and other financial services companies in the jurisdictions in which we do business. Some of these matters have resulted in the award of substant</w:t>
      </w:r>
      <w:r>
        <w:rPr>
          <w:rFonts w:eastAsia="Times New Roman"/>
          <w:color w:val="000000"/>
          <w:sz w:val="20"/>
          <w:szCs w:val="20"/>
        </w:rPr>
        <w:t>ial fines and judgments, including material amounts of punitive damages, or in substantial settlements. We face a significant risk of, and from time to time we are involved in, such actions and proceedings, including class action lawsuits. The frequency of</w:t>
      </w:r>
      <w:r>
        <w:rPr>
          <w:rFonts w:eastAsia="Times New Roman"/>
          <w:color w:val="000000"/>
          <w:sz w:val="20"/>
          <w:szCs w:val="20"/>
        </w:rPr>
        <w:t xml:space="preserve"> large damage awards, including large punitive damage awards and regulatory fines that bear little or no relation to actual economic damages incurred, continues to create the potential for an unpredictable judgment in any given matter. In addition, investi</w:t>
      </w:r>
      <w:r>
        <w:rPr>
          <w:rFonts w:eastAsia="Times New Roman"/>
          <w:color w:val="000000"/>
          <w:sz w:val="20"/>
          <w:szCs w:val="20"/>
        </w:rPr>
        <w:t>gations or examinations by federal and state regulators and other governmental and self-regulatory agencies could result in legal proceedings (including securities class actions and stockholder derivative litigation), adverse publicity, sanctions, fines an</w:t>
      </w:r>
      <w:r>
        <w:rPr>
          <w:rFonts w:eastAsia="Times New Roman"/>
          <w:color w:val="000000"/>
          <w:sz w:val="20"/>
          <w:szCs w:val="20"/>
        </w:rPr>
        <w:t>d other costs. A substantial legal liability or a significant federal, state or other regulatory action against us, as well as regulatory inquiries or investigations, may divert management’s time and attention, could create adverse publicity and harm our r</w:t>
      </w:r>
      <w:r>
        <w:rPr>
          <w:rFonts w:eastAsia="Times New Roman"/>
          <w:color w:val="000000"/>
          <w:sz w:val="20"/>
          <w:szCs w:val="20"/>
        </w:rPr>
        <w:t>eputation, result in material fines or penalties, result in significant expense, including legal and settlement costs, and otherwise have a material adverse effect on our business, results of operations or financial condition. For information regarding leg</w:t>
      </w:r>
      <w:r>
        <w:rPr>
          <w:rFonts w:eastAsia="Times New Roman"/>
          <w:color w:val="000000"/>
          <w:sz w:val="20"/>
          <w:szCs w:val="20"/>
        </w:rPr>
        <w:t>al proceedings pending against us, see Note 17 of the Notes to these Consolidated Financial Statements.</w:t>
      </w:r>
    </w:p>
    <w:p w:rsidR="00000000" w:rsidRDefault="005B0BC3">
      <w:pPr>
        <w:jc w:val="center"/>
        <w:divId w:val="1321034546"/>
        <w:rPr>
          <w:rFonts w:eastAsia="Times New Roman"/>
        </w:rPr>
      </w:pPr>
      <w:r>
        <w:rPr>
          <w:rFonts w:eastAsia="Times New Roman"/>
          <w:b/>
          <w:bCs/>
          <w:color w:val="000000"/>
          <w:sz w:val="20"/>
          <w:szCs w:val="20"/>
        </w:rPr>
        <w:t>Risks Relating to Our Common Stock</w:t>
      </w:r>
    </w:p>
    <w:p w:rsidR="00000000" w:rsidRDefault="005B0BC3">
      <w:pPr>
        <w:jc w:val="both"/>
        <w:divId w:val="512376908"/>
        <w:rPr>
          <w:rFonts w:eastAsia="Times New Roman"/>
        </w:rPr>
      </w:pPr>
      <w:r>
        <w:rPr>
          <w:rFonts w:eastAsia="Times New Roman"/>
          <w:b/>
          <w:bCs/>
          <w:i/>
          <w:iCs/>
          <w:color w:val="000000"/>
          <w:sz w:val="20"/>
          <w:szCs w:val="20"/>
        </w:rPr>
        <w:t>Certain provisions in our amended and restated certificate of incorporation and amended and restated by-laws.</w:t>
      </w:r>
    </w:p>
    <w:p w:rsidR="00000000" w:rsidRDefault="005B0BC3">
      <w:pPr>
        <w:ind w:firstLine="360"/>
        <w:divId w:val="1207646035"/>
        <w:rPr>
          <w:rFonts w:eastAsia="Times New Roman"/>
        </w:rPr>
      </w:pPr>
      <w:r>
        <w:rPr>
          <w:rFonts w:eastAsia="Times New Roman"/>
          <w:color w:val="000000"/>
          <w:sz w:val="20"/>
          <w:szCs w:val="20"/>
        </w:rPr>
        <w:t>Our ame</w:t>
      </w:r>
      <w:r>
        <w:rPr>
          <w:rFonts w:eastAsia="Times New Roman"/>
          <w:color w:val="000000"/>
          <w:sz w:val="20"/>
          <w:szCs w:val="20"/>
        </w:rPr>
        <w:t>nded and restated certificate of incorporation and our amended and restated by-laws include a number of provisions that may discourage, delay or prevent a change in our management or prevent a takeover attempt that stockholders may consider favorable. Thes</w:t>
      </w:r>
      <w:r>
        <w:rPr>
          <w:rFonts w:eastAsia="Times New Roman"/>
          <w:color w:val="000000"/>
          <w:sz w:val="20"/>
          <w:szCs w:val="20"/>
        </w:rPr>
        <w:t>e provisions may prevent our stockholders from receiving the benefit from any premium to the market price of our common stock offered in a takeover context or may even adversely affect the price of our common stock if the provisions discourage takeover att</w:t>
      </w:r>
      <w:r>
        <w:rPr>
          <w:rFonts w:eastAsia="Times New Roman"/>
          <w:color w:val="000000"/>
          <w:sz w:val="20"/>
          <w:szCs w:val="20"/>
        </w:rPr>
        <w:t xml:space="preserve">empts. Our amended and restated certificate of incorporation and amended and restated by-laws may also make it difficult for stockholders to replace or remove our management. </w:t>
      </w:r>
    </w:p>
    <w:p w:rsidR="00000000" w:rsidRDefault="005B0BC3">
      <w:pPr>
        <w:jc w:val="both"/>
        <w:divId w:val="374038415"/>
        <w:rPr>
          <w:rFonts w:eastAsia="Times New Roman"/>
        </w:rPr>
      </w:pPr>
      <w:r>
        <w:rPr>
          <w:rFonts w:eastAsia="Times New Roman"/>
          <w:b/>
          <w:bCs/>
          <w:i/>
          <w:iCs/>
          <w:color w:val="000000"/>
          <w:sz w:val="20"/>
          <w:szCs w:val="20"/>
        </w:rPr>
        <w:t>We have designated a sole and exclusive forum for certain litigation that may be</w:t>
      </w:r>
      <w:r>
        <w:rPr>
          <w:rFonts w:eastAsia="Times New Roman"/>
          <w:b/>
          <w:bCs/>
          <w:i/>
          <w:iCs/>
          <w:color w:val="000000"/>
          <w:sz w:val="20"/>
          <w:szCs w:val="20"/>
        </w:rPr>
        <w:t xml:space="preserve"> initiated by our stockholders.</w:t>
      </w:r>
    </w:p>
    <w:p w:rsidR="00000000" w:rsidRDefault="005B0BC3">
      <w:pPr>
        <w:ind w:firstLine="360"/>
        <w:divId w:val="166869955"/>
        <w:rPr>
          <w:rFonts w:eastAsia="Times New Roman"/>
        </w:rPr>
      </w:pPr>
      <w:r>
        <w:rPr>
          <w:rFonts w:eastAsia="Times New Roman"/>
          <w:color w:val="000000"/>
          <w:sz w:val="20"/>
          <w:szCs w:val="20"/>
        </w:rPr>
        <w:t>Our amended and restated certificate of incorporation provides that, unless we consent in writing to the selection of an alternative forum, the Court of Chancery of the State of Delaware is, to the fullest extent permitted b</w:t>
      </w:r>
      <w:r>
        <w:rPr>
          <w:rFonts w:eastAsia="Times New Roman"/>
          <w:color w:val="000000"/>
          <w:sz w:val="20"/>
          <w:szCs w:val="20"/>
        </w:rPr>
        <w:t>y law, be the sole and exclusive forum for a number of actions. Notwithstanding the foregoing, the exclusive provision shall not preclude or contract the scope of exclusive federal or concurrent jurisdiction for actions brought under the Exchange Act or th</w:t>
      </w:r>
      <w:r>
        <w:rPr>
          <w:rFonts w:eastAsia="Times New Roman"/>
          <w:color w:val="000000"/>
          <w:sz w:val="20"/>
          <w:szCs w:val="20"/>
        </w:rPr>
        <w:t xml:space="preserve">e Securities Act or the respective rules and regulations promulgated thereunder. </w:t>
      </w:r>
    </w:p>
    <w:p w:rsidR="00000000" w:rsidRDefault="005B0BC3">
      <w:pPr>
        <w:jc w:val="center"/>
        <w:divId w:val="1309287522"/>
        <w:rPr>
          <w:rFonts w:eastAsia="Times New Roman"/>
        </w:rPr>
      </w:pPr>
      <w:r>
        <w:rPr>
          <w:rFonts w:eastAsia="Times New Roman"/>
          <w:b/>
          <w:bCs/>
          <w:color w:val="000000"/>
          <w:sz w:val="20"/>
          <w:szCs w:val="20"/>
        </w:rPr>
        <w:t>General Risks</w:t>
      </w:r>
    </w:p>
    <w:p w:rsidR="00000000" w:rsidRDefault="005B0BC3">
      <w:pPr>
        <w:jc w:val="center"/>
        <w:divId w:val="1537306371"/>
        <w:rPr>
          <w:rFonts w:eastAsia="Times New Roman"/>
        </w:rPr>
      </w:pPr>
      <w:r>
        <w:rPr>
          <w:rFonts w:eastAsia="Times New Roman"/>
          <w:color w:val="000000"/>
          <w:sz w:val="20"/>
          <w:szCs w:val="20"/>
        </w:rPr>
        <w:t>68</w:t>
      </w:r>
    </w:p>
    <w:p w:rsidR="00000000" w:rsidRDefault="005B0BC3">
      <w:pPr>
        <w:rPr>
          <w:rFonts w:eastAsia="Times New Roman"/>
        </w:rPr>
      </w:pPr>
      <w:r>
        <w:rPr>
          <w:rFonts w:eastAsia="Times New Roman"/>
        </w:rPr>
        <w:pict>
          <v:rect id="_x0000_i1105" style="width:0;height:1.5pt" o:hralign="center" o:hrstd="t" o:hr="t" fillcolor="#a0a0a0" stroked="f"/>
        </w:pict>
      </w:r>
    </w:p>
    <w:p w:rsidR="00000000" w:rsidRDefault="005B0BC3">
      <w:pPr>
        <w:divId w:val="1051734852"/>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jc w:val="both"/>
        <w:divId w:val="523523397"/>
        <w:rPr>
          <w:rFonts w:eastAsia="Times New Roman"/>
        </w:rPr>
      </w:pPr>
      <w:r>
        <w:rPr>
          <w:rFonts w:eastAsia="Times New Roman"/>
          <w:b/>
          <w:bCs/>
          <w:i/>
          <w:iCs/>
          <w:color w:val="000000"/>
          <w:sz w:val="20"/>
          <w:szCs w:val="20"/>
        </w:rPr>
        <w:t>Competition from other insurance companies</w:t>
      </w:r>
      <w:r>
        <w:rPr>
          <w:rFonts w:eastAsia="Times New Roman"/>
          <w:b/>
          <w:bCs/>
          <w:i/>
          <w:iCs/>
          <w:color w:val="000000"/>
          <w:sz w:val="20"/>
          <w:szCs w:val="20"/>
        </w:rPr>
        <w:t>, banks, asset managers and other financial institutions.</w:t>
      </w:r>
    </w:p>
    <w:p w:rsidR="00000000" w:rsidRDefault="005B0BC3">
      <w:pPr>
        <w:ind w:firstLine="360"/>
        <w:divId w:val="1730809677"/>
        <w:rPr>
          <w:rFonts w:eastAsia="Times New Roman"/>
        </w:rPr>
      </w:pPr>
      <w:r>
        <w:rPr>
          <w:rFonts w:eastAsia="Times New Roman"/>
          <w:color w:val="000000"/>
          <w:sz w:val="20"/>
          <w:szCs w:val="20"/>
        </w:rPr>
        <w:t xml:space="preserve">We face strong competition from others offering the types of products and services we provide. It is difficult to provide unique retirement and protection or asset management products because, once </w:t>
      </w:r>
      <w:r>
        <w:rPr>
          <w:rFonts w:eastAsia="Times New Roman"/>
          <w:color w:val="000000"/>
          <w:sz w:val="20"/>
          <w:szCs w:val="20"/>
        </w:rPr>
        <w:t>such products are made available to the public, they often are reproduced and offered by our competitors. If competitors charge lower fees for similar products or services, we may decide to reduce the fees on our own products or services in order to retain</w:t>
      </w:r>
      <w:r>
        <w:rPr>
          <w:rFonts w:eastAsia="Times New Roman"/>
          <w:color w:val="000000"/>
          <w:sz w:val="20"/>
          <w:szCs w:val="20"/>
        </w:rPr>
        <w:t xml:space="preserve"> or attract customers.</w:t>
      </w:r>
    </w:p>
    <w:p w:rsidR="00000000" w:rsidRDefault="005B0BC3">
      <w:pPr>
        <w:ind w:firstLine="360"/>
        <w:divId w:val="1997537514"/>
        <w:rPr>
          <w:rFonts w:eastAsia="Times New Roman"/>
        </w:rPr>
      </w:pPr>
      <w:r>
        <w:rPr>
          <w:rFonts w:eastAsia="Times New Roman"/>
          <w:color w:val="000000"/>
          <w:sz w:val="20"/>
          <w:szCs w:val="20"/>
        </w:rPr>
        <w:t>Competition may adversely impact our market share and profitability. Many of our competitors are large and well-established and some have greater market share or breadth of distribution, offer a broader range of products, services or features, assume a gre</w:t>
      </w:r>
      <w:r>
        <w:rPr>
          <w:rFonts w:eastAsia="Times New Roman"/>
          <w:color w:val="000000"/>
          <w:sz w:val="20"/>
          <w:szCs w:val="20"/>
        </w:rPr>
        <w:t>ater level of risk, have greater financial resources, have higher claims-paying or credit ratings, have better brand recognition or have more established relationships with clients than we do. We also face competition from new market entrants or non-tradit</w:t>
      </w:r>
      <w:r>
        <w:rPr>
          <w:rFonts w:eastAsia="Times New Roman"/>
          <w:color w:val="000000"/>
          <w:sz w:val="20"/>
          <w:szCs w:val="20"/>
        </w:rPr>
        <w:t>ional or online competitors, many of whom are leveraging digital technology that may challenge the position of traditional financial service companies. Due to the competitive nature of the financial services industry, there can be no assurance that we will</w:t>
      </w:r>
      <w:r>
        <w:rPr>
          <w:rFonts w:eastAsia="Times New Roman"/>
          <w:color w:val="000000"/>
          <w:sz w:val="20"/>
          <w:szCs w:val="20"/>
        </w:rPr>
        <w:t xml:space="preserve"> continue to effectively compete within the industry or that competition will not materially and adversely impact our business, results of operations or financial condition.</w:t>
      </w:r>
    </w:p>
    <w:p w:rsidR="00000000" w:rsidRDefault="005B0BC3">
      <w:pPr>
        <w:jc w:val="both"/>
        <w:divId w:val="307824854"/>
        <w:rPr>
          <w:rFonts w:eastAsia="Times New Roman"/>
        </w:rPr>
      </w:pPr>
      <w:r>
        <w:rPr>
          <w:rFonts w:eastAsia="Times New Roman"/>
          <w:b/>
          <w:bCs/>
          <w:i/>
          <w:iCs/>
          <w:color w:val="000000"/>
          <w:sz w:val="20"/>
          <w:szCs w:val="20"/>
        </w:rPr>
        <w:t>Our information systems may fail or their security may be compromised.</w:t>
      </w:r>
    </w:p>
    <w:p w:rsidR="00000000" w:rsidRDefault="005B0BC3">
      <w:pPr>
        <w:ind w:firstLine="360"/>
        <w:divId w:val="354500329"/>
        <w:rPr>
          <w:rFonts w:eastAsia="Times New Roman"/>
        </w:rPr>
      </w:pPr>
      <w:r>
        <w:rPr>
          <w:rFonts w:eastAsia="Times New Roman"/>
          <w:color w:val="000000"/>
          <w:sz w:val="20"/>
          <w:szCs w:val="20"/>
        </w:rPr>
        <w:t>Our busines</w:t>
      </w:r>
      <w:r>
        <w:rPr>
          <w:rFonts w:eastAsia="Times New Roman"/>
          <w:color w:val="000000"/>
          <w:sz w:val="20"/>
          <w:szCs w:val="20"/>
        </w:rPr>
        <w:t>s is highly dependent upon the effective operation of our information systems and those of our vendors on which our business operations rely. Although we have implemented a formal, risk-based data security and cybersecurity program to mitigate potential ri</w:t>
      </w:r>
      <w:r>
        <w:rPr>
          <w:rFonts w:eastAsia="Times New Roman"/>
          <w:color w:val="000000"/>
          <w:sz w:val="20"/>
          <w:szCs w:val="20"/>
        </w:rPr>
        <w:t>sk, our information systems and those of our vendors and service providers may nevertheless be vulnerable to physical or cyber-attacks, computer viruses and malicious code, or other computer related attacks, programming errors and similar disruptive proble</w:t>
      </w:r>
      <w:r>
        <w:rPr>
          <w:rFonts w:eastAsia="Times New Roman"/>
          <w:color w:val="000000"/>
          <w:sz w:val="20"/>
          <w:szCs w:val="20"/>
        </w:rPr>
        <w:t>ms which may not be immediately detected. The failure of these systems could cause significant interruptions to our operations, which could result in a material adverse effect on our business, results of operations or financial condition or reputational ha</w:t>
      </w:r>
      <w:r>
        <w:rPr>
          <w:rFonts w:eastAsia="Times New Roman"/>
          <w:color w:val="000000"/>
          <w:sz w:val="20"/>
          <w:szCs w:val="20"/>
        </w:rPr>
        <w:t xml:space="preserve">rm. In addition, a failure of these systems could lead to the possibility of litigation or regulatory investigations or actions, including regulatory actions by state and federal governmental authorities. </w:t>
      </w:r>
    </w:p>
    <w:p w:rsidR="00000000" w:rsidRDefault="005B0BC3">
      <w:pPr>
        <w:jc w:val="both"/>
        <w:divId w:val="183792750"/>
        <w:rPr>
          <w:rFonts w:eastAsia="Times New Roman"/>
        </w:rPr>
      </w:pPr>
      <w:r>
        <w:rPr>
          <w:rFonts w:eastAsia="Times New Roman"/>
          <w:b/>
          <w:bCs/>
          <w:i/>
          <w:iCs/>
          <w:color w:val="000000"/>
          <w:sz w:val="20"/>
          <w:szCs w:val="20"/>
        </w:rPr>
        <w:t>Protecting our intellectual property.</w:t>
      </w:r>
    </w:p>
    <w:p w:rsidR="00000000" w:rsidRDefault="005B0BC3">
      <w:pPr>
        <w:ind w:firstLine="360"/>
        <w:divId w:val="1390112506"/>
        <w:rPr>
          <w:rFonts w:eastAsia="Times New Roman"/>
        </w:rPr>
      </w:pPr>
      <w:r>
        <w:rPr>
          <w:rFonts w:eastAsia="Times New Roman"/>
          <w:color w:val="000000"/>
          <w:sz w:val="20"/>
          <w:szCs w:val="20"/>
        </w:rPr>
        <w:t>We rely on a</w:t>
      </w:r>
      <w:r>
        <w:rPr>
          <w:rFonts w:eastAsia="Times New Roman"/>
          <w:color w:val="000000"/>
          <w:sz w:val="20"/>
          <w:szCs w:val="20"/>
        </w:rPr>
        <w:t xml:space="preserve"> combination of contractual rights, copyright, trademark and trade secret laws to establish and protect our intellectual property. Third parties may infringe or misappropriate our intellectual property. The loss of intellectual property protection or the i</w:t>
      </w:r>
      <w:r>
        <w:rPr>
          <w:rFonts w:eastAsia="Times New Roman"/>
          <w:color w:val="000000"/>
          <w:sz w:val="20"/>
          <w:szCs w:val="20"/>
        </w:rPr>
        <w:t>nability to secure or enforce the protection of our intellectual property assets could have a material adverse effect on our business and our ability to compete. Third parties may have, or may eventually be issued, patents or other protections that could b</w:t>
      </w:r>
      <w:r>
        <w:rPr>
          <w:rFonts w:eastAsia="Times New Roman"/>
          <w:color w:val="000000"/>
          <w:sz w:val="20"/>
          <w:szCs w:val="20"/>
        </w:rPr>
        <w:t>e infringed by our products, methods, processes or services or could limit our ability to offer certain product features. If we were found to have infringed or misappropriated a third-party patent or other intellectual property right, we could in some circ</w:t>
      </w:r>
      <w:r>
        <w:rPr>
          <w:rFonts w:eastAsia="Times New Roman"/>
          <w:color w:val="000000"/>
          <w:sz w:val="20"/>
          <w:szCs w:val="20"/>
        </w:rPr>
        <w:t>umstances be enjoined from providing certain products or services to our customers or from using and benefiting from certain patents, copyrights, trademarks, trade secrets or licenses. Alternatively, we could be required to enter into costly licensing arra</w:t>
      </w:r>
      <w:r>
        <w:rPr>
          <w:rFonts w:eastAsia="Times New Roman"/>
          <w:color w:val="000000"/>
          <w:sz w:val="20"/>
          <w:szCs w:val="20"/>
        </w:rPr>
        <w:t>ngements with third parties or implement a costly alternative. Any of these scenarios could harm our reputation and have a material adverse effect on our business, results of operations or financial condition.</w:t>
      </w:r>
    </w:p>
    <w:p w:rsidR="00000000" w:rsidRDefault="005B0BC3">
      <w:pPr>
        <w:divId w:val="358363479"/>
        <w:rPr>
          <w:rFonts w:eastAsia="Times New Roman"/>
        </w:rPr>
      </w:pPr>
      <w:r>
        <w:rPr>
          <w:rFonts w:eastAsia="Times New Roman"/>
          <w:b/>
          <w:bCs/>
          <w:color w:val="000000"/>
          <w:sz w:val="20"/>
          <w:szCs w:val="20"/>
        </w:rPr>
        <w:t xml:space="preserve">Part I, Item 1B. </w:t>
      </w:r>
    </w:p>
    <w:p w:rsidR="00000000" w:rsidRDefault="005B0BC3">
      <w:pPr>
        <w:jc w:val="center"/>
        <w:divId w:val="1683122725"/>
        <w:rPr>
          <w:rFonts w:eastAsia="Times New Roman"/>
        </w:rPr>
      </w:pPr>
      <w:r>
        <w:rPr>
          <w:rFonts w:eastAsia="Times New Roman"/>
          <w:b/>
          <w:bCs/>
          <w:color w:val="000000"/>
          <w:sz w:val="20"/>
          <w:szCs w:val="20"/>
        </w:rPr>
        <w:t xml:space="preserve">UNRESOLVED STAFF COMMENTS </w:t>
      </w:r>
    </w:p>
    <w:p w:rsidR="00000000" w:rsidRDefault="005B0BC3">
      <w:pPr>
        <w:ind w:firstLine="360"/>
        <w:divId w:val="1044597960"/>
        <w:rPr>
          <w:rFonts w:eastAsia="Times New Roman"/>
        </w:rPr>
      </w:pPr>
      <w:r>
        <w:rPr>
          <w:rFonts w:eastAsia="Times New Roman"/>
          <w:color w:val="000000"/>
          <w:sz w:val="20"/>
          <w:szCs w:val="20"/>
        </w:rPr>
        <w:t>None.</w:t>
      </w:r>
    </w:p>
    <w:p w:rsidR="00000000" w:rsidRDefault="005B0BC3">
      <w:pPr>
        <w:divId w:val="1130905151"/>
        <w:rPr>
          <w:rFonts w:eastAsia="Times New Roman"/>
        </w:rPr>
      </w:pPr>
    </w:p>
    <w:p w:rsidR="00000000" w:rsidRDefault="005B0BC3">
      <w:pPr>
        <w:divId w:val="362289576"/>
        <w:rPr>
          <w:rFonts w:eastAsia="Times New Roman"/>
        </w:rPr>
      </w:pPr>
      <w:r>
        <w:rPr>
          <w:rFonts w:eastAsia="Times New Roman"/>
          <w:b/>
          <w:bCs/>
          <w:color w:val="000000"/>
          <w:sz w:val="20"/>
          <w:szCs w:val="20"/>
        </w:rPr>
        <w:t xml:space="preserve">Part I, Item 2. </w:t>
      </w:r>
    </w:p>
    <w:p w:rsidR="00000000" w:rsidRDefault="005B0BC3">
      <w:pPr>
        <w:jc w:val="center"/>
        <w:divId w:val="1528831198"/>
        <w:rPr>
          <w:rFonts w:eastAsia="Times New Roman"/>
        </w:rPr>
      </w:pPr>
      <w:r>
        <w:rPr>
          <w:rFonts w:eastAsia="Times New Roman"/>
          <w:b/>
          <w:bCs/>
          <w:color w:val="000000"/>
          <w:sz w:val="20"/>
          <w:szCs w:val="20"/>
        </w:rPr>
        <w:t xml:space="preserve">PROPERTIES </w:t>
      </w:r>
    </w:p>
    <w:p w:rsidR="00000000" w:rsidRDefault="005B0BC3">
      <w:pPr>
        <w:ind w:firstLine="360"/>
        <w:divId w:val="323827352"/>
        <w:rPr>
          <w:rFonts w:eastAsia="Times New Roman"/>
        </w:rPr>
      </w:pPr>
      <w:r>
        <w:rPr>
          <w:rFonts w:eastAsia="Times New Roman"/>
          <w:color w:val="000000"/>
          <w:sz w:val="20"/>
          <w:szCs w:val="20"/>
        </w:rPr>
        <w:t xml:space="preserve">Our principal executive offices at 1290 Avenue of the Americas, New York, New York are occupied pursuant to a lease that extends to 2023. We have entered into a 15-year lease agreement in New </w:t>
      </w:r>
      <w:r>
        <w:rPr>
          <w:rFonts w:eastAsia="Times New Roman"/>
          <w:color w:val="000000"/>
          <w:sz w:val="20"/>
          <w:szCs w:val="20"/>
        </w:rPr>
        <w:t>York, New York at 1345 Avenue of the Americas that is expected to commence in 2023. We also have the following significant office space leases in Syracuse, NY, under a lease that expires in 2023, which was amended to extend a portion of the space through 2</w:t>
      </w:r>
      <w:r>
        <w:rPr>
          <w:rFonts w:eastAsia="Times New Roman"/>
          <w:color w:val="000000"/>
          <w:sz w:val="20"/>
          <w:szCs w:val="20"/>
        </w:rPr>
        <w:t xml:space="preserve">028; Jersey City, NJ, under a lease that expires in 2023, and Charlotte, NC, under a lease that expires in 2028. </w:t>
      </w:r>
    </w:p>
    <w:p w:rsidR="00000000" w:rsidRDefault="005B0BC3">
      <w:pPr>
        <w:ind w:firstLine="360"/>
        <w:divId w:val="188376794"/>
        <w:rPr>
          <w:rFonts w:eastAsia="Times New Roman"/>
        </w:rPr>
      </w:pPr>
      <w:r>
        <w:rPr>
          <w:rFonts w:eastAsia="Times New Roman"/>
          <w:color w:val="000000"/>
          <w:sz w:val="20"/>
          <w:szCs w:val="20"/>
        </w:rPr>
        <w:t>AB’s principal executive offices at 501 Commerce Street, Nashville, TN are occupied pursuant to a 15-year lease that commenced during the four</w:t>
      </w:r>
      <w:r>
        <w:rPr>
          <w:rFonts w:eastAsia="Times New Roman"/>
          <w:color w:val="000000"/>
          <w:sz w:val="20"/>
          <w:szCs w:val="20"/>
        </w:rPr>
        <w:t xml:space="preserve">th quarter of 2020. In addition, AB leases office space at 1345 Avenue of the Americas, New York, NY pursuant to a lease expiring in 2024. Also, AB entered into a 20-year lease agreement in New York, NY at 66 Hudson </w:t>
      </w:r>
    </w:p>
    <w:p w:rsidR="00000000" w:rsidRDefault="005B0BC3">
      <w:pPr>
        <w:jc w:val="center"/>
        <w:divId w:val="1460606939"/>
        <w:rPr>
          <w:rFonts w:eastAsia="Times New Roman"/>
        </w:rPr>
      </w:pPr>
      <w:r>
        <w:rPr>
          <w:rFonts w:eastAsia="Times New Roman"/>
          <w:color w:val="000000"/>
          <w:sz w:val="20"/>
          <w:szCs w:val="20"/>
        </w:rPr>
        <w:t>69</w:t>
      </w:r>
    </w:p>
    <w:p w:rsidR="00000000" w:rsidRDefault="005B0BC3">
      <w:pPr>
        <w:rPr>
          <w:rFonts w:eastAsia="Times New Roman"/>
        </w:rPr>
      </w:pPr>
      <w:r>
        <w:rPr>
          <w:rFonts w:eastAsia="Times New Roman"/>
        </w:rPr>
        <w:pict>
          <v:rect id="_x0000_i1106" style="width:0;height:1.5pt" o:hralign="center" o:hrstd="t" o:hr="t" fillcolor="#a0a0a0" stroked="f"/>
        </w:pict>
      </w:r>
    </w:p>
    <w:p w:rsidR="00000000" w:rsidRDefault="005B0BC3">
      <w:pPr>
        <w:divId w:val="1511292118"/>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divId w:val="1546481080"/>
        <w:rPr>
          <w:rFonts w:eastAsia="Times New Roman"/>
        </w:rPr>
      </w:pPr>
      <w:r>
        <w:rPr>
          <w:rFonts w:eastAsia="Times New Roman"/>
          <w:color w:val="000000"/>
          <w:sz w:val="20"/>
          <w:szCs w:val="20"/>
        </w:rPr>
        <w:t xml:space="preserve">Boulevard that is expected to commence in 2024. AB also leases space in San Antonio, TX under a lease expiring in 2029. In addition, AB leases modest space in 23 other cities in </w:t>
      </w:r>
      <w:r>
        <w:rPr>
          <w:rFonts w:eastAsia="Times New Roman"/>
          <w:color w:val="000000"/>
          <w:sz w:val="20"/>
          <w:szCs w:val="20"/>
        </w:rPr>
        <w:t>the United States and AB’s subsidiaries lease space in 30 cities outside the United States, the most significant of which are in London and Hong Kong.</w:t>
      </w:r>
    </w:p>
    <w:p w:rsidR="00000000" w:rsidRDefault="005B0BC3">
      <w:pPr>
        <w:divId w:val="1456414318"/>
        <w:rPr>
          <w:rFonts w:eastAsia="Times New Roman"/>
        </w:rPr>
      </w:pPr>
    </w:p>
    <w:p w:rsidR="00000000" w:rsidRDefault="005B0BC3">
      <w:pPr>
        <w:divId w:val="43869689"/>
        <w:rPr>
          <w:rFonts w:eastAsia="Times New Roman"/>
        </w:rPr>
      </w:pPr>
    </w:p>
    <w:p w:rsidR="00000000" w:rsidRDefault="005B0BC3">
      <w:pPr>
        <w:divId w:val="938871737"/>
        <w:rPr>
          <w:rFonts w:eastAsia="Times New Roman"/>
        </w:rPr>
      </w:pPr>
    </w:p>
    <w:p w:rsidR="00000000" w:rsidRDefault="005B0BC3">
      <w:pPr>
        <w:divId w:val="1196772949"/>
        <w:rPr>
          <w:rFonts w:eastAsia="Times New Roman"/>
        </w:rPr>
      </w:pPr>
    </w:p>
    <w:p w:rsidR="00000000" w:rsidRDefault="005B0BC3">
      <w:pPr>
        <w:divId w:val="1011108342"/>
        <w:rPr>
          <w:rFonts w:eastAsia="Times New Roman"/>
        </w:rPr>
      </w:pPr>
      <w:r>
        <w:rPr>
          <w:rFonts w:eastAsia="Times New Roman"/>
          <w:b/>
          <w:bCs/>
          <w:color w:val="000000"/>
          <w:sz w:val="20"/>
          <w:szCs w:val="20"/>
        </w:rPr>
        <w:t xml:space="preserve">Part I, Item 3. </w:t>
      </w:r>
    </w:p>
    <w:p w:rsidR="00000000" w:rsidRDefault="005B0BC3">
      <w:pPr>
        <w:divId w:val="2072725737"/>
        <w:rPr>
          <w:rFonts w:eastAsia="Times New Roman"/>
        </w:rPr>
      </w:pPr>
    </w:p>
    <w:p w:rsidR="00000000" w:rsidRDefault="005B0BC3">
      <w:pPr>
        <w:jc w:val="center"/>
        <w:rPr>
          <w:rFonts w:eastAsia="Times New Roman"/>
        </w:rPr>
      </w:pPr>
      <w:r>
        <w:rPr>
          <w:rFonts w:eastAsia="Times New Roman"/>
          <w:b/>
          <w:bCs/>
          <w:color w:val="000000"/>
          <w:sz w:val="20"/>
          <w:szCs w:val="20"/>
        </w:rPr>
        <w:t>LEGAL PROCEEDINGS</w:t>
      </w:r>
    </w:p>
    <w:p w:rsidR="00000000" w:rsidRDefault="005B0BC3">
      <w:pPr>
        <w:jc w:val="center"/>
        <w:rPr>
          <w:rFonts w:eastAsia="Times New Roman"/>
        </w:rPr>
      </w:pPr>
    </w:p>
    <w:p w:rsidR="00000000" w:rsidRDefault="005B0BC3">
      <w:pPr>
        <w:ind w:firstLine="450"/>
        <w:divId w:val="724567457"/>
        <w:rPr>
          <w:rFonts w:eastAsia="Times New Roman"/>
        </w:rPr>
      </w:pPr>
      <w:r>
        <w:rPr>
          <w:rFonts w:eastAsia="Times New Roman"/>
          <w:color w:val="000000"/>
          <w:sz w:val="20"/>
          <w:szCs w:val="20"/>
        </w:rPr>
        <w:t>For information regarding certain legal proceedings pendin</w:t>
      </w:r>
      <w:r>
        <w:rPr>
          <w:rFonts w:eastAsia="Times New Roman"/>
          <w:color w:val="000000"/>
          <w:sz w:val="20"/>
          <w:szCs w:val="20"/>
        </w:rPr>
        <w:t>g against us, see Note 17 of the Notes to these Consolidated Financial Statements. See “Risk Factors—Legal and Regulatory Risks—Legal proceedings and regulatory actions.”</w:t>
      </w:r>
    </w:p>
    <w:p w:rsidR="00000000" w:rsidRDefault="005B0BC3">
      <w:pPr>
        <w:divId w:val="226958300"/>
        <w:rPr>
          <w:rFonts w:eastAsia="Times New Roman"/>
        </w:rPr>
      </w:pPr>
    </w:p>
    <w:p w:rsidR="00000000" w:rsidRDefault="005B0BC3">
      <w:pPr>
        <w:divId w:val="1393776777"/>
        <w:rPr>
          <w:rFonts w:eastAsia="Times New Roman"/>
        </w:rPr>
      </w:pPr>
      <w:r>
        <w:rPr>
          <w:rFonts w:eastAsia="Times New Roman"/>
          <w:b/>
          <w:bCs/>
          <w:color w:val="000000"/>
          <w:sz w:val="20"/>
          <w:szCs w:val="20"/>
        </w:rPr>
        <w:t>Part I, Item 4.</w:t>
      </w:r>
    </w:p>
    <w:p w:rsidR="00000000" w:rsidRDefault="005B0BC3">
      <w:pPr>
        <w:jc w:val="center"/>
        <w:rPr>
          <w:rFonts w:eastAsia="Times New Roman"/>
        </w:rPr>
      </w:pPr>
    </w:p>
    <w:p w:rsidR="00000000" w:rsidRDefault="005B0BC3">
      <w:pPr>
        <w:jc w:val="center"/>
        <w:rPr>
          <w:rFonts w:eastAsia="Times New Roman"/>
        </w:rPr>
      </w:pPr>
      <w:r>
        <w:rPr>
          <w:rFonts w:eastAsia="Times New Roman"/>
          <w:b/>
          <w:bCs/>
          <w:color w:val="000000"/>
          <w:sz w:val="20"/>
          <w:szCs w:val="20"/>
        </w:rPr>
        <w:t>MINE SAFETY DISCLOSURES</w:t>
      </w:r>
    </w:p>
    <w:p w:rsidR="00000000" w:rsidRDefault="005B0BC3">
      <w:pPr>
        <w:divId w:val="313796979"/>
        <w:rPr>
          <w:rFonts w:eastAsia="Times New Roman"/>
        </w:rPr>
      </w:pPr>
      <w:r>
        <w:rPr>
          <w:rFonts w:eastAsia="Times New Roman"/>
          <w:color w:val="000000"/>
          <w:sz w:val="20"/>
          <w:szCs w:val="20"/>
        </w:rPr>
        <w:t>Not Applicable.</w:t>
      </w:r>
    </w:p>
    <w:p w:rsidR="00000000" w:rsidRDefault="005B0BC3">
      <w:pPr>
        <w:divId w:val="672880128"/>
        <w:rPr>
          <w:rFonts w:eastAsia="Times New Roman"/>
        </w:rPr>
      </w:pPr>
    </w:p>
    <w:p w:rsidR="00000000" w:rsidRDefault="005B0BC3">
      <w:pPr>
        <w:divId w:val="1431049895"/>
        <w:rPr>
          <w:rFonts w:eastAsia="Times New Roman"/>
        </w:rPr>
      </w:pPr>
      <w:r>
        <w:rPr>
          <w:rFonts w:eastAsia="Times New Roman"/>
          <w:b/>
          <w:bCs/>
          <w:color w:val="000000"/>
          <w:sz w:val="20"/>
          <w:szCs w:val="20"/>
        </w:rPr>
        <w:t>Part II, Item 5.</w:t>
      </w:r>
      <w:r>
        <w:rPr>
          <w:rFonts w:eastAsia="Times New Roman"/>
          <w:color w:val="000000"/>
          <w:sz w:val="20"/>
          <w:szCs w:val="20"/>
        </w:rPr>
        <w:t xml:space="preserve"> </w:t>
      </w:r>
    </w:p>
    <w:p w:rsidR="00000000" w:rsidRDefault="005B0BC3">
      <w:pPr>
        <w:jc w:val="center"/>
        <w:divId w:val="577327120"/>
        <w:rPr>
          <w:rFonts w:eastAsia="Times New Roman"/>
        </w:rPr>
      </w:pPr>
      <w:r>
        <w:rPr>
          <w:rFonts w:eastAsia="Times New Roman"/>
          <w:b/>
          <w:bCs/>
          <w:color w:val="000000"/>
          <w:sz w:val="20"/>
          <w:szCs w:val="20"/>
        </w:rPr>
        <w:t>MARKET FOR REGISTRANT'S COMMON EQUITY, RELATED STOCKHOLDER MATTERS AND ISSUER PURCHASES OF EQUITY SECURITIES</w:t>
      </w:r>
      <w:r>
        <w:rPr>
          <w:rFonts w:eastAsia="Times New Roman"/>
          <w:color w:val="000000"/>
          <w:sz w:val="20"/>
          <w:szCs w:val="20"/>
        </w:rPr>
        <w:t xml:space="preserve"> </w:t>
      </w:r>
    </w:p>
    <w:p w:rsidR="00000000" w:rsidRDefault="005B0BC3">
      <w:pPr>
        <w:jc w:val="both"/>
        <w:divId w:val="291519044"/>
        <w:rPr>
          <w:rFonts w:eastAsia="Times New Roman"/>
        </w:rPr>
      </w:pPr>
      <w:r>
        <w:rPr>
          <w:rFonts w:eastAsia="Times New Roman"/>
          <w:b/>
          <w:bCs/>
          <w:i/>
          <w:iCs/>
          <w:color w:val="000000"/>
          <w:sz w:val="20"/>
          <w:szCs w:val="20"/>
        </w:rPr>
        <w:t>General</w:t>
      </w:r>
    </w:p>
    <w:p w:rsidR="00000000" w:rsidRDefault="005B0BC3">
      <w:pPr>
        <w:ind w:firstLine="360"/>
        <w:divId w:val="1294479204"/>
        <w:rPr>
          <w:rFonts w:eastAsia="Times New Roman"/>
        </w:rPr>
      </w:pPr>
      <w:r>
        <w:rPr>
          <w:rFonts w:eastAsia="Times New Roman"/>
          <w:color w:val="000000"/>
          <w:sz w:val="20"/>
          <w:szCs w:val="20"/>
        </w:rPr>
        <w:t>Our common stock, par value $0.01 per share, began trading on the NYSE under the symbol “EQH” on May 10, 2018. As of January 31, 2022, the</w:t>
      </w:r>
      <w:r>
        <w:rPr>
          <w:rFonts w:eastAsia="Times New Roman"/>
          <w:color w:val="000000"/>
          <w:sz w:val="20"/>
          <w:szCs w:val="20"/>
        </w:rPr>
        <w:t xml:space="preserve">re were nine shareholders of record, which differs from the number of beneficial owners of our common stock. </w:t>
      </w:r>
    </w:p>
    <w:p w:rsidR="00000000" w:rsidRDefault="005B0BC3">
      <w:pPr>
        <w:jc w:val="both"/>
        <w:divId w:val="434860418"/>
        <w:rPr>
          <w:rFonts w:eastAsia="Times New Roman"/>
        </w:rPr>
      </w:pPr>
      <w:r>
        <w:rPr>
          <w:rFonts w:eastAsia="Times New Roman"/>
          <w:b/>
          <w:bCs/>
          <w:i/>
          <w:iCs/>
          <w:color w:val="000000"/>
          <w:sz w:val="20"/>
          <w:szCs w:val="20"/>
        </w:rPr>
        <w:t>Dividends</w:t>
      </w:r>
    </w:p>
    <w:p w:rsidR="00000000" w:rsidRDefault="005B0BC3">
      <w:pPr>
        <w:ind w:firstLine="360"/>
        <w:divId w:val="1076628649"/>
        <w:rPr>
          <w:rFonts w:eastAsia="Times New Roman"/>
        </w:rPr>
      </w:pPr>
      <w:r>
        <w:rPr>
          <w:rFonts w:eastAsia="Times New Roman"/>
          <w:color w:val="000000"/>
          <w:sz w:val="20"/>
          <w:szCs w:val="20"/>
        </w:rPr>
        <w:t>The declaration, payment and amount of future dividends is subject to the discretion of our Board of Directors and depends on our financial condition, results of operations, cash requirements, future prospects, regulatory restrictions on the payment of div</w:t>
      </w:r>
      <w:r>
        <w:rPr>
          <w:rFonts w:eastAsia="Times New Roman"/>
          <w:color w:val="000000"/>
          <w:sz w:val="20"/>
          <w:szCs w:val="20"/>
        </w:rPr>
        <w:t>idends by Holdings’ insurance subsidiaries and other factors deemed relevant by the Board. The payment of dividends will be substantially restricted in the event that we do not declare and pay (or set aside) dividends on the Series A Preferred Stock, Serie</w:t>
      </w:r>
      <w:r>
        <w:rPr>
          <w:rFonts w:eastAsia="Times New Roman"/>
          <w:color w:val="000000"/>
          <w:sz w:val="20"/>
          <w:szCs w:val="20"/>
        </w:rPr>
        <w:t>s B Preferred Stock and Series C Preferred Stock, for the last proceeding dividend period. See “Management’s Discussion and Analysis of Financial Condition and Results of Operations—Liquidity and Capital Resources—Dividends Declared and Paid” for further i</w:t>
      </w:r>
      <w:r>
        <w:rPr>
          <w:rFonts w:eastAsia="Times New Roman"/>
          <w:color w:val="000000"/>
          <w:sz w:val="20"/>
          <w:szCs w:val="20"/>
        </w:rPr>
        <w:t>nformation regarding common stock dividends.</w:t>
      </w:r>
    </w:p>
    <w:p w:rsidR="00000000" w:rsidRDefault="005B0BC3">
      <w:pPr>
        <w:jc w:val="both"/>
        <w:divId w:val="781072588"/>
        <w:rPr>
          <w:rFonts w:eastAsia="Times New Roman"/>
        </w:rPr>
      </w:pPr>
      <w:r>
        <w:rPr>
          <w:rFonts w:eastAsia="Times New Roman"/>
          <w:b/>
          <w:bCs/>
          <w:i/>
          <w:iCs/>
          <w:color w:val="000000"/>
          <w:sz w:val="20"/>
          <w:szCs w:val="20"/>
        </w:rPr>
        <w:t>Purchases of Equity Securities by the Issuer</w:t>
      </w:r>
    </w:p>
    <w:p w:rsidR="00000000" w:rsidRDefault="005B0BC3">
      <w:pPr>
        <w:ind w:firstLine="360"/>
        <w:divId w:val="20597869"/>
        <w:rPr>
          <w:rFonts w:eastAsia="Times New Roman"/>
        </w:rPr>
      </w:pPr>
      <w:r>
        <w:rPr>
          <w:rFonts w:eastAsia="Times New Roman"/>
          <w:color w:val="000000"/>
          <w:sz w:val="20"/>
          <w:szCs w:val="20"/>
        </w:rPr>
        <w:t xml:space="preserve">The following table summarizes Holdings’ repurchases of its common stock during the three months ended December 31, 2021. </w:t>
      </w:r>
    </w:p>
    <w:tbl>
      <w:tblPr>
        <w:tblW w:w="5000" w:type="pct"/>
        <w:tblCellMar>
          <w:top w:w="15" w:type="dxa"/>
          <w:left w:w="15" w:type="dxa"/>
          <w:bottom w:w="15" w:type="dxa"/>
          <w:right w:w="15" w:type="dxa"/>
        </w:tblCellMar>
        <w:tblLook w:val="04A0" w:firstRow="1" w:lastRow="0" w:firstColumn="1" w:lastColumn="0" w:noHBand="0" w:noVBand="1"/>
      </w:tblPr>
      <w:tblGrid>
        <w:gridCol w:w="48"/>
        <w:gridCol w:w="1902"/>
        <w:gridCol w:w="37"/>
        <w:gridCol w:w="53"/>
        <w:gridCol w:w="1412"/>
        <w:gridCol w:w="36"/>
        <w:gridCol w:w="36"/>
        <w:gridCol w:w="36"/>
        <w:gridCol w:w="36"/>
        <w:gridCol w:w="120"/>
        <w:gridCol w:w="1364"/>
        <w:gridCol w:w="36"/>
        <w:gridCol w:w="36"/>
        <w:gridCol w:w="36"/>
        <w:gridCol w:w="36"/>
        <w:gridCol w:w="54"/>
        <w:gridCol w:w="1360"/>
        <w:gridCol w:w="36"/>
        <w:gridCol w:w="36"/>
        <w:gridCol w:w="36"/>
        <w:gridCol w:w="36"/>
        <w:gridCol w:w="120"/>
        <w:gridCol w:w="1368"/>
        <w:gridCol w:w="36"/>
      </w:tblGrid>
      <w:tr w:rsidR="00000000">
        <w:trPr>
          <w:divId w:val="604003378"/>
        </w:trPr>
        <w:tc>
          <w:tcPr>
            <w:tcW w:w="50" w:type="pct"/>
            <w:vAlign w:val="center"/>
            <w:hideMark/>
          </w:tcPr>
          <w:p w:rsidR="00000000" w:rsidRDefault="005B0BC3">
            <w:pPr>
              <w:ind w:firstLine="360"/>
              <w:rPr>
                <w:rFonts w:eastAsia="Times New Roman"/>
              </w:rPr>
            </w:pPr>
          </w:p>
        </w:tc>
        <w:tc>
          <w:tcPr>
            <w:tcW w:w="116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87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85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85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85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604003378"/>
        </w:trPr>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Period</w:t>
            </w: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 xml:space="preserve">Total Number of Shares (or Units) Purchased </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Average Price Paid per Share (or Unit)</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Total Number of Shares (or Units) Purchased as Part of Publicly Announced Programs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Approximate Dollar Value of Shares (or Units) that May Yet Be Purchased Under the Program (1)</w:t>
            </w:r>
          </w:p>
        </w:tc>
      </w:tr>
      <w:tr w:rsidR="00000000">
        <w:trPr>
          <w:divId w:val="604003378"/>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Month #1 (October 1-31)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461,592,672 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04003378"/>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Month #2 (November 1-30)</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6,479,103 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33.44 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6,479,103 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263,707,822 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04003378"/>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Month #3 (December 1-31)</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7,134,993 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32.30 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7,134,993 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5,243,868 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04003378"/>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Total</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13,614,096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32.84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13,614,096</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5,243,868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divId w:val="215823522"/>
        <w:rPr>
          <w:rFonts w:eastAsia="Times New Roman"/>
        </w:rPr>
      </w:pPr>
    </w:p>
    <w:p w:rsidR="00000000" w:rsidRDefault="005B0BC3">
      <w:pPr>
        <w:ind w:hanging="360"/>
        <w:divId w:val="983509476"/>
        <w:rPr>
          <w:rFonts w:eastAsia="Times New Roman"/>
        </w:rPr>
      </w:pPr>
      <w:r>
        <w:rPr>
          <w:rFonts w:eastAsia="Times New Roman"/>
          <w:color w:val="000000"/>
          <w:sz w:val="18"/>
          <w:szCs w:val="18"/>
        </w:rPr>
        <w:t>_____________</w:t>
      </w:r>
    </w:p>
    <w:p w:rsidR="00000000" w:rsidRDefault="005B0BC3">
      <w:pPr>
        <w:ind w:hanging="360"/>
        <w:divId w:val="841090917"/>
        <w:rPr>
          <w:rFonts w:eastAsia="Times New Roman"/>
        </w:rPr>
      </w:pPr>
      <w:r>
        <w:rPr>
          <w:rFonts w:eastAsia="Times New Roman"/>
          <w:color w:val="000000"/>
          <w:sz w:val="18"/>
          <w:szCs w:val="18"/>
        </w:rPr>
        <w:t xml:space="preserve">(1)See </w:t>
      </w:r>
      <w:r>
        <w:rPr>
          <w:rFonts w:eastAsia="Times New Roman"/>
          <w:color w:val="000000"/>
          <w:sz w:val="20"/>
          <w:szCs w:val="20"/>
        </w:rPr>
        <w:t>Note 20 of the Notes to these Consolidated Financial Statements for the Share Repurchase program.</w:t>
      </w:r>
    </w:p>
    <w:p w:rsidR="00000000" w:rsidRDefault="005B0BC3">
      <w:pPr>
        <w:ind w:firstLine="360"/>
        <w:divId w:val="1252739907"/>
        <w:rPr>
          <w:rFonts w:eastAsia="Times New Roman"/>
        </w:rPr>
      </w:pPr>
    </w:p>
    <w:p w:rsidR="00000000" w:rsidRDefault="005B0BC3">
      <w:pPr>
        <w:jc w:val="center"/>
        <w:divId w:val="1602840205"/>
        <w:rPr>
          <w:rFonts w:eastAsia="Times New Roman"/>
        </w:rPr>
      </w:pPr>
    </w:p>
    <w:p w:rsidR="00000000" w:rsidRDefault="005B0BC3">
      <w:pPr>
        <w:rPr>
          <w:rFonts w:eastAsia="Times New Roman"/>
        </w:rPr>
      </w:pPr>
      <w:r>
        <w:rPr>
          <w:rFonts w:eastAsia="Times New Roman"/>
        </w:rPr>
        <w:pict>
          <v:rect id="_x0000_i1107" style="width:0;height:1.5pt" o:hralign="center" o:hrstd="t" o:hr="t" fillcolor="#a0a0a0" stroked="f"/>
        </w:pict>
      </w:r>
    </w:p>
    <w:p w:rsidR="00000000" w:rsidRDefault="005B0BC3">
      <w:pPr>
        <w:divId w:val="322855308"/>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ind w:firstLine="360"/>
        <w:divId w:val="338578950"/>
        <w:rPr>
          <w:rFonts w:eastAsia="Times New Roman"/>
        </w:rPr>
      </w:pPr>
      <w:r>
        <w:rPr>
          <w:rFonts w:eastAsia="Times New Roman"/>
          <w:color w:val="000000"/>
          <w:sz w:val="20"/>
          <w:szCs w:val="20"/>
        </w:rPr>
        <w:t>Holdings may choose to suspend or discontinue the repurchase program at any time. The repurchase program does not obligate Holdings to purchas</w:t>
      </w:r>
      <w:r>
        <w:rPr>
          <w:rFonts w:eastAsia="Times New Roman"/>
          <w:color w:val="000000"/>
          <w:sz w:val="20"/>
          <w:szCs w:val="20"/>
        </w:rPr>
        <w:t>e any particular number of shares. During the three months ended December 31, 2021, the Company repurchased approximately $14 million shares of its common stock, at a total cost of approximately $447 million. The repurchased common stock was recorded as tr</w:t>
      </w:r>
      <w:r>
        <w:rPr>
          <w:rFonts w:eastAsia="Times New Roman"/>
          <w:color w:val="000000"/>
          <w:sz w:val="20"/>
          <w:szCs w:val="20"/>
        </w:rPr>
        <w:t xml:space="preserve">easury stock in the consolidated balance sheets. </w:t>
      </w:r>
    </w:p>
    <w:p w:rsidR="00000000" w:rsidRDefault="005B0BC3">
      <w:pPr>
        <w:jc w:val="both"/>
        <w:divId w:val="1411732282"/>
        <w:rPr>
          <w:rFonts w:eastAsia="Times New Roman"/>
        </w:rPr>
      </w:pPr>
      <w:r>
        <w:rPr>
          <w:rFonts w:eastAsia="Times New Roman"/>
          <w:b/>
          <w:bCs/>
          <w:i/>
          <w:iCs/>
          <w:color w:val="000000"/>
          <w:sz w:val="20"/>
          <w:szCs w:val="20"/>
        </w:rPr>
        <w:t>Stock Performance Graph</w:t>
      </w:r>
    </w:p>
    <w:p w:rsidR="00000000" w:rsidRDefault="005B0BC3">
      <w:pPr>
        <w:ind w:firstLine="360"/>
        <w:divId w:val="68040786"/>
        <w:rPr>
          <w:rFonts w:eastAsia="Times New Roman"/>
        </w:rPr>
      </w:pPr>
      <w:r>
        <w:rPr>
          <w:rFonts w:eastAsia="Times New Roman"/>
          <w:color w:val="000000"/>
          <w:sz w:val="20"/>
          <w:szCs w:val="20"/>
        </w:rPr>
        <w:t>The graph and table below present Holdings’ cumulative total shareholder return relative to the performance of: (1) the Standard &amp; Poor’s 500 Index; (2) the Standard &amp; Poor’s 500 Ins</w:t>
      </w:r>
      <w:r>
        <w:rPr>
          <w:rFonts w:eastAsia="Times New Roman"/>
          <w:color w:val="000000"/>
          <w:sz w:val="20"/>
          <w:szCs w:val="20"/>
        </w:rPr>
        <w:t>urance Index; and (3) the Standard &amp; Poor’s 500 Financials Index, respectively, for the year ended December 31, 2021, commencing May 14, 2018 (our initial day of “regular-way” trading on the NYSE). All values assume a $100 initial investment in the Holding</w:t>
      </w:r>
      <w:r>
        <w:rPr>
          <w:rFonts w:eastAsia="Times New Roman"/>
          <w:color w:val="000000"/>
          <w:sz w:val="20"/>
          <w:szCs w:val="20"/>
        </w:rPr>
        <w:t>s’ common stock on the NYSE and data for each of the Standard &amp; Poor’s 500 Index, the Standard &amp; Poor’s 500 Insurance Index and the Standard &amp; Poor’s 500 Financials Index assume all dividends were reinvested on the date paid. The points on the graph and th</w:t>
      </w:r>
      <w:r>
        <w:rPr>
          <w:rFonts w:eastAsia="Times New Roman"/>
          <w:color w:val="000000"/>
          <w:sz w:val="20"/>
          <w:szCs w:val="20"/>
        </w:rPr>
        <w:t>e values in the table represent quarter-end values based on the last trading day of each quarter. The comparisons are based on historical data and are not indicative of, nor intended to forecast, the future performance of our common stock.</w:t>
      </w:r>
    </w:p>
    <w:p w:rsidR="00000000" w:rsidRDefault="005B0BC3">
      <w:pPr>
        <w:spacing w:after="240"/>
        <w:ind w:firstLine="360"/>
        <w:jc w:val="center"/>
        <w:divId w:val="744030905"/>
        <w:rPr>
          <w:rFonts w:eastAsia="Times New Roman"/>
        </w:rPr>
      </w:pPr>
      <w:r>
        <w:rPr>
          <w:rFonts w:eastAsia="Times New Roman"/>
          <w:noProof/>
        </w:rPr>
        <w:drawing>
          <wp:inline distT="0" distB="0" distL="0" distR="0">
            <wp:extent cx="304800" cy="304800"/>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3837" w:type="pct"/>
        <w:jc w:val="center"/>
        <w:tblCellMar>
          <w:top w:w="15" w:type="dxa"/>
          <w:left w:w="15" w:type="dxa"/>
          <w:bottom w:w="15" w:type="dxa"/>
          <w:right w:w="15" w:type="dxa"/>
        </w:tblCellMar>
        <w:tblLook w:val="04A0" w:firstRow="1" w:lastRow="0" w:firstColumn="1" w:lastColumn="0" w:noHBand="0" w:noVBand="1"/>
      </w:tblPr>
      <w:tblGrid>
        <w:gridCol w:w="37"/>
        <w:gridCol w:w="939"/>
        <w:gridCol w:w="36"/>
        <w:gridCol w:w="95"/>
        <w:gridCol w:w="450"/>
        <w:gridCol w:w="36"/>
        <w:gridCol w:w="36"/>
        <w:gridCol w:w="36"/>
        <w:gridCol w:w="36"/>
        <w:gridCol w:w="95"/>
        <w:gridCol w:w="375"/>
        <w:gridCol w:w="36"/>
        <w:gridCol w:w="36"/>
        <w:gridCol w:w="36"/>
        <w:gridCol w:w="36"/>
        <w:gridCol w:w="95"/>
        <w:gridCol w:w="450"/>
        <w:gridCol w:w="36"/>
        <w:gridCol w:w="36"/>
        <w:gridCol w:w="36"/>
        <w:gridCol w:w="36"/>
        <w:gridCol w:w="95"/>
        <w:gridCol w:w="375"/>
        <w:gridCol w:w="36"/>
        <w:gridCol w:w="36"/>
        <w:gridCol w:w="36"/>
        <w:gridCol w:w="36"/>
        <w:gridCol w:w="95"/>
        <w:gridCol w:w="450"/>
        <w:gridCol w:w="36"/>
        <w:gridCol w:w="36"/>
        <w:gridCol w:w="36"/>
        <w:gridCol w:w="36"/>
        <w:gridCol w:w="95"/>
        <w:gridCol w:w="450"/>
        <w:gridCol w:w="36"/>
        <w:gridCol w:w="36"/>
        <w:gridCol w:w="36"/>
        <w:gridCol w:w="36"/>
        <w:gridCol w:w="95"/>
        <w:gridCol w:w="450"/>
        <w:gridCol w:w="36"/>
        <w:gridCol w:w="36"/>
        <w:gridCol w:w="36"/>
        <w:gridCol w:w="36"/>
        <w:gridCol w:w="95"/>
        <w:gridCol w:w="450"/>
        <w:gridCol w:w="36"/>
        <w:gridCol w:w="36"/>
        <w:gridCol w:w="36"/>
        <w:gridCol w:w="36"/>
      </w:tblGrid>
      <w:tr w:rsidR="00000000">
        <w:trPr>
          <w:divId w:val="382565821"/>
          <w:jc w:val="center"/>
        </w:trPr>
        <w:tc>
          <w:tcPr>
            <w:tcW w:w="50" w:type="pct"/>
            <w:vAlign w:val="center"/>
            <w:hideMark/>
          </w:tcPr>
          <w:p w:rsidR="00000000" w:rsidRDefault="005B0BC3">
            <w:pPr>
              <w:ind w:firstLine="360"/>
              <w:jc w:val="center"/>
              <w:rPr>
                <w:rFonts w:eastAsia="Times New Roman"/>
              </w:rPr>
            </w:pPr>
          </w:p>
        </w:tc>
        <w:tc>
          <w:tcPr>
            <w:tcW w:w="100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9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3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9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3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9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3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9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3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9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3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9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9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3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9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382565821"/>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5"/>
                <w:szCs w:val="15"/>
              </w:rPr>
              <w:t>May 14, 2018</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5"/>
                <w:szCs w:val="15"/>
              </w:rPr>
              <w:t>Jun 30, 2018</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5"/>
                <w:szCs w:val="15"/>
              </w:rPr>
              <w:t>Sep 30, 2018</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5"/>
                <w:szCs w:val="15"/>
              </w:rPr>
              <w:t>Dec 31, 2018</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5"/>
                <w:szCs w:val="15"/>
              </w:rPr>
              <w:t>Mar 31, 2019</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5"/>
                <w:szCs w:val="15"/>
              </w:rPr>
              <w:t>Jun 30, 2019</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5"/>
                <w:szCs w:val="15"/>
              </w:rPr>
              <w:t>Sep 30, 2019</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5"/>
                <w:szCs w:val="15"/>
              </w:rPr>
              <w:t>Dec 31, 2019</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r>
      <w:tr w:rsidR="005B0BC3">
        <w:trPr>
          <w:divId w:val="382565821"/>
          <w:jc w:val="center"/>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5"/>
                <w:szCs w:val="15"/>
              </w:rPr>
              <w:t xml:space="preserve"> Equitable Holdings, Inc.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100.00 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96.35 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100.86 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78.71 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95.93 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100.28 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107.11 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120.53 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r>
      <w:tr w:rsidR="005B0BC3">
        <w:trPr>
          <w:divId w:val="382565821"/>
          <w:jc w:val="center"/>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5"/>
                <w:szCs w:val="15"/>
              </w:rPr>
              <w:t>S&amp;P 500</w:t>
            </w: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100.00 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99.93 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107.63 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93.08 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105.79 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110.34 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112.21 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122.39 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r>
      <w:tr w:rsidR="005B0BC3">
        <w:trPr>
          <w:divId w:val="382565821"/>
          <w:jc w:val="center"/>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5"/>
                <w:szCs w:val="15"/>
              </w:rPr>
              <w:t xml:space="preserve">S&amp;P 500 Financials </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100.00 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94.40 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98.51 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85.59 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92.92 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100.35 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102.37 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113.09 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r>
      <w:tr w:rsidR="005B0BC3">
        <w:trPr>
          <w:divId w:val="382565821"/>
          <w:jc w:val="center"/>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5"/>
                <w:szCs w:val="15"/>
              </w:rPr>
              <w:t xml:space="preserve">S&amp;P 500 Insurance </w:t>
            </w: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100.00 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95.88 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102.59 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91.70 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103.47 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115.60 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117.15 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118.64 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r>
    </w:tbl>
    <w:p w:rsidR="00000000" w:rsidRDefault="005B0BC3">
      <w:pPr>
        <w:jc w:val="center"/>
        <w:divId w:val="1628049546"/>
        <w:rPr>
          <w:rFonts w:eastAsia="Times New Roman"/>
        </w:rPr>
      </w:pPr>
      <w:r>
        <w:rPr>
          <w:rFonts w:eastAsia="Times New Roman"/>
          <w:color w:val="000000"/>
          <w:sz w:val="20"/>
          <w:szCs w:val="20"/>
        </w:rPr>
        <w:t>71</w:t>
      </w:r>
    </w:p>
    <w:p w:rsidR="00000000" w:rsidRDefault="005B0BC3">
      <w:pPr>
        <w:rPr>
          <w:rFonts w:eastAsia="Times New Roman"/>
        </w:rPr>
      </w:pPr>
      <w:r>
        <w:rPr>
          <w:rFonts w:eastAsia="Times New Roman"/>
        </w:rPr>
        <w:pict>
          <v:rect id="_x0000_i1109" style="width:0;height:1.5pt" o:hralign="center" o:hrstd="t" o:hr="t" fillcolor="#a0a0a0" stroked="f"/>
        </w:pict>
      </w:r>
    </w:p>
    <w:p w:rsidR="00000000" w:rsidRDefault="005B0BC3">
      <w:pPr>
        <w:divId w:val="116066201"/>
        <w:rPr>
          <w:rFonts w:eastAsia="Times New Roman"/>
        </w:rPr>
      </w:pPr>
      <w:hyperlink w:anchor="i2ac35847634046b3a89f93d9b422e8f5_421" w:history="1">
        <w:r>
          <w:rPr>
            <w:rStyle w:val="a3"/>
            <w:rFonts w:eastAsia="Times New Roman"/>
            <w:b/>
            <w:bCs/>
            <w:sz w:val="20"/>
            <w:szCs w:val="20"/>
          </w:rPr>
          <w:t>Table of Contents</w:t>
        </w:r>
      </w:hyperlink>
    </w:p>
    <w:tbl>
      <w:tblPr>
        <w:tblW w:w="3779" w:type="pct"/>
        <w:jc w:val="center"/>
        <w:tblCellMar>
          <w:top w:w="15" w:type="dxa"/>
          <w:left w:w="15" w:type="dxa"/>
          <w:bottom w:w="15" w:type="dxa"/>
          <w:right w:w="15" w:type="dxa"/>
        </w:tblCellMar>
        <w:tblLook w:val="04A0" w:firstRow="1" w:lastRow="0" w:firstColumn="1" w:lastColumn="0" w:noHBand="0" w:noVBand="1"/>
      </w:tblPr>
      <w:tblGrid>
        <w:gridCol w:w="37"/>
        <w:gridCol w:w="840"/>
        <w:gridCol w:w="36"/>
        <w:gridCol w:w="95"/>
        <w:gridCol w:w="375"/>
        <w:gridCol w:w="36"/>
        <w:gridCol w:w="36"/>
        <w:gridCol w:w="36"/>
        <w:gridCol w:w="36"/>
        <w:gridCol w:w="95"/>
        <w:gridCol w:w="450"/>
        <w:gridCol w:w="36"/>
        <w:gridCol w:w="36"/>
        <w:gridCol w:w="36"/>
        <w:gridCol w:w="36"/>
        <w:gridCol w:w="95"/>
        <w:gridCol w:w="450"/>
        <w:gridCol w:w="36"/>
        <w:gridCol w:w="36"/>
        <w:gridCol w:w="36"/>
        <w:gridCol w:w="36"/>
        <w:gridCol w:w="95"/>
        <w:gridCol w:w="450"/>
        <w:gridCol w:w="36"/>
        <w:gridCol w:w="36"/>
        <w:gridCol w:w="36"/>
        <w:gridCol w:w="36"/>
        <w:gridCol w:w="95"/>
        <w:gridCol w:w="450"/>
        <w:gridCol w:w="36"/>
        <w:gridCol w:w="36"/>
        <w:gridCol w:w="36"/>
        <w:gridCol w:w="36"/>
        <w:gridCol w:w="95"/>
        <w:gridCol w:w="450"/>
        <w:gridCol w:w="36"/>
        <w:gridCol w:w="36"/>
        <w:gridCol w:w="36"/>
        <w:gridCol w:w="36"/>
        <w:gridCol w:w="95"/>
        <w:gridCol w:w="450"/>
        <w:gridCol w:w="36"/>
        <w:gridCol w:w="36"/>
        <w:gridCol w:w="36"/>
        <w:gridCol w:w="36"/>
        <w:gridCol w:w="95"/>
        <w:gridCol w:w="450"/>
        <w:gridCol w:w="36"/>
        <w:gridCol w:w="36"/>
      </w:tblGrid>
      <w:tr w:rsidR="00000000">
        <w:trPr>
          <w:divId w:val="765030405"/>
          <w:jc w:val="center"/>
        </w:trPr>
        <w:tc>
          <w:tcPr>
            <w:tcW w:w="50" w:type="pct"/>
            <w:vAlign w:val="center"/>
            <w:hideMark/>
          </w:tcPr>
          <w:p w:rsidR="00000000" w:rsidRDefault="005B0BC3">
            <w:pPr>
              <w:rPr>
                <w:rFonts w:eastAsia="Times New Roman"/>
              </w:rPr>
            </w:pPr>
          </w:p>
        </w:tc>
        <w:tc>
          <w:tcPr>
            <w:tcW w:w="101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9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9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8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9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9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9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9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765030405"/>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5"/>
                <w:szCs w:val="15"/>
              </w:rPr>
              <w:t>Mar 31,</w:t>
            </w:r>
            <w:r>
              <w:rPr>
                <w:rFonts w:eastAsia="Times New Roman"/>
                <w:b/>
                <w:bCs/>
                <w:color w:val="000000"/>
                <w:sz w:val="15"/>
                <w:szCs w:val="15"/>
              </w:rPr>
              <w:br/>
              <w:t>2020</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5"/>
                <w:szCs w:val="15"/>
              </w:rPr>
              <w:t>Jun 30,</w:t>
            </w:r>
            <w:r>
              <w:rPr>
                <w:rFonts w:eastAsia="Times New Roman"/>
                <w:b/>
                <w:bCs/>
                <w:color w:val="000000"/>
                <w:sz w:val="15"/>
                <w:szCs w:val="15"/>
              </w:rPr>
              <w:br/>
              <w:t>2020</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5"/>
                <w:szCs w:val="15"/>
              </w:rPr>
              <w:t>Sep 30,</w:t>
            </w:r>
            <w:r>
              <w:rPr>
                <w:rFonts w:eastAsia="Times New Roman"/>
                <w:b/>
                <w:bCs/>
                <w:color w:val="000000"/>
                <w:sz w:val="15"/>
                <w:szCs w:val="15"/>
              </w:rPr>
              <w:br/>
              <w:t>2020</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5"/>
                <w:szCs w:val="15"/>
              </w:rPr>
              <w:t>Dec 31,</w:t>
            </w:r>
            <w:r>
              <w:rPr>
                <w:rFonts w:eastAsia="Times New Roman"/>
                <w:b/>
                <w:bCs/>
                <w:color w:val="000000"/>
                <w:sz w:val="15"/>
                <w:szCs w:val="15"/>
              </w:rPr>
              <w:br/>
              <w:t>2020</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5"/>
                <w:szCs w:val="15"/>
              </w:rPr>
              <w:t>Mar 31,</w:t>
            </w:r>
            <w:r>
              <w:rPr>
                <w:rFonts w:eastAsia="Times New Roman"/>
                <w:b/>
                <w:bCs/>
                <w:color w:val="000000"/>
                <w:sz w:val="15"/>
                <w:szCs w:val="15"/>
              </w:rPr>
              <w:br/>
              <w:t>2021</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5"/>
                <w:szCs w:val="15"/>
              </w:rPr>
              <w:t>Jun 30,</w:t>
            </w:r>
            <w:r>
              <w:rPr>
                <w:rFonts w:eastAsia="Times New Roman"/>
                <w:b/>
                <w:bCs/>
                <w:color w:val="000000"/>
                <w:sz w:val="15"/>
                <w:szCs w:val="15"/>
              </w:rPr>
              <w:br/>
              <w:t>2021</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5"/>
                <w:szCs w:val="15"/>
              </w:rPr>
              <w:t>Sep 30,</w:t>
            </w:r>
            <w:r>
              <w:rPr>
                <w:rFonts w:eastAsia="Times New Roman"/>
                <w:b/>
                <w:bCs/>
                <w:color w:val="000000"/>
                <w:sz w:val="15"/>
                <w:szCs w:val="15"/>
              </w:rPr>
              <w:br/>
              <w:t>2021</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5"/>
                <w:szCs w:val="15"/>
              </w:rPr>
              <w:t>Dec 31,</w:t>
            </w:r>
            <w:r>
              <w:rPr>
                <w:rFonts w:eastAsia="Times New Roman"/>
                <w:b/>
                <w:bCs/>
                <w:color w:val="000000"/>
                <w:sz w:val="15"/>
                <w:szCs w:val="15"/>
              </w:rPr>
              <w:br/>
              <w:t>2021</w:t>
            </w:r>
          </w:p>
        </w:tc>
        <w:tc>
          <w:tcPr>
            <w:tcW w:w="0" w:type="auto"/>
            <w:vAlign w:val="center"/>
            <w:hideMark/>
          </w:tcPr>
          <w:p w:rsidR="00000000" w:rsidRDefault="005B0BC3">
            <w:pPr>
              <w:spacing w:after="100"/>
              <w:jc w:val="center"/>
              <w:rPr>
                <w:rFonts w:eastAsia="Times New Roman"/>
              </w:rPr>
            </w:pPr>
          </w:p>
        </w:tc>
      </w:tr>
      <w:tr w:rsidR="005B0BC3">
        <w:trPr>
          <w:divId w:val="765030405"/>
          <w:jc w:val="center"/>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5"/>
                <w:szCs w:val="15"/>
              </w:rPr>
              <w:t>Equitable Holdings, Inc.</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70.48 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94.93 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90.47 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127.79 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163.81 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153.77 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150.52 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169.33 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vAlign w:val="center"/>
            <w:hideMark/>
          </w:tcPr>
          <w:p w:rsidR="00000000" w:rsidRDefault="005B0BC3">
            <w:pPr>
              <w:spacing w:after="100"/>
              <w:jc w:val="right"/>
              <w:rPr>
                <w:rFonts w:eastAsia="Times New Roman"/>
                <w:sz w:val="20"/>
                <w:szCs w:val="20"/>
              </w:rPr>
            </w:pPr>
          </w:p>
        </w:tc>
      </w:tr>
      <w:tr w:rsidR="005B0BC3">
        <w:trPr>
          <w:divId w:val="765030405"/>
          <w:jc w:val="center"/>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5"/>
                <w:szCs w:val="15"/>
              </w:rPr>
              <w:t>S&amp;P 500</w:t>
            </w: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98.30 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118.49 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129.07 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144.74 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153.66 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166.80 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167.77 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183.22 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vAlign w:val="center"/>
            <w:hideMark/>
          </w:tcPr>
          <w:p w:rsidR="00000000" w:rsidRDefault="005B0BC3">
            <w:pPr>
              <w:spacing w:after="100"/>
              <w:jc w:val="right"/>
              <w:rPr>
                <w:rFonts w:eastAsia="Times New Roman"/>
                <w:sz w:val="20"/>
                <w:szCs w:val="20"/>
              </w:rPr>
            </w:pPr>
          </w:p>
        </w:tc>
      </w:tr>
      <w:tr w:rsidR="005B0BC3">
        <w:trPr>
          <w:divId w:val="765030405"/>
          <w:jc w:val="center"/>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5"/>
                <w:szCs w:val="15"/>
              </w:rPr>
              <w:t>S&amp;P 500 Financials</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85.03 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97.50 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100.52 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118.38 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130.98 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137.90 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144.64 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155.02 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vAlign w:val="center"/>
            <w:hideMark/>
          </w:tcPr>
          <w:p w:rsidR="00000000" w:rsidRDefault="005B0BC3">
            <w:pPr>
              <w:spacing w:after="100"/>
              <w:jc w:val="right"/>
              <w:rPr>
                <w:rFonts w:eastAsia="Times New Roman"/>
                <w:sz w:val="20"/>
                <w:szCs w:val="20"/>
              </w:rPr>
            </w:pPr>
          </w:p>
        </w:tc>
      </w:tr>
      <w:tr w:rsidR="005B0BC3">
        <w:trPr>
          <w:divId w:val="765030405"/>
          <w:jc w:val="center"/>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5"/>
                <w:szCs w:val="15"/>
              </w:rPr>
              <w:t>S&amp;P 500 Insurance</w:t>
            </w: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76.98 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86.37 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90.21 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111.13 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128.80 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139.58 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143.40 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5"/>
                <w:szCs w:val="15"/>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5"/>
                <w:szCs w:val="15"/>
              </w:rPr>
              <w:t>150.98 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vAlign w:val="center"/>
            <w:hideMark/>
          </w:tcPr>
          <w:p w:rsidR="00000000" w:rsidRDefault="005B0BC3">
            <w:pPr>
              <w:spacing w:after="100"/>
              <w:jc w:val="right"/>
              <w:rPr>
                <w:rFonts w:eastAsia="Times New Roman"/>
                <w:sz w:val="20"/>
                <w:szCs w:val="20"/>
              </w:rPr>
            </w:pPr>
          </w:p>
        </w:tc>
      </w:tr>
    </w:tbl>
    <w:p w:rsidR="00000000" w:rsidRDefault="005B0BC3">
      <w:pPr>
        <w:divId w:val="130248368"/>
        <w:rPr>
          <w:rFonts w:eastAsia="Times New Roman"/>
        </w:rPr>
      </w:pPr>
      <w:r>
        <w:rPr>
          <w:rFonts w:eastAsia="Times New Roman"/>
          <w:b/>
          <w:bCs/>
          <w:color w:val="000000"/>
          <w:sz w:val="20"/>
          <w:szCs w:val="20"/>
        </w:rPr>
        <w:t>Part II, Item 6. RESERVED</w:t>
      </w:r>
    </w:p>
    <w:p w:rsidR="00000000" w:rsidRDefault="005B0BC3">
      <w:pPr>
        <w:divId w:val="2020424846"/>
        <w:rPr>
          <w:rFonts w:eastAsia="Times New Roman"/>
        </w:rPr>
      </w:pPr>
    </w:p>
    <w:p w:rsidR="00000000" w:rsidRDefault="005B0BC3">
      <w:pPr>
        <w:divId w:val="530190156"/>
        <w:rPr>
          <w:rFonts w:eastAsia="Times New Roman"/>
        </w:rPr>
      </w:pPr>
      <w:r>
        <w:rPr>
          <w:rFonts w:eastAsia="Times New Roman"/>
          <w:b/>
          <w:bCs/>
          <w:color w:val="000000"/>
          <w:sz w:val="20"/>
          <w:szCs w:val="20"/>
        </w:rPr>
        <w:t>Part II, Item 7.     </w:t>
      </w:r>
      <w:r>
        <w:rPr>
          <w:rFonts w:eastAsia="Times New Roman"/>
          <w:b/>
          <w:bCs/>
          <w:color w:val="000000"/>
          <w:sz w:val="20"/>
          <w:szCs w:val="20"/>
        </w:rPr>
        <w:t xml:space="preserve">MANAGEMENT'S DISCUSSION AND ANALYSIS OF FINANCIAL CONDITION AND RESULTS OF OPERATIONS </w:t>
      </w:r>
    </w:p>
    <w:p w:rsidR="00000000" w:rsidRDefault="005B0BC3">
      <w:pPr>
        <w:ind w:firstLine="360"/>
        <w:divId w:val="1682004168"/>
        <w:rPr>
          <w:rFonts w:eastAsia="Times New Roman"/>
        </w:rPr>
      </w:pPr>
      <w:r>
        <w:rPr>
          <w:rFonts w:eastAsia="Times New Roman"/>
          <w:i/>
          <w:iCs/>
          <w:color w:val="000000"/>
          <w:sz w:val="20"/>
          <w:szCs w:val="20"/>
        </w:rPr>
        <w:t>The following discussion and analysis of our financial condition and results of operations should be read in conjunction with “Selected Financial Data” and our annual fi</w:t>
      </w:r>
      <w:r>
        <w:rPr>
          <w:rFonts w:eastAsia="Times New Roman"/>
          <w:i/>
          <w:iCs/>
          <w:color w:val="000000"/>
          <w:sz w:val="20"/>
          <w:szCs w:val="20"/>
        </w:rPr>
        <w:t>nancial statements included elsewhere herein. In addition to historical data, this discussion contains forward-looking statements about our business, operations and financial performance based on current expectations that involve risks, uncertainties and a</w:t>
      </w:r>
      <w:r>
        <w:rPr>
          <w:rFonts w:eastAsia="Times New Roman"/>
          <w:i/>
          <w:iCs/>
          <w:color w:val="000000"/>
          <w:sz w:val="20"/>
          <w:szCs w:val="20"/>
        </w:rPr>
        <w:t>ssumptions. Actual results may differ materially from those discussed in the forward-looking statements as a result of various factors. Factors that could or do contribute to these differences include those factors discussed below and elsewhere in this For</w:t>
      </w:r>
      <w:r>
        <w:rPr>
          <w:rFonts w:eastAsia="Times New Roman"/>
          <w:i/>
          <w:iCs/>
          <w:color w:val="000000"/>
          <w:sz w:val="20"/>
          <w:szCs w:val="20"/>
        </w:rPr>
        <w:t xml:space="preserve">m 10-K, particularly under the captions “Risk Factors” and “Note Regarding Forward-Looking Statements and Information.” </w:t>
      </w:r>
    </w:p>
    <w:p w:rsidR="00000000" w:rsidRDefault="005B0BC3">
      <w:pPr>
        <w:divId w:val="192500557"/>
        <w:rPr>
          <w:rFonts w:eastAsia="Times New Roman"/>
        </w:rPr>
      </w:pPr>
      <w:r>
        <w:rPr>
          <w:rFonts w:eastAsia="Times New Roman"/>
          <w:b/>
          <w:bCs/>
          <w:color w:val="000000"/>
          <w:sz w:val="20"/>
          <w:szCs w:val="20"/>
        </w:rPr>
        <w:t>Executive Summary</w:t>
      </w:r>
    </w:p>
    <w:p w:rsidR="00000000" w:rsidRDefault="005B0BC3">
      <w:pPr>
        <w:jc w:val="both"/>
        <w:divId w:val="1677345876"/>
        <w:rPr>
          <w:rFonts w:eastAsia="Times New Roman"/>
        </w:rPr>
      </w:pPr>
      <w:r>
        <w:rPr>
          <w:rFonts w:eastAsia="Times New Roman"/>
          <w:b/>
          <w:bCs/>
          <w:i/>
          <w:iCs/>
          <w:color w:val="000000"/>
          <w:sz w:val="20"/>
          <w:szCs w:val="20"/>
        </w:rPr>
        <w:t xml:space="preserve">Overview </w:t>
      </w:r>
    </w:p>
    <w:p w:rsidR="00000000" w:rsidRDefault="005B0BC3">
      <w:pPr>
        <w:ind w:firstLine="360"/>
        <w:divId w:val="1951429560"/>
        <w:rPr>
          <w:rFonts w:eastAsia="Times New Roman"/>
        </w:rPr>
      </w:pPr>
      <w:r>
        <w:rPr>
          <w:rFonts w:eastAsia="Times New Roman"/>
          <w:color w:val="000000"/>
          <w:sz w:val="20"/>
          <w:szCs w:val="20"/>
        </w:rPr>
        <w:t>We are one of America’s leading financial services companies, providing: (i) advice and solutions for helpi</w:t>
      </w:r>
      <w:r>
        <w:rPr>
          <w:rFonts w:eastAsia="Times New Roman"/>
          <w:color w:val="000000"/>
          <w:sz w:val="20"/>
          <w:szCs w:val="20"/>
        </w:rPr>
        <w:t>ng Americans set and meet their retirement goals and protect and transfer their wealth across generations; and (ii) a wide range of investment management insights, expertise and innovations to drive better investment decisions and outcomes for clients worl</w:t>
      </w:r>
      <w:r>
        <w:rPr>
          <w:rFonts w:eastAsia="Times New Roman"/>
          <w:color w:val="000000"/>
          <w:sz w:val="20"/>
          <w:szCs w:val="20"/>
        </w:rPr>
        <w:t xml:space="preserve">dwide. </w:t>
      </w:r>
    </w:p>
    <w:p w:rsidR="00000000" w:rsidRDefault="005B0BC3">
      <w:pPr>
        <w:ind w:firstLine="360"/>
        <w:divId w:val="121776988"/>
        <w:rPr>
          <w:rFonts w:eastAsia="Times New Roman"/>
        </w:rPr>
      </w:pPr>
      <w:r>
        <w:rPr>
          <w:rFonts w:eastAsia="Times New Roman"/>
          <w:color w:val="000000"/>
          <w:sz w:val="20"/>
          <w:szCs w:val="20"/>
        </w:rPr>
        <w:t>We manage our business through four segments: Individual Retirement, Group Retirement, Investment Management and Research, and Protection Solutions. We report certain activities and items that are not included in these segments in Corporate and Oth</w:t>
      </w:r>
      <w:r>
        <w:rPr>
          <w:rFonts w:eastAsia="Times New Roman"/>
          <w:color w:val="000000"/>
          <w:sz w:val="20"/>
          <w:szCs w:val="20"/>
        </w:rPr>
        <w:t xml:space="preserve">er. See Note 19 of the Notes to these Consolidated Financial Statements for further information on our segments. </w:t>
      </w:r>
    </w:p>
    <w:p w:rsidR="00000000" w:rsidRDefault="005B0BC3">
      <w:pPr>
        <w:ind w:firstLine="360"/>
        <w:divId w:val="2018801523"/>
        <w:rPr>
          <w:rFonts w:eastAsia="Times New Roman"/>
        </w:rPr>
      </w:pPr>
      <w:r>
        <w:rPr>
          <w:rFonts w:eastAsia="Times New Roman"/>
          <w:color w:val="000000"/>
          <w:sz w:val="20"/>
          <w:szCs w:val="20"/>
        </w:rPr>
        <w:t>We benefit from our complementary mix of businesses. This business mix provides diversity in our earnings sources, which helps offset fluctuat</w:t>
      </w:r>
      <w:r>
        <w:rPr>
          <w:rFonts w:eastAsia="Times New Roman"/>
          <w:color w:val="000000"/>
          <w:sz w:val="20"/>
          <w:szCs w:val="20"/>
        </w:rPr>
        <w:t>ions in market conditions and variability in business results, while offering growth opportunities.</w:t>
      </w:r>
    </w:p>
    <w:p w:rsidR="00000000" w:rsidRDefault="005B0BC3">
      <w:pPr>
        <w:jc w:val="both"/>
        <w:divId w:val="581067980"/>
        <w:rPr>
          <w:rFonts w:eastAsia="Times New Roman"/>
        </w:rPr>
      </w:pPr>
      <w:r>
        <w:rPr>
          <w:rFonts w:eastAsia="Times New Roman"/>
          <w:b/>
          <w:bCs/>
          <w:i/>
          <w:iCs/>
          <w:color w:val="000000"/>
          <w:sz w:val="20"/>
          <w:szCs w:val="20"/>
        </w:rPr>
        <w:t>Reinsurance of Legacy Variable Annuity Block and Sale of Runoff Variable Annuity Reinsurance Entity</w:t>
      </w:r>
    </w:p>
    <w:p w:rsidR="00000000" w:rsidRDefault="005B0BC3">
      <w:pPr>
        <w:ind w:firstLine="360"/>
        <w:divId w:val="2032680858"/>
        <w:rPr>
          <w:rFonts w:eastAsia="Times New Roman"/>
        </w:rPr>
      </w:pPr>
      <w:r>
        <w:rPr>
          <w:rFonts w:eastAsia="Times New Roman"/>
          <w:color w:val="000000"/>
          <w:sz w:val="20"/>
          <w:szCs w:val="20"/>
        </w:rPr>
        <w:t xml:space="preserve">On June 1, 2021, Holdings completed the sale of CS Life </w:t>
      </w:r>
      <w:r>
        <w:rPr>
          <w:rFonts w:eastAsia="Times New Roman"/>
          <w:color w:val="000000"/>
          <w:sz w:val="20"/>
          <w:szCs w:val="20"/>
        </w:rPr>
        <w:t xml:space="preserve">to VIAC pursuant to the Master Transaction Agreement, among the Company, VIAC and, solely with respect to Article XIV thereof, Venerable. </w:t>
      </w:r>
    </w:p>
    <w:p w:rsidR="00000000" w:rsidRDefault="005B0BC3">
      <w:pPr>
        <w:ind w:firstLine="360"/>
        <w:divId w:val="525101056"/>
        <w:rPr>
          <w:rFonts w:eastAsia="Times New Roman"/>
        </w:rPr>
      </w:pPr>
      <w:r>
        <w:rPr>
          <w:rFonts w:eastAsia="Times New Roman"/>
          <w:color w:val="000000"/>
          <w:sz w:val="20"/>
          <w:szCs w:val="20"/>
        </w:rPr>
        <w:t xml:space="preserve">Pursuant to the Master Transaction Agreement, immediately prior to the closing of the Venerable Transaction, CS Life </w:t>
      </w:r>
      <w:r>
        <w:rPr>
          <w:rFonts w:eastAsia="Times New Roman"/>
          <w:color w:val="000000"/>
          <w:sz w:val="20"/>
          <w:szCs w:val="20"/>
        </w:rPr>
        <w:t>effected the recapture of all of the business that was ceded to the Reinsurance Subsidiary, and sold 100% of the equity of the Reinsurance Subsidiary to another wholly owned subsidiary of the Company. Immediately following the closing of the Venerable Tran</w:t>
      </w:r>
      <w:r>
        <w:rPr>
          <w:rFonts w:eastAsia="Times New Roman"/>
          <w:color w:val="000000"/>
          <w:sz w:val="20"/>
          <w:szCs w:val="20"/>
        </w:rPr>
        <w:t xml:space="preserve">saction, CS Life and Equitable Financial entered into a the Reinsurance Agreement, pursuant to which Equitable Financial ceded to CS Life, on a combined coinsurance and modified coinsurance basis the Block, comprised of non-New York “Accumulator” policies </w:t>
      </w:r>
      <w:r>
        <w:rPr>
          <w:rFonts w:eastAsia="Times New Roman"/>
          <w:color w:val="000000"/>
          <w:sz w:val="20"/>
          <w:szCs w:val="20"/>
        </w:rPr>
        <w:t xml:space="preserve">containing fixed rate Guaranteed Minimum Income Benefit and/or Guaranteed Minimum Death Benefit guarantees. </w:t>
      </w:r>
    </w:p>
    <w:p w:rsidR="00000000" w:rsidRDefault="005B0BC3">
      <w:pPr>
        <w:ind w:firstLine="360"/>
        <w:divId w:val="1580627916"/>
        <w:rPr>
          <w:rFonts w:eastAsia="Times New Roman"/>
        </w:rPr>
      </w:pPr>
      <w:r>
        <w:rPr>
          <w:rFonts w:eastAsia="Times New Roman"/>
          <w:color w:val="000000"/>
          <w:sz w:val="20"/>
          <w:szCs w:val="20"/>
        </w:rPr>
        <w:t>In addition, upon the completion of the Venerable Transaction, EIMG acquired an approximate 9.09% equity interest in Venerable’s parent holding com</w:t>
      </w:r>
      <w:r>
        <w:rPr>
          <w:rFonts w:eastAsia="Times New Roman"/>
          <w:color w:val="000000"/>
          <w:sz w:val="20"/>
          <w:szCs w:val="20"/>
        </w:rPr>
        <w:t xml:space="preserve">pany, VA Capital Company LLC. In connection with such investment, EIMG designated a member to the Board of Managers of VA Capital Company LLC. </w:t>
      </w:r>
    </w:p>
    <w:p w:rsidR="00000000" w:rsidRDefault="005B0BC3">
      <w:pPr>
        <w:ind w:firstLine="360"/>
        <w:divId w:val="2050259428"/>
        <w:rPr>
          <w:rFonts w:eastAsia="Times New Roman"/>
        </w:rPr>
      </w:pPr>
    </w:p>
    <w:p w:rsidR="00000000" w:rsidRDefault="005B0BC3">
      <w:pPr>
        <w:jc w:val="both"/>
        <w:divId w:val="1485661724"/>
        <w:rPr>
          <w:rFonts w:eastAsia="Times New Roman"/>
        </w:rPr>
      </w:pPr>
      <w:r>
        <w:rPr>
          <w:rFonts w:eastAsia="Times New Roman"/>
          <w:b/>
          <w:bCs/>
          <w:i/>
          <w:iCs/>
          <w:color w:val="000000"/>
          <w:sz w:val="20"/>
          <w:szCs w:val="20"/>
        </w:rPr>
        <w:t>COVID-19 Impact</w:t>
      </w:r>
    </w:p>
    <w:p w:rsidR="00000000" w:rsidRDefault="005B0BC3">
      <w:pPr>
        <w:ind w:firstLine="360"/>
        <w:divId w:val="1665932306"/>
        <w:rPr>
          <w:rFonts w:eastAsia="Times New Roman"/>
        </w:rPr>
      </w:pPr>
      <w:r>
        <w:rPr>
          <w:rFonts w:eastAsia="Times New Roman"/>
          <w:color w:val="000000"/>
          <w:sz w:val="20"/>
          <w:szCs w:val="20"/>
        </w:rPr>
        <w:t>We continue to closely monitor developments related to the COVID-19 pandemic. The COVID-19 pan</w:t>
      </w:r>
      <w:r>
        <w:rPr>
          <w:rFonts w:eastAsia="Times New Roman"/>
          <w:color w:val="000000"/>
          <w:sz w:val="20"/>
          <w:szCs w:val="20"/>
        </w:rPr>
        <w:t>demic has negatively impacted the U.S. and global economies and financial markets continue to experience significant volatility as the pandemic evolves. As a financial services company, factors such as the volatility and strength of equity markets, interes</w:t>
      </w:r>
      <w:r>
        <w:rPr>
          <w:rFonts w:eastAsia="Times New Roman"/>
          <w:color w:val="000000"/>
          <w:sz w:val="20"/>
          <w:szCs w:val="20"/>
        </w:rPr>
        <w:t xml:space="preserve">t rates, </w:t>
      </w:r>
    </w:p>
    <w:p w:rsidR="00000000" w:rsidRDefault="005B0BC3">
      <w:pPr>
        <w:jc w:val="center"/>
        <w:divId w:val="1960993945"/>
        <w:rPr>
          <w:rFonts w:eastAsia="Times New Roman"/>
        </w:rPr>
      </w:pPr>
      <w:r>
        <w:rPr>
          <w:rFonts w:eastAsia="Times New Roman"/>
          <w:color w:val="000000"/>
          <w:sz w:val="20"/>
          <w:szCs w:val="20"/>
        </w:rPr>
        <w:t>72</w:t>
      </w:r>
    </w:p>
    <w:p w:rsidR="00000000" w:rsidRDefault="005B0BC3">
      <w:pPr>
        <w:rPr>
          <w:rFonts w:eastAsia="Times New Roman"/>
        </w:rPr>
      </w:pPr>
      <w:r>
        <w:rPr>
          <w:rFonts w:eastAsia="Times New Roman"/>
        </w:rPr>
        <w:pict>
          <v:rect id="_x0000_i1110" style="width:0;height:1.5pt" o:hralign="center" o:hrstd="t" o:hr="t" fillcolor="#a0a0a0" stroked="f"/>
        </w:pict>
      </w:r>
    </w:p>
    <w:p w:rsidR="00000000" w:rsidRDefault="005B0BC3">
      <w:pPr>
        <w:divId w:val="1575429644"/>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divId w:val="277761289"/>
        <w:rPr>
          <w:rFonts w:eastAsia="Times New Roman"/>
        </w:rPr>
      </w:pPr>
      <w:r>
        <w:rPr>
          <w:rFonts w:eastAsia="Times New Roman"/>
          <w:color w:val="000000"/>
          <w:sz w:val="20"/>
          <w:szCs w:val="20"/>
        </w:rPr>
        <w:t>consumer spending, and government debt and spending all affect the business and economic environment and, ultimately, the amount</w:t>
      </w:r>
      <w:r>
        <w:rPr>
          <w:rFonts w:eastAsia="Times New Roman"/>
          <w:color w:val="000000"/>
          <w:sz w:val="20"/>
          <w:szCs w:val="20"/>
        </w:rPr>
        <w:t xml:space="preserve"> and profitability of our business. The ongoing economic impact and the potential for continued volatility and declines in the capital markets could have a significant adverse effect on our business, results of operations and financial condition, particula</w:t>
      </w:r>
      <w:r>
        <w:rPr>
          <w:rFonts w:eastAsia="Times New Roman"/>
          <w:color w:val="000000"/>
          <w:sz w:val="20"/>
          <w:szCs w:val="20"/>
        </w:rPr>
        <w:t>rly if economic activity and financial markets do not recover or recover slowly.</w:t>
      </w:r>
    </w:p>
    <w:p w:rsidR="00000000" w:rsidRDefault="005B0BC3">
      <w:pPr>
        <w:ind w:firstLine="360"/>
        <w:divId w:val="1899634602"/>
        <w:rPr>
          <w:rFonts w:eastAsia="Times New Roman"/>
        </w:rPr>
      </w:pPr>
      <w:r>
        <w:rPr>
          <w:rFonts w:eastAsia="Times New Roman"/>
          <w:color w:val="000000"/>
          <w:sz w:val="20"/>
          <w:szCs w:val="20"/>
        </w:rPr>
        <w:t>The pandemic and related economic impacts could adversely affect demand for our products and services and our investment returns. The profitability of many of our retirement, protection and investment products depends in part on the value of the AUM suppor</w:t>
      </w:r>
      <w:r>
        <w:rPr>
          <w:rFonts w:eastAsia="Times New Roman"/>
          <w:color w:val="000000"/>
          <w:sz w:val="20"/>
          <w:szCs w:val="20"/>
        </w:rPr>
        <w:t xml:space="preserve">ting them, which could decline substantially depending on any of the foregoing conditions. In addition, the growing number of COVID-19 related deaths could have an adverse effect on our insurance business due to increased mortality and morbidity rates. To </w:t>
      </w:r>
      <w:r>
        <w:rPr>
          <w:rFonts w:eastAsia="Times New Roman"/>
          <w:color w:val="000000"/>
          <w:sz w:val="20"/>
          <w:szCs w:val="20"/>
        </w:rPr>
        <w:t xml:space="preserve">date, COVID-19 related impacts, including adverse mortality experience, have been manageable and below initial expectations. </w:t>
      </w:r>
    </w:p>
    <w:p w:rsidR="00000000" w:rsidRDefault="005B0BC3">
      <w:pPr>
        <w:ind w:firstLine="360"/>
        <w:divId w:val="1577667961"/>
        <w:rPr>
          <w:rFonts w:eastAsia="Times New Roman"/>
        </w:rPr>
      </w:pPr>
      <w:r>
        <w:rPr>
          <w:rFonts w:eastAsia="Times New Roman"/>
          <w:color w:val="000000"/>
          <w:sz w:val="20"/>
          <w:szCs w:val="20"/>
        </w:rPr>
        <w:t>Efforts to prevent the spread of COVID-19 have affected our business directly in a number of ways, including through the temporary</w:t>
      </w:r>
      <w:r>
        <w:rPr>
          <w:rFonts w:eastAsia="Times New Roman"/>
          <w:color w:val="000000"/>
          <w:sz w:val="20"/>
          <w:szCs w:val="20"/>
        </w:rPr>
        <w:t xml:space="preserve"> closures of many businesses and schools and the institution of social distancing requirements in many states and local communities. In response to the pandemic, we have adapted our processes to meet client needs. For example, we modified our underwriting </w:t>
      </w:r>
      <w:r>
        <w:rPr>
          <w:rFonts w:eastAsia="Times New Roman"/>
          <w:color w:val="000000"/>
          <w:sz w:val="20"/>
          <w:szCs w:val="20"/>
        </w:rPr>
        <w:t>policies to offer a fluid-less, touchless process to help more clients access the protection they need. In addition, we accelerated our digital adoption programs, leading to improved outcomes for clients, advisors, and the Company. Given the challenges ove</w:t>
      </w:r>
      <w:r>
        <w:rPr>
          <w:rFonts w:eastAsia="Times New Roman"/>
          <w:color w:val="000000"/>
          <w:sz w:val="20"/>
          <w:szCs w:val="20"/>
        </w:rPr>
        <w:t>r the last year our advisors have faced in engaging with our educator clients, we have developed digital tools and enhanced our remote engagement, which is resulting in improved retention and increases in retirement plan contributions.</w:t>
      </w:r>
    </w:p>
    <w:p w:rsidR="00000000" w:rsidRDefault="005B0BC3">
      <w:pPr>
        <w:ind w:firstLine="360"/>
        <w:divId w:val="1115174839"/>
        <w:rPr>
          <w:rFonts w:eastAsia="Times New Roman"/>
        </w:rPr>
      </w:pPr>
      <w:r>
        <w:rPr>
          <w:rFonts w:eastAsia="Times New Roman"/>
          <w:color w:val="000000"/>
          <w:sz w:val="20"/>
          <w:szCs w:val="20"/>
        </w:rPr>
        <w:t>While the COVID-19 p</w:t>
      </w:r>
      <w:r>
        <w:rPr>
          <w:rFonts w:eastAsia="Times New Roman"/>
          <w:color w:val="000000"/>
          <w:sz w:val="20"/>
          <w:szCs w:val="20"/>
        </w:rPr>
        <w:t>andemic significantly affected the capital markets and economy, we believe the actions we have previously taken help assure that our economic balance sheet is protected from interest rate and equity declines. These actions include redesigning our product p</w:t>
      </w:r>
      <w:r>
        <w:rPr>
          <w:rFonts w:eastAsia="Times New Roman"/>
          <w:color w:val="000000"/>
          <w:sz w:val="20"/>
          <w:szCs w:val="20"/>
        </w:rPr>
        <w:t xml:space="preserve">ortfolio to concentrate on offering less capital intensive products and implementing a hedging strategy that manages and protects against the economic risks associated with our in-force GMxB products. In addition to our hedging strategy, we employ various </w:t>
      </w:r>
      <w:r>
        <w:rPr>
          <w:rFonts w:eastAsia="Times New Roman"/>
          <w:color w:val="000000"/>
          <w:sz w:val="20"/>
          <w:szCs w:val="20"/>
        </w:rPr>
        <w:t>other methods to manage the risks of our in-force variable annuity products, including reinsurance, asset-liability matching, volatility management tools within the Separate Accounts and an active in-force management program, including buyout offers for ce</w:t>
      </w:r>
      <w:r>
        <w:rPr>
          <w:rFonts w:eastAsia="Times New Roman"/>
          <w:color w:val="000000"/>
          <w:sz w:val="20"/>
          <w:szCs w:val="20"/>
        </w:rPr>
        <w:t xml:space="preserve">rtain products. Due to the General Account’s exposure to U.S. government bonds and credit quality of the portfolio, we feel that our balance sheet is well positioned to withstand the extreme volatility in the capital markets. </w:t>
      </w:r>
    </w:p>
    <w:p w:rsidR="00000000" w:rsidRDefault="005B0BC3">
      <w:pPr>
        <w:ind w:firstLine="360"/>
        <w:divId w:val="2144813337"/>
        <w:rPr>
          <w:rFonts w:eastAsia="Times New Roman"/>
        </w:rPr>
      </w:pPr>
      <w:r>
        <w:rPr>
          <w:rFonts w:eastAsia="Times New Roman"/>
          <w:color w:val="000000"/>
          <w:sz w:val="20"/>
          <w:szCs w:val="20"/>
        </w:rPr>
        <w:t>While the COVID-19 pandemic h</w:t>
      </w:r>
      <w:r>
        <w:rPr>
          <w:rFonts w:eastAsia="Times New Roman"/>
          <w:color w:val="000000"/>
          <w:sz w:val="20"/>
          <w:szCs w:val="20"/>
        </w:rPr>
        <w:t>as negatively impacted our business and financial results, the extent and nature of its full financial impact cannot reasonably be estimated at this time due to developments that are still highly uncertain, including the severity and duration of the pandem</w:t>
      </w:r>
      <w:r>
        <w:rPr>
          <w:rFonts w:eastAsia="Times New Roman"/>
          <w:color w:val="000000"/>
          <w:sz w:val="20"/>
          <w:szCs w:val="20"/>
        </w:rPr>
        <w:t>ic, actions taken by governmental authorities and other third parties in response to the pandemic and the availability and efficacy of vaccines against COVID-19 and its variants. For additional information regarding the potential impacts of the COVID-19 pa</w:t>
      </w:r>
      <w:r>
        <w:rPr>
          <w:rFonts w:eastAsia="Times New Roman"/>
          <w:color w:val="000000"/>
          <w:sz w:val="20"/>
          <w:szCs w:val="20"/>
        </w:rPr>
        <w:t>ndemic, see “Risk Factors—Risks Relating to Conditions in the Financial Markets and Economy—The coronavirus (COVID-19) pandemic.”</w:t>
      </w:r>
    </w:p>
    <w:p w:rsidR="00000000" w:rsidRDefault="005B0BC3">
      <w:pPr>
        <w:jc w:val="both"/>
        <w:divId w:val="2128619743"/>
        <w:rPr>
          <w:rFonts w:eastAsia="Times New Roman"/>
        </w:rPr>
      </w:pPr>
      <w:r>
        <w:rPr>
          <w:rFonts w:eastAsia="Times New Roman"/>
          <w:b/>
          <w:bCs/>
          <w:i/>
          <w:iCs/>
          <w:color w:val="000000"/>
          <w:sz w:val="20"/>
          <w:szCs w:val="20"/>
        </w:rPr>
        <w:t>Revenues</w:t>
      </w:r>
    </w:p>
    <w:p w:rsidR="00000000" w:rsidRDefault="005B0BC3">
      <w:pPr>
        <w:ind w:firstLine="360"/>
        <w:divId w:val="69038512"/>
        <w:rPr>
          <w:rFonts w:eastAsia="Times New Roman"/>
        </w:rPr>
      </w:pPr>
      <w:r>
        <w:rPr>
          <w:rFonts w:eastAsia="Times New Roman"/>
          <w:color w:val="000000"/>
          <w:sz w:val="20"/>
          <w:szCs w:val="20"/>
        </w:rPr>
        <w:t>Our revenues come from three principal sources:</w:t>
      </w:r>
    </w:p>
    <w:p w:rsidR="00000000" w:rsidRDefault="005B0BC3">
      <w:pPr>
        <w:ind w:hanging="360"/>
        <w:jc w:val="both"/>
        <w:divId w:val="306782982"/>
        <w:rPr>
          <w:rFonts w:eastAsia="Times New Roman"/>
        </w:rPr>
      </w:pPr>
      <w:r>
        <w:rPr>
          <w:rFonts w:eastAsia="Times New Roman"/>
          <w:color w:val="000000"/>
          <w:sz w:val="20"/>
          <w:szCs w:val="20"/>
        </w:rPr>
        <w:t>•fee income derived from our retirement and protection products and o</w:t>
      </w:r>
      <w:r>
        <w:rPr>
          <w:rFonts w:eastAsia="Times New Roman"/>
          <w:color w:val="000000"/>
          <w:sz w:val="20"/>
          <w:szCs w:val="20"/>
        </w:rPr>
        <w:t>ur investment management and research services;</w:t>
      </w:r>
    </w:p>
    <w:p w:rsidR="00000000" w:rsidRDefault="005B0BC3">
      <w:pPr>
        <w:ind w:hanging="360"/>
        <w:jc w:val="both"/>
        <w:divId w:val="965424846"/>
        <w:rPr>
          <w:rFonts w:eastAsia="Times New Roman"/>
        </w:rPr>
      </w:pPr>
      <w:r>
        <w:rPr>
          <w:rFonts w:eastAsia="Times New Roman"/>
          <w:color w:val="000000"/>
          <w:sz w:val="20"/>
          <w:szCs w:val="20"/>
        </w:rPr>
        <w:t>•premiums from our traditional life insurance and annuity products; and</w:t>
      </w:r>
    </w:p>
    <w:p w:rsidR="00000000" w:rsidRDefault="005B0BC3">
      <w:pPr>
        <w:ind w:hanging="360"/>
        <w:divId w:val="228273158"/>
        <w:rPr>
          <w:rFonts w:eastAsia="Times New Roman"/>
        </w:rPr>
      </w:pPr>
      <w:r>
        <w:rPr>
          <w:rFonts w:eastAsia="Times New Roman"/>
          <w:color w:val="000000"/>
          <w:sz w:val="20"/>
          <w:szCs w:val="20"/>
        </w:rPr>
        <w:t>•investment income from our General Account investment portfolio.</w:t>
      </w:r>
    </w:p>
    <w:p w:rsidR="00000000" w:rsidRDefault="005B0BC3">
      <w:pPr>
        <w:ind w:firstLine="360"/>
        <w:divId w:val="1922642243"/>
        <w:rPr>
          <w:rFonts w:eastAsia="Times New Roman"/>
        </w:rPr>
      </w:pPr>
      <w:r>
        <w:rPr>
          <w:rFonts w:eastAsia="Times New Roman"/>
          <w:color w:val="000000"/>
          <w:sz w:val="20"/>
          <w:szCs w:val="20"/>
        </w:rPr>
        <w:t xml:space="preserve">Our fee income varies directly in relation to the amount of the underlying AV or benefit base of our retirement and protection products and the amount of AUM of our Investment Management and Research business. AV and AUM, each as defined in “Key Operating </w:t>
      </w:r>
      <w:r>
        <w:rPr>
          <w:rFonts w:eastAsia="Times New Roman"/>
          <w:color w:val="000000"/>
          <w:sz w:val="20"/>
          <w:szCs w:val="20"/>
        </w:rPr>
        <w:t>Measures,” are influenced by changes in economic conditions, primarily equity market returns, as well as net flows. Our premium income is driven by the growth in new policies written and the persistency of our in-force policies, both of which are influence</w:t>
      </w:r>
      <w:r>
        <w:rPr>
          <w:rFonts w:eastAsia="Times New Roman"/>
          <w:color w:val="000000"/>
          <w:sz w:val="20"/>
          <w:szCs w:val="20"/>
        </w:rPr>
        <w:t>d by a combination of factors, including our efforts to attract and retain customers and market conditions that influence demand for our products. Our investment income is driven by the yield on our General Account investment portfolio and is impacted by t</w:t>
      </w:r>
      <w:r>
        <w:rPr>
          <w:rFonts w:eastAsia="Times New Roman"/>
          <w:color w:val="000000"/>
          <w:sz w:val="20"/>
          <w:szCs w:val="20"/>
        </w:rPr>
        <w:t>he prevailing level of interest rates as we reinvest cash associated with maturing investments and net flows to the portfolio.</w:t>
      </w:r>
    </w:p>
    <w:p w:rsidR="00000000" w:rsidRDefault="005B0BC3">
      <w:pPr>
        <w:jc w:val="center"/>
        <w:divId w:val="2131049887"/>
        <w:rPr>
          <w:rFonts w:eastAsia="Times New Roman"/>
        </w:rPr>
      </w:pPr>
      <w:r>
        <w:rPr>
          <w:rFonts w:eastAsia="Times New Roman"/>
          <w:color w:val="000000"/>
          <w:sz w:val="20"/>
          <w:szCs w:val="20"/>
        </w:rPr>
        <w:t>73</w:t>
      </w:r>
    </w:p>
    <w:p w:rsidR="00000000" w:rsidRDefault="005B0BC3">
      <w:pPr>
        <w:rPr>
          <w:rFonts w:eastAsia="Times New Roman"/>
        </w:rPr>
      </w:pPr>
      <w:r>
        <w:rPr>
          <w:rFonts w:eastAsia="Times New Roman"/>
        </w:rPr>
        <w:pict>
          <v:rect id="_x0000_i1111" style="width:0;height:1.5pt" o:hralign="center" o:hrstd="t" o:hr="t" fillcolor="#a0a0a0" stroked="f"/>
        </w:pict>
      </w:r>
    </w:p>
    <w:p w:rsidR="00000000" w:rsidRDefault="005B0BC3">
      <w:pPr>
        <w:divId w:val="1517648444"/>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jc w:val="both"/>
        <w:divId w:val="1938050708"/>
        <w:rPr>
          <w:rFonts w:eastAsia="Times New Roman"/>
        </w:rPr>
      </w:pPr>
      <w:r>
        <w:rPr>
          <w:rFonts w:eastAsia="Times New Roman"/>
          <w:b/>
          <w:bCs/>
          <w:i/>
          <w:iCs/>
          <w:color w:val="000000"/>
          <w:sz w:val="20"/>
          <w:szCs w:val="20"/>
        </w:rPr>
        <w:t>Benefits and</w:t>
      </w:r>
      <w:r>
        <w:rPr>
          <w:rFonts w:eastAsia="Times New Roman"/>
          <w:b/>
          <w:bCs/>
          <w:i/>
          <w:iCs/>
          <w:color w:val="000000"/>
          <w:sz w:val="20"/>
          <w:szCs w:val="20"/>
        </w:rPr>
        <w:t xml:space="preserve"> Other Deductions</w:t>
      </w:r>
    </w:p>
    <w:p w:rsidR="00000000" w:rsidRDefault="005B0BC3">
      <w:pPr>
        <w:ind w:firstLine="360"/>
        <w:divId w:val="892348874"/>
        <w:rPr>
          <w:rFonts w:eastAsia="Times New Roman"/>
        </w:rPr>
      </w:pPr>
      <w:r>
        <w:rPr>
          <w:rFonts w:eastAsia="Times New Roman"/>
          <w:color w:val="000000"/>
          <w:sz w:val="20"/>
          <w:szCs w:val="20"/>
        </w:rPr>
        <w:t>Our primary expenses are:</w:t>
      </w:r>
    </w:p>
    <w:p w:rsidR="00000000" w:rsidRDefault="005B0BC3">
      <w:pPr>
        <w:ind w:hanging="360"/>
        <w:jc w:val="both"/>
        <w:divId w:val="1206329933"/>
        <w:rPr>
          <w:rFonts w:eastAsia="Times New Roman"/>
        </w:rPr>
      </w:pPr>
      <w:r>
        <w:rPr>
          <w:rFonts w:eastAsia="Times New Roman"/>
          <w:color w:val="000000"/>
          <w:sz w:val="20"/>
          <w:szCs w:val="20"/>
        </w:rPr>
        <w:t>•policyholders’ benefits and interest credited to policyholders’ account balances;</w:t>
      </w:r>
    </w:p>
    <w:p w:rsidR="00000000" w:rsidRDefault="005B0BC3">
      <w:pPr>
        <w:ind w:hanging="360"/>
        <w:jc w:val="both"/>
        <w:divId w:val="1918131451"/>
        <w:rPr>
          <w:rFonts w:eastAsia="Times New Roman"/>
        </w:rPr>
      </w:pPr>
      <w:r>
        <w:rPr>
          <w:rFonts w:eastAsia="Times New Roman"/>
          <w:color w:val="000000"/>
          <w:sz w:val="20"/>
          <w:szCs w:val="20"/>
        </w:rPr>
        <w:t>•sales commissions and compensation paid to intermediaries and advisors that distribute our products and services; and</w:t>
      </w:r>
    </w:p>
    <w:p w:rsidR="00000000" w:rsidRDefault="005B0BC3">
      <w:pPr>
        <w:ind w:hanging="360"/>
        <w:divId w:val="707410362"/>
        <w:rPr>
          <w:rFonts w:eastAsia="Times New Roman"/>
        </w:rPr>
      </w:pPr>
      <w:r>
        <w:rPr>
          <w:rFonts w:eastAsia="Times New Roman"/>
          <w:color w:val="000000"/>
          <w:sz w:val="20"/>
          <w:szCs w:val="20"/>
        </w:rPr>
        <w:t>•compensat</w:t>
      </w:r>
      <w:r>
        <w:rPr>
          <w:rFonts w:eastAsia="Times New Roman"/>
          <w:color w:val="000000"/>
          <w:sz w:val="20"/>
          <w:szCs w:val="20"/>
        </w:rPr>
        <w:t>ion and benefits provided to our employees and other operating expenses.</w:t>
      </w:r>
    </w:p>
    <w:p w:rsidR="00000000" w:rsidRDefault="005B0BC3">
      <w:pPr>
        <w:ind w:firstLine="360"/>
        <w:divId w:val="971596652"/>
        <w:rPr>
          <w:rFonts w:eastAsia="Times New Roman"/>
        </w:rPr>
      </w:pPr>
      <w:r>
        <w:rPr>
          <w:rFonts w:eastAsia="Times New Roman"/>
          <w:color w:val="000000"/>
          <w:sz w:val="20"/>
          <w:szCs w:val="20"/>
        </w:rPr>
        <w:t>Policyholders’ benefits are driven primarily by mortality, customer withdrawals, and benefits which change in response to changes in capital market conditions. In addition, some of ou</w:t>
      </w:r>
      <w:r>
        <w:rPr>
          <w:rFonts w:eastAsia="Times New Roman"/>
          <w:color w:val="000000"/>
          <w:sz w:val="20"/>
          <w:szCs w:val="20"/>
        </w:rPr>
        <w:t>r policyholders’ benefits are directly tied to the AV and benefit base of our variable annuity products. Interest credited to policyholders varies in relation to the amount of the underlying AV or benefit base. Sales commissions and compensation paid to in</w:t>
      </w:r>
      <w:r>
        <w:rPr>
          <w:rFonts w:eastAsia="Times New Roman"/>
          <w:color w:val="000000"/>
          <w:sz w:val="20"/>
          <w:szCs w:val="20"/>
        </w:rPr>
        <w:t>termediaries and advisors vary in relation to premium and fee income generated from these sources, whereas compensation and benefits to our employees are more constant and impacted by market wages and decline with increases in efficiency. Our ability to ma</w:t>
      </w:r>
      <w:r>
        <w:rPr>
          <w:rFonts w:eastAsia="Times New Roman"/>
          <w:color w:val="000000"/>
          <w:sz w:val="20"/>
          <w:szCs w:val="20"/>
        </w:rPr>
        <w:t>nage these expenses across various economic cycles and products is critical to the profitability of our company.</w:t>
      </w:r>
    </w:p>
    <w:p w:rsidR="00000000" w:rsidRDefault="005B0BC3">
      <w:pPr>
        <w:jc w:val="both"/>
        <w:divId w:val="1583636957"/>
        <w:rPr>
          <w:rFonts w:eastAsia="Times New Roman"/>
        </w:rPr>
      </w:pPr>
      <w:r>
        <w:rPr>
          <w:rFonts w:eastAsia="Times New Roman"/>
          <w:b/>
          <w:bCs/>
          <w:i/>
          <w:iCs/>
          <w:color w:val="000000"/>
          <w:sz w:val="20"/>
          <w:szCs w:val="20"/>
        </w:rPr>
        <w:t>Net Income Volatility</w:t>
      </w:r>
    </w:p>
    <w:p w:rsidR="00000000" w:rsidRDefault="005B0BC3">
      <w:pPr>
        <w:ind w:firstLine="360"/>
        <w:divId w:val="211308328"/>
        <w:rPr>
          <w:rFonts w:eastAsia="Times New Roman"/>
        </w:rPr>
      </w:pPr>
      <w:r>
        <w:rPr>
          <w:rFonts w:eastAsia="Times New Roman"/>
          <w:color w:val="000000"/>
          <w:sz w:val="20"/>
          <w:szCs w:val="20"/>
        </w:rPr>
        <w:t>We have offered and continue to offer variable annuity products with GMxB features. The future claims exposure on these f</w:t>
      </w:r>
      <w:r>
        <w:rPr>
          <w:rFonts w:eastAsia="Times New Roman"/>
          <w:color w:val="000000"/>
          <w:sz w:val="20"/>
          <w:szCs w:val="20"/>
        </w:rPr>
        <w:t>eatures is sensitive to movements in the equity markets and interest rates. Accordingly, we have implemented hedging and reinsurance programs designed to mitigate the economic exposure to us from these features due to equity market and interest rate moveme</w:t>
      </w:r>
      <w:r>
        <w:rPr>
          <w:rFonts w:eastAsia="Times New Roman"/>
          <w:color w:val="000000"/>
          <w:sz w:val="20"/>
          <w:szCs w:val="20"/>
        </w:rPr>
        <w:t>nts. Changes in the values of the derivatives associated with these programs due to equity market and interest rate movements are recognized in the periods in which they occur while corresponding changes in offsetting liabilities not measured at fair value</w:t>
      </w:r>
      <w:r>
        <w:rPr>
          <w:rFonts w:eastAsia="Times New Roman"/>
          <w:color w:val="000000"/>
          <w:sz w:val="20"/>
          <w:szCs w:val="20"/>
        </w:rPr>
        <w:t xml:space="preserve"> are recognized over time. This results in net income volatility as further described below. See “—Significant Factors Impacting Our Results—Impact of Hedging and GMxB Reinsurance on Results.”</w:t>
      </w:r>
    </w:p>
    <w:p w:rsidR="00000000" w:rsidRDefault="005B0BC3">
      <w:pPr>
        <w:ind w:firstLine="360"/>
        <w:divId w:val="1208756942"/>
        <w:rPr>
          <w:rFonts w:eastAsia="Times New Roman"/>
        </w:rPr>
      </w:pPr>
      <w:r>
        <w:rPr>
          <w:rFonts w:eastAsia="Times New Roman"/>
          <w:color w:val="000000"/>
          <w:sz w:val="20"/>
          <w:szCs w:val="20"/>
        </w:rPr>
        <w:t>In addition to our dynamic hedging strategy, we have static hed</w:t>
      </w:r>
      <w:r>
        <w:rPr>
          <w:rFonts w:eastAsia="Times New Roman"/>
          <w:color w:val="000000"/>
          <w:sz w:val="20"/>
          <w:szCs w:val="20"/>
        </w:rPr>
        <w:t>ge positions designed to mitigate the adverse impact of changing market conditions on our statutory capital. We believe this program will continue to preserve the economic value of our variable annuity contracts and better protect our target variable annui</w:t>
      </w:r>
      <w:r>
        <w:rPr>
          <w:rFonts w:eastAsia="Times New Roman"/>
          <w:color w:val="000000"/>
          <w:sz w:val="20"/>
          <w:szCs w:val="20"/>
        </w:rPr>
        <w:t>ty asset level. However, these static hedge positions increase the size of our derivative positions and may result in higher net income volatility on a period-over-period basis.</w:t>
      </w:r>
    </w:p>
    <w:p w:rsidR="00000000" w:rsidRDefault="005B0BC3">
      <w:pPr>
        <w:ind w:firstLine="360"/>
        <w:divId w:val="850873887"/>
        <w:rPr>
          <w:rFonts w:eastAsia="Times New Roman"/>
        </w:rPr>
      </w:pPr>
      <w:r>
        <w:rPr>
          <w:rFonts w:eastAsia="Times New Roman"/>
          <w:color w:val="000000"/>
          <w:sz w:val="20"/>
          <w:szCs w:val="20"/>
        </w:rPr>
        <w:t>Due to the impacts on our net income of equity market and interest rate moveme</w:t>
      </w:r>
      <w:r>
        <w:rPr>
          <w:rFonts w:eastAsia="Times New Roman"/>
          <w:color w:val="000000"/>
          <w:sz w:val="20"/>
          <w:szCs w:val="20"/>
        </w:rPr>
        <w:t>nts and other items that are not part of the underlying profitability drivers of our business, we evaluate and manage our business performance using Non-GAAP Operating Earnings, a non-GAAP financial measure that is intended to remove these impacts from our</w:t>
      </w:r>
      <w:r>
        <w:rPr>
          <w:rFonts w:eastAsia="Times New Roman"/>
          <w:color w:val="000000"/>
          <w:sz w:val="20"/>
          <w:szCs w:val="20"/>
        </w:rPr>
        <w:t xml:space="preserve"> results. See “—Key Operating Measures—Non-GAAP Operating Earnings.”</w:t>
      </w:r>
    </w:p>
    <w:p w:rsidR="00000000" w:rsidRDefault="005B0BC3">
      <w:pPr>
        <w:divId w:val="511798113"/>
        <w:rPr>
          <w:rFonts w:eastAsia="Times New Roman"/>
        </w:rPr>
      </w:pPr>
      <w:r>
        <w:rPr>
          <w:rFonts w:eastAsia="Times New Roman"/>
          <w:b/>
          <w:bCs/>
          <w:color w:val="000000"/>
          <w:sz w:val="20"/>
          <w:szCs w:val="20"/>
        </w:rPr>
        <w:t xml:space="preserve">Significant Factors Impacting Our Results </w:t>
      </w:r>
    </w:p>
    <w:p w:rsidR="00000000" w:rsidRDefault="005B0BC3">
      <w:pPr>
        <w:ind w:firstLine="360"/>
        <w:divId w:val="206377920"/>
        <w:rPr>
          <w:rFonts w:eastAsia="Times New Roman"/>
        </w:rPr>
      </w:pPr>
      <w:r>
        <w:rPr>
          <w:rFonts w:eastAsia="Times New Roman"/>
          <w:color w:val="000000"/>
          <w:sz w:val="20"/>
          <w:szCs w:val="20"/>
        </w:rPr>
        <w:t xml:space="preserve">The following significant factors have impacted, and may in the future impact, our financial condition, results of operations or cash flows. </w:t>
      </w:r>
    </w:p>
    <w:p w:rsidR="00000000" w:rsidRDefault="005B0BC3">
      <w:pPr>
        <w:jc w:val="both"/>
        <w:divId w:val="978997730"/>
        <w:rPr>
          <w:rFonts w:eastAsia="Times New Roman"/>
        </w:rPr>
      </w:pPr>
      <w:r>
        <w:rPr>
          <w:rFonts w:eastAsia="Times New Roman"/>
          <w:b/>
          <w:bCs/>
          <w:i/>
          <w:iCs/>
          <w:color w:val="000000"/>
          <w:sz w:val="20"/>
          <w:szCs w:val="20"/>
        </w:rPr>
        <w:t>Im</w:t>
      </w:r>
      <w:r>
        <w:rPr>
          <w:rFonts w:eastAsia="Times New Roman"/>
          <w:b/>
          <w:bCs/>
          <w:i/>
          <w:iCs/>
          <w:color w:val="000000"/>
          <w:sz w:val="20"/>
          <w:szCs w:val="20"/>
        </w:rPr>
        <w:t xml:space="preserve">pact of Hedging and GMxB Reinsurance on Results </w:t>
      </w:r>
    </w:p>
    <w:p w:rsidR="00000000" w:rsidRDefault="005B0BC3">
      <w:pPr>
        <w:ind w:firstLine="360"/>
        <w:divId w:val="1896505864"/>
        <w:rPr>
          <w:rFonts w:eastAsia="Times New Roman"/>
        </w:rPr>
      </w:pPr>
      <w:r>
        <w:rPr>
          <w:rFonts w:eastAsia="Times New Roman"/>
          <w:color w:val="000000"/>
          <w:sz w:val="20"/>
          <w:szCs w:val="20"/>
        </w:rPr>
        <w:t>We have offered and continue to offer variable annuity products with GMxB features. The future claims exposure on these features is sensitive to movements in the equity markets and interest rates. Accordingl</w:t>
      </w:r>
      <w:r>
        <w:rPr>
          <w:rFonts w:eastAsia="Times New Roman"/>
          <w:color w:val="000000"/>
          <w:sz w:val="20"/>
          <w:szCs w:val="20"/>
        </w:rPr>
        <w:t xml:space="preserve">y, we have implemented hedging and reinsurance programs designed to mitigate the economic exposure to us from these features due to equity market and interest rate movements. These programs include: </w:t>
      </w:r>
    </w:p>
    <w:p w:rsidR="00000000" w:rsidRDefault="005B0BC3">
      <w:pPr>
        <w:ind w:hanging="360"/>
        <w:jc w:val="both"/>
        <w:divId w:val="1913813354"/>
        <w:rPr>
          <w:rFonts w:eastAsia="Times New Roman"/>
        </w:rPr>
      </w:pPr>
      <w:r>
        <w:rPr>
          <w:rFonts w:eastAsia="Times New Roman"/>
          <w:color w:val="000000"/>
          <w:sz w:val="20"/>
          <w:szCs w:val="20"/>
        </w:rPr>
        <w:t>•</w:t>
      </w:r>
      <w:r>
        <w:rPr>
          <w:rFonts w:eastAsia="Times New Roman"/>
          <w:i/>
          <w:iCs/>
          <w:color w:val="000000"/>
          <w:sz w:val="20"/>
          <w:szCs w:val="20"/>
        </w:rPr>
        <w:t xml:space="preserve">Variable annuity hedging programs. </w:t>
      </w:r>
      <w:r>
        <w:rPr>
          <w:rFonts w:eastAsia="Times New Roman"/>
          <w:color w:val="000000"/>
          <w:sz w:val="20"/>
          <w:szCs w:val="20"/>
        </w:rPr>
        <w:t>We use a dynamic hedging program (within this program, generally, we reevaluate our economic exposure at least daily and rebalance our hedge positions accordingly) to mitigate certain risks associated with the GMxB features that are embedded in our liabili</w:t>
      </w:r>
      <w:r>
        <w:rPr>
          <w:rFonts w:eastAsia="Times New Roman"/>
          <w:color w:val="000000"/>
          <w:sz w:val="20"/>
          <w:szCs w:val="20"/>
        </w:rPr>
        <w:t xml:space="preserve">ties for our variable annuity products. This program utilizes various derivative instruments that are managed in an effort to reduce the economic impact of unfavorable changes in GMxB features’ exposures attributable to movements in the equity markets and </w:t>
      </w:r>
      <w:r>
        <w:rPr>
          <w:rFonts w:eastAsia="Times New Roman"/>
          <w:color w:val="000000"/>
          <w:sz w:val="20"/>
          <w:szCs w:val="20"/>
        </w:rPr>
        <w:t>interest rates. Although this program is designed to provide a measure of economic protection against the impact of adverse market conditions, it does not qualify for hedge accounting treatment. Accordingly, changes in value of the derivatives will be reco</w:t>
      </w:r>
      <w:r>
        <w:rPr>
          <w:rFonts w:eastAsia="Times New Roman"/>
          <w:color w:val="000000"/>
          <w:sz w:val="20"/>
          <w:szCs w:val="20"/>
        </w:rPr>
        <w:t xml:space="preserve">gnized in the period in which they occur with offsetting changes in reserves partially recognized in the current period, resulting in net income volatility. In addition to our dynamic hedging program, we have a hedging program using static hedge positions </w:t>
      </w:r>
      <w:r>
        <w:rPr>
          <w:rFonts w:eastAsia="Times New Roman"/>
          <w:color w:val="000000"/>
          <w:sz w:val="20"/>
          <w:szCs w:val="20"/>
        </w:rPr>
        <w:t xml:space="preserve">(derivative positions intended to be HTM with less frequent re-balancing) to protect our </w:t>
      </w:r>
    </w:p>
    <w:p w:rsidR="00000000" w:rsidRDefault="005B0BC3">
      <w:pPr>
        <w:jc w:val="center"/>
        <w:divId w:val="2114663936"/>
        <w:rPr>
          <w:rFonts w:eastAsia="Times New Roman"/>
        </w:rPr>
      </w:pPr>
      <w:r>
        <w:rPr>
          <w:rFonts w:eastAsia="Times New Roman"/>
          <w:color w:val="000000"/>
          <w:sz w:val="20"/>
          <w:szCs w:val="20"/>
        </w:rPr>
        <w:t>74</w:t>
      </w:r>
    </w:p>
    <w:p w:rsidR="00000000" w:rsidRDefault="005B0BC3">
      <w:pPr>
        <w:rPr>
          <w:rFonts w:eastAsia="Times New Roman"/>
        </w:rPr>
      </w:pPr>
      <w:r>
        <w:rPr>
          <w:rFonts w:eastAsia="Times New Roman"/>
        </w:rPr>
        <w:pict>
          <v:rect id="_x0000_i1112" style="width:0;height:1.5pt" o:hralign="center" o:hrstd="t" o:hr="t" fillcolor="#a0a0a0" stroked="f"/>
        </w:pict>
      </w:r>
    </w:p>
    <w:p w:rsidR="00000000" w:rsidRDefault="005B0BC3">
      <w:pPr>
        <w:divId w:val="1491556441"/>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jc w:val="both"/>
        <w:divId w:val="69081045"/>
        <w:rPr>
          <w:rFonts w:eastAsia="Times New Roman"/>
        </w:rPr>
      </w:pPr>
      <w:r>
        <w:rPr>
          <w:rFonts w:eastAsia="Times New Roman"/>
          <w:color w:val="000000"/>
          <w:sz w:val="20"/>
          <w:szCs w:val="20"/>
        </w:rPr>
        <w:t>statutory capital against stress scenarios. This</w:t>
      </w:r>
      <w:r>
        <w:rPr>
          <w:rFonts w:eastAsia="Times New Roman"/>
          <w:color w:val="000000"/>
          <w:sz w:val="20"/>
          <w:szCs w:val="20"/>
        </w:rPr>
        <w:t xml:space="preserve"> program in addition to our dynamic hedge program has increased the size of our derivative positions, resulting in an increase in net income volatility. The impacts are most pronounced for variable annuity products in our Individual Retirement segment. </w:t>
      </w:r>
    </w:p>
    <w:p w:rsidR="00000000" w:rsidRDefault="005B0BC3">
      <w:pPr>
        <w:ind w:hanging="450"/>
        <w:jc w:val="both"/>
        <w:divId w:val="1274289402"/>
        <w:rPr>
          <w:rFonts w:eastAsia="Times New Roman"/>
        </w:rPr>
      </w:pPr>
      <w:r>
        <w:rPr>
          <w:rFonts w:eastAsia="Times New Roman"/>
          <w:color w:val="000000"/>
          <w:sz w:val="20"/>
          <w:szCs w:val="20"/>
        </w:rPr>
        <w:t>•</w:t>
      </w:r>
      <w:r>
        <w:rPr>
          <w:rFonts w:eastAsia="Times New Roman"/>
          <w:color w:val="000000"/>
          <w:sz w:val="20"/>
          <w:szCs w:val="20"/>
        </w:rPr>
        <w:t>GMxB reinsurance contracts. Historically, GMIB reinsurance contracts were used to cede to non-affiliated reinsurers a portion of our exposure to variable annuity products that offer a GMIB feature. We account for the GMIB reinsurance contracts as derivativ</w:t>
      </w:r>
      <w:r>
        <w:rPr>
          <w:rFonts w:eastAsia="Times New Roman"/>
          <w:color w:val="000000"/>
          <w:sz w:val="20"/>
          <w:szCs w:val="20"/>
        </w:rPr>
        <w:t>es and report them at fair value. Gross GMIB reserves are calculated on the basis of assumptions related to projected benefits and related contract charges over the lives of the contracts. Accordingly, our gross reserves will not immediately reflect the of</w:t>
      </w:r>
      <w:r>
        <w:rPr>
          <w:rFonts w:eastAsia="Times New Roman"/>
          <w:color w:val="000000"/>
          <w:sz w:val="20"/>
          <w:szCs w:val="20"/>
        </w:rPr>
        <w:t>fsetting impact on future claims exposure resulting from the same capital market or interest rate fluctuations that cause gains or losses on the fair value of the GMIB reinsurance contracts. Because changes in the fair value of the GMIB reinsurance contrac</w:t>
      </w:r>
      <w:r>
        <w:rPr>
          <w:rFonts w:eastAsia="Times New Roman"/>
          <w:color w:val="000000"/>
          <w:sz w:val="20"/>
          <w:szCs w:val="20"/>
        </w:rPr>
        <w:t>ts are recorded in the period in which they occur and a majority of the changes in gross reserves for GMIB are recognized over time, net income will be more volatile. In addition, on June 1, 2021, we ceded legacy variable annuity policies sold by Equitable</w:t>
      </w:r>
      <w:r>
        <w:rPr>
          <w:rFonts w:eastAsia="Times New Roman"/>
          <w:color w:val="000000"/>
          <w:sz w:val="20"/>
          <w:szCs w:val="20"/>
        </w:rPr>
        <w:t xml:space="preserve"> Financial between 2006-2008 (the “Block”), comprised of non-New York “Accumulator” policies containing fixed rate GMIB and/or GMDB guarantees. As this contract provides full risk transfer and thus has the same risk attributes as the underlying direct cont</w:t>
      </w:r>
      <w:r>
        <w:rPr>
          <w:rFonts w:eastAsia="Times New Roman"/>
          <w:color w:val="000000"/>
          <w:sz w:val="20"/>
          <w:szCs w:val="20"/>
        </w:rPr>
        <w:t xml:space="preserve">racts, the benefits of this treaty are accounted for in the same manner as the underlying gross reserves. </w:t>
      </w:r>
    </w:p>
    <w:p w:rsidR="00000000" w:rsidRDefault="005B0BC3">
      <w:pPr>
        <w:jc w:val="both"/>
        <w:divId w:val="1036544005"/>
        <w:rPr>
          <w:rFonts w:eastAsia="Times New Roman"/>
        </w:rPr>
      </w:pPr>
      <w:r>
        <w:rPr>
          <w:rFonts w:eastAsia="Times New Roman"/>
          <w:b/>
          <w:bCs/>
          <w:i/>
          <w:iCs/>
          <w:color w:val="000000"/>
          <w:sz w:val="20"/>
          <w:szCs w:val="20"/>
        </w:rPr>
        <w:t xml:space="preserve">Effect of Assumption Updates on Operating Results </w:t>
      </w:r>
    </w:p>
    <w:p w:rsidR="00000000" w:rsidRDefault="005B0BC3">
      <w:pPr>
        <w:ind w:firstLine="360"/>
        <w:divId w:val="737551750"/>
        <w:rPr>
          <w:rFonts w:eastAsia="Times New Roman"/>
        </w:rPr>
      </w:pPr>
      <w:r>
        <w:rPr>
          <w:rFonts w:eastAsia="Times New Roman"/>
          <w:color w:val="000000"/>
          <w:sz w:val="20"/>
          <w:szCs w:val="20"/>
        </w:rPr>
        <w:t xml:space="preserve">During the third quarter of each year, we conduct our annual review of the assumptions underlying </w:t>
      </w:r>
      <w:r>
        <w:rPr>
          <w:rFonts w:eastAsia="Times New Roman"/>
          <w:color w:val="000000"/>
          <w:sz w:val="20"/>
          <w:szCs w:val="20"/>
        </w:rPr>
        <w:t>the valuation of DAC, deferred sales inducement assets, unearned revenue liabilities, liabilities for future policyholder benefits and embedded derivatives for our Individual Retirement, Group Retirement, and Protection Solution segments (assumption review</w:t>
      </w:r>
      <w:r>
        <w:rPr>
          <w:rFonts w:eastAsia="Times New Roman"/>
          <w:color w:val="000000"/>
          <w:sz w:val="20"/>
          <w:szCs w:val="20"/>
        </w:rPr>
        <w:t>s are not relevant for the Investment Management and Research segment). Assumptions are based on a combination of Company experience, industry experience, management actions and expert judgment and reflect our best estimate as of the date of the applicable</w:t>
      </w:r>
      <w:r>
        <w:rPr>
          <w:rFonts w:eastAsia="Times New Roman"/>
          <w:color w:val="000000"/>
          <w:sz w:val="20"/>
          <w:szCs w:val="20"/>
        </w:rPr>
        <w:t xml:space="preserve"> financial statements. </w:t>
      </w:r>
    </w:p>
    <w:p w:rsidR="00000000" w:rsidRDefault="005B0BC3">
      <w:pPr>
        <w:ind w:firstLine="360"/>
        <w:divId w:val="218443257"/>
        <w:rPr>
          <w:rFonts w:eastAsia="Times New Roman"/>
        </w:rPr>
      </w:pPr>
      <w:r>
        <w:rPr>
          <w:rFonts w:eastAsia="Times New Roman"/>
          <w:color w:val="000000"/>
          <w:sz w:val="20"/>
          <w:szCs w:val="20"/>
        </w:rPr>
        <w:t>Most of the variable annuity products, variable universal life insurance and universal life insurance products we offer maintain policyholder deposits that are reported as liabilities and classified within either Separate Accounts l</w:t>
      </w:r>
      <w:r>
        <w:rPr>
          <w:rFonts w:eastAsia="Times New Roman"/>
          <w:color w:val="000000"/>
          <w:sz w:val="20"/>
          <w:szCs w:val="20"/>
        </w:rPr>
        <w:t>iabilities or policyholder account balances. Our products and riders also impact liabilities for future policyholder benefits and unearned revenues and assets for DAC and DSI. The valuation of these assets and liabilities (other than deposits) are based on</w:t>
      </w:r>
      <w:r>
        <w:rPr>
          <w:rFonts w:eastAsia="Times New Roman"/>
          <w:color w:val="000000"/>
          <w:sz w:val="20"/>
          <w:szCs w:val="20"/>
        </w:rPr>
        <w:t xml:space="preserve"> differing accounting methods depending on the product, each of which requires numerous assumptions and considerable judgment. The accounting guidance applied in the valuation of these assets and liabilities includes, but is not limited to, the following: </w:t>
      </w:r>
      <w:r>
        <w:rPr>
          <w:rFonts w:eastAsia="Times New Roman"/>
          <w:color w:val="000000"/>
          <w:sz w:val="20"/>
          <w:szCs w:val="20"/>
        </w:rPr>
        <w:t xml:space="preserve">(i) traditional life insurance products for which assumptions are locked in at inception; (ii) universal life insurance and variable life insurance secondary guarantees for which benefit liabilities are determined by estimating the expected value of death </w:t>
      </w:r>
      <w:r>
        <w:rPr>
          <w:rFonts w:eastAsia="Times New Roman"/>
          <w:color w:val="000000"/>
          <w:sz w:val="20"/>
          <w:szCs w:val="20"/>
        </w:rPr>
        <w:t>benefits payable when the account balance is projected to be zero and recognizing those benefits ratably over the accumulation period based on total expected assessments; (iii) certain product guarantees for which benefit liabilities are accrued over the l</w:t>
      </w:r>
      <w:r>
        <w:rPr>
          <w:rFonts w:eastAsia="Times New Roman"/>
          <w:color w:val="000000"/>
          <w:sz w:val="20"/>
          <w:szCs w:val="20"/>
        </w:rPr>
        <w:t xml:space="preserve">ife of the contract in proportion to actual and future expected policy assessments; and (iv) certain product guarantees reported as embedded derivatives at fair value. </w:t>
      </w:r>
    </w:p>
    <w:p w:rsidR="00000000" w:rsidRDefault="005B0BC3">
      <w:pPr>
        <w:ind w:firstLine="360"/>
        <w:divId w:val="1268850582"/>
        <w:rPr>
          <w:rFonts w:eastAsia="Times New Roman"/>
        </w:rPr>
      </w:pPr>
      <w:r>
        <w:rPr>
          <w:rFonts w:eastAsia="Times New Roman"/>
          <w:color w:val="000000"/>
          <w:sz w:val="20"/>
          <w:szCs w:val="20"/>
        </w:rPr>
        <w:t>For further details of our accounting policies and related judgments pertaining to assu</w:t>
      </w:r>
      <w:r>
        <w:rPr>
          <w:rFonts w:eastAsia="Times New Roman"/>
          <w:color w:val="000000"/>
          <w:sz w:val="20"/>
          <w:szCs w:val="20"/>
        </w:rPr>
        <w:t>mption updates, see Note 2 of the Notes to these Consolidated Financial Statements and “—Summary of Critical Accounting Estimates—Liability for Future Policy Benefits”.</w:t>
      </w:r>
    </w:p>
    <w:p w:rsidR="00000000" w:rsidRDefault="005B0BC3">
      <w:pPr>
        <w:jc w:val="both"/>
        <w:divId w:val="1216238744"/>
        <w:rPr>
          <w:rFonts w:eastAsia="Times New Roman"/>
        </w:rPr>
      </w:pPr>
      <w:r>
        <w:rPr>
          <w:rFonts w:eastAsia="Times New Roman"/>
          <w:b/>
          <w:bCs/>
          <w:i/>
          <w:iCs/>
          <w:color w:val="000000"/>
          <w:sz w:val="20"/>
          <w:szCs w:val="20"/>
        </w:rPr>
        <w:t>Assumption Updates and Model Changes</w:t>
      </w:r>
    </w:p>
    <w:p w:rsidR="00000000" w:rsidRDefault="005B0BC3">
      <w:pPr>
        <w:ind w:firstLine="360"/>
        <w:divId w:val="2007515585"/>
        <w:rPr>
          <w:rFonts w:eastAsia="Times New Roman"/>
        </w:rPr>
      </w:pPr>
      <w:r>
        <w:rPr>
          <w:rFonts w:eastAsia="Times New Roman"/>
          <w:color w:val="000000"/>
          <w:sz w:val="20"/>
          <w:szCs w:val="20"/>
        </w:rPr>
        <w:t>We conduct our annual review of our assumptions an</w:t>
      </w:r>
      <w:r>
        <w:rPr>
          <w:rFonts w:eastAsia="Times New Roman"/>
          <w:color w:val="000000"/>
          <w:sz w:val="20"/>
          <w:szCs w:val="20"/>
        </w:rPr>
        <w:t>d models during the third quarter of each year. We also update our assumptions as needed in the event we become aware of economic conditions or events that could require a change in our assumptions that we believe may have a significant impact to the carry</w:t>
      </w:r>
      <w:r>
        <w:rPr>
          <w:rFonts w:eastAsia="Times New Roman"/>
          <w:color w:val="000000"/>
          <w:sz w:val="20"/>
          <w:szCs w:val="20"/>
        </w:rPr>
        <w:t xml:space="preserve">ing value of product liabilities and assets and consequently materially impact our earnings in the period of the change. </w:t>
      </w:r>
    </w:p>
    <w:p w:rsidR="00000000" w:rsidRDefault="005B0BC3">
      <w:pPr>
        <w:divId w:val="615135976"/>
        <w:rPr>
          <w:rFonts w:eastAsia="Times New Roman"/>
        </w:rPr>
      </w:pPr>
      <w:r>
        <w:rPr>
          <w:rFonts w:eastAsia="Times New Roman"/>
          <w:i/>
          <w:iCs/>
          <w:color w:val="000000"/>
          <w:sz w:val="20"/>
          <w:szCs w:val="20"/>
          <w:u w:val="single"/>
        </w:rPr>
        <w:t>Impact of Assumption Updates and Model Changes on Income from Continuing Operations before income taxes and Net income (loss)</w:t>
      </w:r>
    </w:p>
    <w:p w:rsidR="00000000" w:rsidRDefault="005B0BC3">
      <w:pPr>
        <w:ind w:firstLine="360"/>
        <w:divId w:val="1979340214"/>
        <w:rPr>
          <w:rFonts w:eastAsia="Times New Roman"/>
        </w:rPr>
      </w:pPr>
      <w:r>
        <w:rPr>
          <w:rFonts w:eastAsia="Times New Roman"/>
          <w:color w:val="000000"/>
          <w:sz w:val="20"/>
          <w:szCs w:val="20"/>
        </w:rPr>
        <w:t>The tabl</w:t>
      </w:r>
      <w:r>
        <w:rPr>
          <w:rFonts w:eastAsia="Times New Roman"/>
          <w:color w:val="000000"/>
          <w:sz w:val="20"/>
          <w:szCs w:val="20"/>
        </w:rPr>
        <w:t>e below presents the impact of our actuarial assumption update during 2021, 2020 and 2019 to our income (loss) from continuing operations, before income taxes and net income (loss).</w:t>
      </w:r>
    </w:p>
    <w:p w:rsidR="00000000" w:rsidRDefault="005B0BC3">
      <w:pPr>
        <w:jc w:val="center"/>
        <w:divId w:val="1365712803"/>
        <w:rPr>
          <w:rFonts w:eastAsia="Times New Roman"/>
        </w:rPr>
      </w:pPr>
      <w:r>
        <w:rPr>
          <w:rFonts w:eastAsia="Times New Roman"/>
          <w:color w:val="000000"/>
          <w:sz w:val="20"/>
          <w:szCs w:val="20"/>
        </w:rPr>
        <w:t>75</w:t>
      </w:r>
    </w:p>
    <w:p w:rsidR="00000000" w:rsidRDefault="005B0BC3">
      <w:pPr>
        <w:rPr>
          <w:rFonts w:eastAsia="Times New Roman"/>
        </w:rPr>
      </w:pPr>
      <w:r>
        <w:rPr>
          <w:rFonts w:eastAsia="Times New Roman"/>
        </w:rPr>
        <w:pict>
          <v:rect id="_x0000_i1113" style="width:0;height:1.5pt" o:hralign="center" o:hrstd="t" o:hr="t" fillcolor="#a0a0a0" stroked="f"/>
        </w:pict>
      </w:r>
    </w:p>
    <w:p w:rsidR="00000000" w:rsidRDefault="005B0BC3">
      <w:pPr>
        <w:divId w:val="1224095385"/>
        <w:rPr>
          <w:rFonts w:eastAsia="Times New Roman"/>
        </w:rPr>
      </w:pPr>
      <w:hyperlink w:anchor="i2ac35847634046b3a89f93d9b422e8f5_421" w:history="1">
        <w:r>
          <w:rPr>
            <w:rStyle w:val="a3"/>
            <w:rFonts w:eastAsia="Times New Roman"/>
            <w:b/>
            <w:bCs/>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8"/>
        <w:gridCol w:w="5304"/>
        <w:gridCol w:w="37"/>
        <w:gridCol w:w="36"/>
        <w:gridCol w:w="36"/>
        <w:gridCol w:w="36"/>
        <w:gridCol w:w="36"/>
        <w:gridCol w:w="120"/>
        <w:gridCol w:w="699"/>
        <w:gridCol w:w="36"/>
        <w:gridCol w:w="36"/>
        <w:gridCol w:w="36"/>
        <w:gridCol w:w="36"/>
        <w:gridCol w:w="120"/>
        <w:gridCol w:w="700"/>
        <w:gridCol w:w="36"/>
        <w:gridCol w:w="36"/>
        <w:gridCol w:w="36"/>
        <w:gridCol w:w="36"/>
        <w:gridCol w:w="120"/>
        <w:gridCol w:w="700"/>
        <w:gridCol w:w="36"/>
      </w:tblGrid>
      <w:tr w:rsidR="00000000">
        <w:trPr>
          <w:divId w:val="1412502349"/>
        </w:trPr>
        <w:tc>
          <w:tcPr>
            <w:tcW w:w="50" w:type="pct"/>
            <w:vAlign w:val="center"/>
            <w:hideMark/>
          </w:tcPr>
          <w:p w:rsidR="00000000" w:rsidRDefault="005B0BC3">
            <w:pPr>
              <w:rPr>
                <w:rFonts w:eastAsia="Times New Roman"/>
              </w:rPr>
            </w:pPr>
          </w:p>
        </w:tc>
        <w:tc>
          <w:tcPr>
            <w:tcW w:w="330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7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7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7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412502349"/>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412502349"/>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1412502349"/>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1412502349"/>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Impact of assumption update on Net income (loss):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412502349"/>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divId w:val="1204440390"/>
              <w:rPr>
                <w:rFonts w:eastAsia="Times New Roman"/>
              </w:rPr>
            </w:pPr>
            <w:r>
              <w:rPr>
                <w:rFonts w:eastAsia="Times New Roman"/>
                <w:color w:val="000000"/>
                <w:sz w:val="20"/>
                <w:szCs w:val="20"/>
              </w:rPr>
              <w:t>Variable annuity product features related assumption update</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(91)</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(1,531)</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(1,467)</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412502349"/>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divId w:val="139662310"/>
              <w:rPr>
                <w:rFonts w:eastAsia="Times New Roman"/>
              </w:rPr>
            </w:pPr>
            <w:r>
              <w:rPr>
                <w:rFonts w:eastAsia="Times New Roman"/>
                <w:color w:val="000000"/>
                <w:sz w:val="20"/>
                <w:szCs w:val="20"/>
              </w:rPr>
              <w:t>Assumption updates for other business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(17)</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(1,060)</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412502349"/>
        </w:trPr>
        <w:tc>
          <w:tcPr>
            <w:tcW w:w="0" w:type="auto"/>
            <w:gridSpan w:val="3"/>
            <w:shd w:val="clear" w:color="auto" w:fill="CCEE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Impact of assumption updates on Income (loss) from continuing operations, before income tax</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(108)</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(2,591)</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(1,391)</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412502349"/>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Income tax benefit on assumption update</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544 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292 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412502349"/>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divId w:val="2120490566"/>
              <w:rPr>
                <w:rFonts w:eastAsia="Times New Roman"/>
              </w:rPr>
            </w:pPr>
            <w:r>
              <w:rPr>
                <w:rFonts w:eastAsia="Times New Roman"/>
                <w:color w:val="000000"/>
                <w:sz w:val="20"/>
                <w:szCs w:val="20"/>
              </w:rPr>
              <w:t>Net income (loss) impact of assumption update</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(85)</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(2,047)</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(1,099)</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divId w:val="2051373155"/>
        <w:rPr>
          <w:rFonts w:eastAsia="Times New Roman"/>
        </w:rPr>
      </w:pPr>
      <w:r>
        <w:rPr>
          <w:rFonts w:eastAsia="Times New Roman"/>
          <w:b/>
          <w:bCs/>
          <w:color w:val="000000"/>
          <w:sz w:val="20"/>
          <w:szCs w:val="20"/>
        </w:rPr>
        <w:t>2021 Assumption Updates</w:t>
      </w:r>
    </w:p>
    <w:p w:rsidR="00000000" w:rsidRDefault="005B0BC3">
      <w:pPr>
        <w:ind w:firstLine="360"/>
        <w:divId w:val="415053932"/>
        <w:rPr>
          <w:rFonts w:eastAsia="Times New Roman"/>
        </w:rPr>
      </w:pPr>
      <w:r>
        <w:rPr>
          <w:rFonts w:eastAsia="Times New Roman"/>
          <w:color w:val="000000"/>
          <w:sz w:val="20"/>
          <w:szCs w:val="20"/>
        </w:rPr>
        <w:t>The impac</w:t>
      </w:r>
      <w:r>
        <w:rPr>
          <w:rFonts w:eastAsia="Times New Roman"/>
          <w:color w:val="000000"/>
          <w:sz w:val="20"/>
          <w:szCs w:val="20"/>
        </w:rPr>
        <w:t>t of the assumption update during 2021 was a decrease of $108 million to income (loss) from continuing operations, before income taxes and a decrease to net income (loss) of $85 million. As part of this annual update completed as of September 30, 2021, the</w:t>
      </w:r>
      <w:r>
        <w:rPr>
          <w:rFonts w:eastAsia="Times New Roman"/>
          <w:color w:val="000000"/>
          <w:sz w:val="20"/>
          <w:szCs w:val="20"/>
        </w:rPr>
        <w:t xml:space="preserve"> reference interest rate utilized in our GAAP fair value calculations was updated from the LIBOR swap curve to the US Treasury curve, which represents a reasonable proxy of the cost of funding the derivative positions backing our GMxB liabilities. Concurre</w:t>
      </w:r>
      <w:r>
        <w:rPr>
          <w:rFonts w:eastAsia="Times New Roman"/>
          <w:color w:val="000000"/>
          <w:sz w:val="20"/>
          <w:szCs w:val="20"/>
        </w:rPr>
        <w:t>ntly, our GAAP fair value liability risk margins were increased. which when considered with the change from LIBOR, resulted in an immaterial impact to overall valuation as our view regarding market participant pricing of our guarantees has not changed at t</w:t>
      </w:r>
      <w:r>
        <w:rPr>
          <w:rFonts w:eastAsia="Times New Roman"/>
          <w:color w:val="000000"/>
          <w:sz w:val="20"/>
          <w:szCs w:val="20"/>
        </w:rPr>
        <w:t xml:space="preserve">he time of this update. </w:t>
      </w:r>
    </w:p>
    <w:p w:rsidR="00000000" w:rsidRDefault="005B0BC3">
      <w:pPr>
        <w:ind w:firstLine="360"/>
        <w:divId w:val="343702628"/>
        <w:rPr>
          <w:rFonts w:eastAsia="Times New Roman"/>
        </w:rPr>
      </w:pPr>
      <w:r>
        <w:rPr>
          <w:rFonts w:eastAsia="Times New Roman"/>
          <w:color w:val="000000"/>
          <w:sz w:val="20"/>
          <w:szCs w:val="20"/>
        </w:rPr>
        <w:t>The net impact of this assumption update on income (loss) from continuing operations, before income taxes of $108 million consisted of a decrease in policy charges and fee income of $28 million, a decrease in policyholders’ benefit</w:t>
      </w:r>
      <w:r>
        <w:rPr>
          <w:rFonts w:eastAsia="Times New Roman"/>
          <w:color w:val="000000"/>
          <w:sz w:val="20"/>
          <w:szCs w:val="20"/>
        </w:rPr>
        <w:t>s of $62 million, an increase in net derivative losses of $200 million and a decrease in the amortization of DAC of $58 million.</w:t>
      </w:r>
    </w:p>
    <w:p w:rsidR="00000000" w:rsidRDefault="005B0BC3">
      <w:pPr>
        <w:divId w:val="790592372"/>
        <w:rPr>
          <w:rFonts w:eastAsia="Times New Roman"/>
        </w:rPr>
      </w:pPr>
      <w:r>
        <w:rPr>
          <w:rFonts w:eastAsia="Times New Roman"/>
          <w:b/>
          <w:bCs/>
          <w:color w:val="000000"/>
          <w:sz w:val="20"/>
          <w:szCs w:val="20"/>
        </w:rPr>
        <w:t>2020 Assumption Updates</w:t>
      </w:r>
      <w:r>
        <w:rPr>
          <w:rFonts w:eastAsia="Times New Roman"/>
          <w:color w:val="000000"/>
          <w:sz w:val="20"/>
          <w:szCs w:val="20"/>
        </w:rPr>
        <w:t xml:space="preserve"> </w:t>
      </w:r>
    </w:p>
    <w:p w:rsidR="00000000" w:rsidRDefault="005B0BC3">
      <w:pPr>
        <w:ind w:firstLine="360"/>
        <w:divId w:val="960184902"/>
        <w:rPr>
          <w:rFonts w:eastAsia="Times New Roman"/>
        </w:rPr>
      </w:pPr>
      <w:r>
        <w:rPr>
          <w:rFonts w:eastAsia="Times New Roman"/>
          <w:color w:val="000000"/>
          <w:sz w:val="20"/>
          <w:szCs w:val="20"/>
        </w:rPr>
        <w:t>Our annual review in 2020 resulted in the removal of the credit risk adjustment from our fair value sc</w:t>
      </w:r>
      <w:r>
        <w:rPr>
          <w:rFonts w:eastAsia="Times New Roman"/>
          <w:color w:val="000000"/>
          <w:sz w:val="20"/>
          <w:szCs w:val="20"/>
        </w:rPr>
        <w:t>enario calibration to reflect our revised view of market participant practices, offset by updates to our mortality and policyholder behavior assumptions to reflect emerging experience.</w:t>
      </w:r>
    </w:p>
    <w:p w:rsidR="00000000" w:rsidRDefault="005B0BC3">
      <w:pPr>
        <w:ind w:firstLine="360"/>
        <w:divId w:val="91752241"/>
        <w:rPr>
          <w:rFonts w:eastAsia="Times New Roman"/>
        </w:rPr>
      </w:pPr>
      <w:r>
        <w:rPr>
          <w:rFonts w:eastAsia="Times New Roman"/>
          <w:color w:val="000000"/>
          <w:sz w:val="20"/>
          <w:szCs w:val="20"/>
        </w:rPr>
        <w:t>In 2020, in addition to the annual review, we updated our assumptions i</w:t>
      </w:r>
      <w:r>
        <w:rPr>
          <w:rFonts w:eastAsia="Times New Roman"/>
          <w:color w:val="000000"/>
          <w:sz w:val="20"/>
          <w:szCs w:val="20"/>
        </w:rPr>
        <w:t>n the first quarter due to the extraordinary economic conditions driven by the COVID-19 pandemic. The first quarter update included an update to the interest rate assumption to grade from the current interest rate environment at that time to an ultimate fi</w:t>
      </w:r>
      <w:r>
        <w:rPr>
          <w:rFonts w:eastAsia="Times New Roman"/>
          <w:color w:val="000000"/>
          <w:sz w:val="20"/>
          <w:szCs w:val="20"/>
        </w:rPr>
        <w:t>ve-year historical average over a 10-year period. As such, the 10-year U.S. Treasury yield grades from the current level to an ultimate 5-year average of 2.25%.</w:t>
      </w:r>
    </w:p>
    <w:p w:rsidR="00000000" w:rsidRDefault="005B0BC3">
      <w:pPr>
        <w:ind w:firstLine="360"/>
        <w:divId w:val="1859734419"/>
        <w:rPr>
          <w:rFonts w:eastAsia="Times New Roman"/>
        </w:rPr>
      </w:pPr>
      <w:r>
        <w:rPr>
          <w:rFonts w:eastAsia="Times New Roman"/>
          <w:color w:val="000000"/>
          <w:sz w:val="20"/>
          <w:szCs w:val="20"/>
        </w:rPr>
        <w:t>The low interest rate environment and update to the interest rate assumption caused a loss reco</w:t>
      </w:r>
      <w:r>
        <w:rPr>
          <w:rFonts w:eastAsia="Times New Roman"/>
          <w:color w:val="000000"/>
          <w:sz w:val="20"/>
          <w:szCs w:val="20"/>
        </w:rPr>
        <w:t>gnition event for our life interest-sensitive products, as well as to certain run-off business included in Corporate and Other. This loss recognition event caused an acceleration of DAC amortization on our life interest-sensitive products and an increase i</w:t>
      </w:r>
      <w:r>
        <w:rPr>
          <w:rFonts w:eastAsia="Times New Roman"/>
          <w:color w:val="000000"/>
          <w:sz w:val="20"/>
          <w:szCs w:val="20"/>
        </w:rPr>
        <w:t>n the premium deficiency reserve on the run-off business in the first quarter of 2020.</w:t>
      </w:r>
    </w:p>
    <w:p w:rsidR="00000000" w:rsidRDefault="005B0BC3">
      <w:pPr>
        <w:ind w:firstLine="360"/>
        <w:divId w:val="1390574405"/>
        <w:rPr>
          <w:rFonts w:eastAsia="Times New Roman"/>
        </w:rPr>
      </w:pPr>
      <w:r>
        <w:rPr>
          <w:rFonts w:eastAsia="Times New Roman"/>
          <w:color w:val="000000"/>
          <w:sz w:val="20"/>
          <w:szCs w:val="20"/>
        </w:rPr>
        <w:t>The net impact of assumption changes during 2020 was an increase in policy charges and fee income of $23 million, an increased policyholders’ benefits by $1.6 billion, d</w:t>
      </w:r>
      <w:r>
        <w:rPr>
          <w:rFonts w:eastAsia="Times New Roman"/>
          <w:color w:val="000000"/>
          <w:sz w:val="20"/>
          <w:szCs w:val="20"/>
        </w:rPr>
        <w:t>ecreased interest credited to policyholders’ account balances by $1 million, increased net derivative gains (losses) by $112 million and increased amortization of DAC by $1.1 billion. This resulted in a decrease in income (loss) from operations, before inc</w:t>
      </w:r>
      <w:r>
        <w:rPr>
          <w:rFonts w:eastAsia="Times New Roman"/>
          <w:color w:val="000000"/>
          <w:sz w:val="20"/>
          <w:szCs w:val="20"/>
        </w:rPr>
        <w:t>ome taxes of $2.6 billion and decreased net income (loss) by $2.0 billion. The 2020 impacts related to assumption updates were primarily driven by the first quarter updates.</w:t>
      </w:r>
    </w:p>
    <w:p w:rsidR="00000000" w:rsidRDefault="005B0BC3">
      <w:pPr>
        <w:divId w:val="909927050"/>
        <w:rPr>
          <w:rFonts w:eastAsia="Times New Roman"/>
        </w:rPr>
      </w:pPr>
      <w:r>
        <w:rPr>
          <w:rFonts w:eastAsia="Times New Roman"/>
          <w:b/>
          <w:bCs/>
          <w:color w:val="000000"/>
          <w:sz w:val="20"/>
          <w:szCs w:val="20"/>
        </w:rPr>
        <w:t>2019 Assumption Updates</w:t>
      </w:r>
    </w:p>
    <w:p w:rsidR="00000000" w:rsidRDefault="005B0BC3">
      <w:pPr>
        <w:ind w:firstLine="360"/>
        <w:divId w:val="1771244846"/>
        <w:rPr>
          <w:rFonts w:eastAsia="Times New Roman"/>
        </w:rPr>
      </w:pPr>
      <w:r>
        <w:rPr>
          <w:rFonts w:eastAsia="Times New Roman"/>
          <w:color w:val="000000"/>
          <w:sz w:val="20"/>
          <w:szCs w:val="20"/>
        </w:rPr>
        <w:t>The impact of assumption updates in 2019 was a decrease of</w:t>
      </w:r>
      <w:r>
        <w:rPr>
          <w:rFonts w:eastAsia="Times New Roman"/>
          <w:color w:val="000000"/>
          <w:sz w:val="20"/>
          <w:szCs w:val="20"/>
        </w:rPr>
        <w:t xml:space="preserve"> $1.4 billion to income (loss) from continuing operations, before income taxes and a decrease to net income (loss) of $1.1 billion. This includes a $1.5 billion unfavorable impact on the reserves for our variable annuity product features as a result of unf</w:t>
      </w:r>
      <w:r>
        <w:rPr>
          <w:rFonts w:eastAsia="Times New Roman"/>
          <w:color w:val="000000"/>
          <w:sz w:val="20"/>
          <w:szCs w:val="20"/>
        </w:rPr>
        <w:t>avorable updates to our: (i) interest rate assumptions; and (ii) policyholder behavior, primarily lapse and withdrawal assumptions, further magnified by low interest rates.</w:t>
      </w:r>
    </w:p>
    <w:p w:rsidR="00000000" w:rsidRDefault="005B0BC3">
      <w:pPr>
        <w:ind w:firstLine="360"/>
        <w:divId w:val="387609325"/>
        <w:rPr>
          <w:rFonts w:eastAsia="Times New Roman"/>
        </w:rPr>
      </w:pPr>
      <w:r>
        <w:rPr>
          <w:rFonts w:eastAsia="Times New Roman"/>
          <w:color w:val="000000"/>
          <w:sz w:val="20"/>
          <w:szCs w:val="20"/>
        </w:rPr>
        <w:t xml:space="preserve">The net impact of these assumption updates on income (loss) from continuing operations, before income taxes of $1.4 billion consisted of an increase in policy charges and fee income of $3 million, an increase in policyholders’ benefits of $875 </w:t>
      </w:r>
    </w:p>
    <w:p w:rsidR="00000000" w:rsidRDefault="005B0BC3">
      <w:pPr>
        <w:jc w:val="center"/>
        <w:divId w:val="530218690"/>
        <w:rPr>
          <w:rFonts w:eastAsia="Times New Roman"/>
        </w:rPr>
      </w:pPr>
      <w:r>
        <w:rPr>
          <w:rFonts w:eastAsia="Times New Roman"/>
          <w:color w:val="000000"/>
          <w:sz w:val="20"/>
          <w:szCs w:val="20"/>
        </w:rPr>
        <w:t>76</w:t>
      </w:r>
    </w:p>
    <w:p w:rsidR="00000000" w:rsidRDefault="005B0BC3">
      <w:pPr>
        <w:rPr>
          <w:rFonts w:eastAsia="Times New Roman"/>
        </w:rPr>
      </w:pPr>
      <w:r>
        <w:rPr>
          <w:rFonts w:eastAsia="Times New Roman"/>
        </w:rPr>
        <w:pict>
          <v:rect id="_x0000_i1114" style="width:0;height:1.5pt" o:hralign="center" o:hrstd="t" o:hr="t" fillcolor="#a0a0a0" stroked="f"/>
        </w:pict>
      </w:r>
    </w:p>
    <w:p w:rsidR="00000000" w:rsidRDefault="005B0BC3">
      <w:pPr>
        <w:divId w:val="1411123742"/>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divId w:val="2076470296"/>
        <w:rPr>
          <w:rFonts w:eastAsia="Times New Roman"/>
        </w:rPr>
      </w:pPr>
      <w:r>
        <w:rPr>
          <w:rFonts w:eastAsia="Times New Roman"/>
          <w:color w:val="000000"/>
          <w:sz w:val="20"/>
          <w:szCs w:val="20"/>
        </w:rPr>
        <w:t>million, a decrease in interest credited to policyholders’ account balances of $13 million, a decrease in net derivative gains (losses) of $578 millio</w:t>
      </w:r>
      <w:r>
        <w:rPr>
          <w:rFonts w:eastAsia="Times New Roman"/>
          <w:color w:val="000000"/>
          <w:sz w:val="20"/>
          <w:szCs w:val="20"/>
        </w:rPr>
        <w:t>n and a decrease in the amortization of DAC of $46 million.</w:t>
      </w:r>
    </w:p>
    <w:p w:rsidR="00000000" w:rsidRDefault="005B0BC3">
      <w:pPr>
        <w:divId w:val="2142646246"/>
        <w:rPr>
          <w:rFonts w:eastAsia="Times New Roman"/>
        </w:rPr>
      </w:pPr>
      <w:r>
        <w:rPr>
          <w:rFonts w:eastAsia="Times New Roman"/>
          <w:b/>
          <w:bCs/>
          <w:color w:val="000000"/>
          <w:sz w:val="20"/>
          <w:szCs w:val="20"/>
        </w:rPr>
        <w:t>2021 and 2019 Model Changes</w:t>
      </w:r>
    </w:p>
    <w:p w:rsidR="00000000" w:rsidRDefault="005B0BC3">
      <w:pPr>
        <w:ind w:firstLine="360"/>
        <w:divId w:val="700935060"/>
        <w:rPr>
          <w:rFonts w:eastAsia="Times New Roman"/>
        </w:rPr>
      </w:pPr>
      <w:r>
        <w:rPr>
          <w:rFonts w:eastAsia="Times New Roman"/>
          <w:color w:val="000000"/>
          <w:sz w:val="20"/>
          <w:szCs w:val="20"/>
        </w:rPr>
        <w:t>There was no material impact to our income (loss) from continuing operations, before income taxes or net income (loss) from model changes during 2021 and 2019.</w:t>
      </w:r>
    </w:p>
    <w:p w:rsidR="00000000" w:rsidRDefault="005B0BC3">
      <w:pPr>
        <w:divId w:val="902566349"/>
        <w:rPr>
          <w:rFonts w:eastAsia="Times New Roman"/>
        </w:rPr>
      </w:pPr>
      <w:r>
        <w:rPr>
          <w:rFonts w:eastAsia="Times New Roman"/>
          <w:b/>
          <w:bCs/>
          <w:color w:val="000000"/>
          <w:sz w:val="20"/>
          <w:szCs w:val="20"/>
        </w:rPr>
        <w:t>2020 Mod</w:t>
      </w:r>
      <w:r>
        <w:rPr>
          <w:rFonts w:eastAsia="Times New Roman"/>
          <w:b/>
          <w:bCs/>
          <w:color w:val="000000"/>
          <w:sz w:val="20"/>
          <w:szCs w:val="20"/>
        </w:rPr>
        <w:t>el Changes</w:t>
      </w:r>
    </w:p>
    <w:p w:rsidR="00000000" w:rsidRDefault="005B0BC3">
      <w:pPr>
        <w:ind w:firstLine="360"/>
        <w:divId w:val="1945383882"/>
        <w:rPr>
          <w:rFonts w:eastAsia="Times New Roman"/>
        </w:rPr>
      </w:pPr>
      <w:r>
        <w:rPr>
          <w:rFonts w:eastAsia="Times New Roman"/>
          <w:color w:val="000000"/>
          <w:sz w:val="20"/>
          <w:szCs w:val="20"/>
        </w:rPr>
        <w:t>In the first quarter of 2020, we adopted a new economic scenario generator to calculate the fair value of the GMIB reinsurance contract asset and GMxB derivative features liability, eliminating reliance on AXA for scenario production. The new ec</w:t>
      </w:r>
      <w:r>
        <w:rPr>
          <w:rFonts w:eastAsia="Times New Roman"/>
          <w:color w:val="000000"/>
          <w:sz w:val="20"/>
          <w:szCs w:val="20"/>
        </w:rPr>
        <w:t>onomic scenario generator allows for a tighter calibration of U.S. indices, better reflecting our actual portfolio. The net impact of the new economic scenario generator resulted in an increase in income (loss) from continuing operations, before income tax</w:t>
      </w:r>
      <w:r>
        <w:rPr>
          <w:rFonts w:eastAsia="Times New Roman"/>
          <w:color w:val="000000"/>
          <w:sz w:val="20"/>
          <w:szCs w:val="20"/>
        </w:rPr>
        <w:t>es of $201 million, and an increase to net income (loss) of $159 million for the year ended December 31,2020. There were no other model changes that made a material impact to our income (loss) from continuing operations, before income taxes or net income (</w:t>
      </w:r>
      <w:r>
        <w:rPr>
          <w:rFonts w:eastAsia="Times New Roman"/>
          <w:color w:val="000000"/>
          <w:sz w:val="20"/>
          <w:szCs w:val="20"/>
        </w:rPr>
        <w:t xml:space="preserve">loss). </w:t>
      </w:r>
    </w:p>
    <w:p w:rsidR="00000000" w:rsidRDefault="005B0BC3">
      <w:pPr>
        <w:divId w:val="1775201615"/>
        <w:rPr>
          <w:rFonts w:eastAsia="Times New Roman"/>
        </w:rPr>
      </w:pPr>
      <w:r>
        <w:rPr>
          <w:rFonts w:eastAsia="Times New Roman"/>
          <w:i/>
          <w:iCs/>
          <w:color w:val="000000"/>
          <w:sz w:val="20"/>
          <w:szCs w:val="20"/>
          <w:u w:val="single"/>
        </w:rPr>
        <w:t>Impact of Assumption Updates and Model Changes on Pre-tax Non-GAAP Operating Earnings Adjustments</w:t>
      </w:r>
    </w:p>
    <w:p w:rsidR="00000000" w:rsidRDefault="005B0BC3">
      <w:pPr>
        <w:divId w:val="280381857"/>
        <w:rPr>
          <w:rFonts w:eastAsia="Times New Roman"/>
        </w:rPr>
      </w:pPr>
      <w:r>
        <w:rPr>
          <w:rFonts w:eastAsia="Times New Roman"/>
          <w:color w:val="000000"/>
          <w:sz w:val="20"/>
          <w:szCs w:val="20"/>
        </w:rPr>
        <w:t>The table below presents the impact on pre-tax Non-GAAP Operating Earnings of our actuarial assumption updates during 2021, 2020 and 2019 by segment a</w:t>
      </w:r>
      <w:r>
        <w:rPr>
          <w:rFonts w:eastAsia="Times New Roman"/>
          <w:color w:val="000000"/>
          <w:sz w:val="20"/>
          <w:szCs w:val="20"/>
        </w:rPr>
        <w:t>nd Corporate and Other.</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684"/>
        <w:gridCol w:w="37"/>
        <w:gridCol w:w="120"/>
        <w:gridCol w:w="628"/>
        <w:gridCol w:w="36"/>
        <w:gridCol w:w="36"/>
        <w:gridCol w:w="36"/>
        <w:gridCol w:w="36"/>
        <w:gridCol w:w="120"/>
        <w:gridCol w:w="604"/>
        <w:gridCol w:w="36"/>
        <w:gridCol w:w="36"/>
        <w:gridCol w:w="36"/>
        <w:gridCol w:w="36"/>
        <w:gridCol w:w="120"/>
        <w:gridCol w:w="631"/>
        <w:gridCol w:w="36"/>
      </w:tblGrid>
      <w:tr w:rsidR="00000000">
        <w:trPr>
          <w:jc w:val="center"/>
        </w:trPr>
        <w:tc>
          <w:tcPr>
            <w:tcW w:w="50" w:type="pct"/>
            <w:vAlign w:val="center"/>
            <w:hideMark/>
          </w:tcPr>
          <w:p w:rsidR="00000000" w:rsidRDefault="005B0BC3">
            <w:pPr>
              <w:rPr>
                <w:rFonts w:eastAsia="Times New Roman"/>
              </w:rPr>
            </w:pPr>
          </w:p>
        </w:tc>
        <w:tc>
          <w:tcPr>
            <w:tcW w:w="346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1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4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1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1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15"/>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r>
      <w:tr w:rsidR="00000000">
        <w:trPr>
          <w:jc w:val="center"/>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2019</w:t>
            </w:r>
          </w:p>
        </w:tc>
      </w:tr>
      <w:tr w:rsidR="00000000">
        <w:trPr>
          <w:jc w:val="center"/>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w:t>
            </w:r>
          </w:p>
        </w:tc>
      </w:tr>
      <w:tr w:rsidR="00000000">
        <w:trPr>
          <w:jc w:val="center"/>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Impact of assumption updates by segment:</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shd w:val="clear" w:color="auto" w:fill="CCEEFF"/>
            <w:tcMar>
              <w:top w:w="30" w:type="dxa"/>
              <w:left w:w="26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Individual Retirement</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(47)</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(28)</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26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Group Retirement</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26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Protection Solutions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Impact of assumption updates on Corporate and Other</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(27)</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impact on pre-tax Non-GAAP Operating Earnings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divId w:val="831065994"/>
        <w:rPr>
          <w:rFonts w:eastAsia="Times New Roman"/>
        </w:rPr>
      </w:pPr>
      <w:r>
        <w:rPr>
          <w:rFonts w:eastAsia="Times New Roman"/>
          <w:b/>
          <w:bCs/>
          <w:color w:val="000000"/>
          <w:sz w:val="20"/>
          <w:szCs w:val="20"/>
        </w:rPr>
        <w:t>2021 Assumption Updates</w:t>
      </w:r>
    </w:p>
    <w:p w:rsidR="00000000" w:rsidRDefault="005B0BC3">
      <w:pPr>
        <w:ind w:firstLine="360"/>
        <w:divId w:val="1026054672"/>
        <w:rPr>
          <w:rFonts w:eastAsia="Times New Roman"/>
        </w:rPr>
      </w:pPr>
      <w:r>
        <w:rPr>
          <w:rFonts w:eastAsia="Times New Roman"/>
          <w:color w:val="000000"/>
          <w:sz w:val="20"/>
          <w:szCs w:val="20"/>
        </w:rPr>
        <w:t xml:space="preserve">The impact of our 2021 annual review on Non-GAAP Operating Earnings was favorable by $8 million before taking into consideration the tax impacts or $6 million after tax. For Individual Retirement segment, the impacts primarily reflect updated mortality on </w:t>
      </w:r>
      <w:r>
        <w:rPr>
          <w:rFonts w:eastAsia="Times New Roman"/>
          <w:color w:val="000000"/>
          <w:sz w:val="20"/>
          <w:szCs w:val="20"/>
        </w:rPr>
        <w:t>our older payout business. For Group Retirement segment, the impacts reflect updated economic assumptions. The annual update for Protection Solutions segment reflects favorable economic conditions and surrenders primarily on the VUL line. This, in turn, cr</w:t>
      </w:r>
      <w:r>
        <w:rPr>
          <w:rFonts w:eastAsia="Times New Roman"/>
          <w:color w:val="000000"/>
          <w:sz w:val="20"/>
          <w:szCs w:val="20"/>
        </w:rPr>
        <w:t>eates future profits and lowers the accrual on our PFBL reserve.</w:t>
      </w:r>
    </w:p>
    <w:p w:rsidR="00000000" w:rsidRDefault="005B0BC3">
      <w:pPr>
        <w:ind w:firstLine="360"/>
        <w:divId w:val="874998099"/>
        <w:rPr>
          <w:rFonts w:eastAsia="Times New Roman"/>
        </w:rPr>
      </w:pPr>
      <w:r>
        <w:rPr>
          <w:rFonts w:eastAsia="Times New Roman"/>
          <w:color w:val="000000"/>
          <w:sz w:val="20"/>
          <w:szCs w:val="20"/>
        </w:rPr>
        <w:t>The net impact of assumption changes on Non-GAAP Operating Earnings in the third quarter of 2021 decreased Policy charges and fee income by $28 million, increased Policyholders’ benefits by $</w:t>
      </w:r>
      <w:r>
        <w:rPr>
          <w:rFonts w:eastAsia="Times New Roman"/>
          <w:color w:val="000000"/>
          <w:sz w:val="20"/>
          <w:szCs w:val="20"/>
        </w:rPr>
        <w:t>22 million, and decreased Amortization of DAC by $58 million. Non-GAAP Operating Earnings excludes items related to Variable annuity product features, such as changes in the fair value of the embedded derivatives associated with the GMIBNLG liability and t</w:t>
      </w:r>
      <w:r>
        <w:rPr>
          <w:rFonts w:eastAsia="Times New Roman"/>
          <w:color w:val="000000"/>
          <w:sz w:val="20"/>
          <w:szCs w:val="20"/>
        </w:rPr>
        <w:t>he effect of benefit ratio unlock adjustments.</w:t>
      </w:r>
    </w:p>
    <w:p w:rsidR="00000000" w:rsidRDefault="005B0BC3">
      <w:pPr>
        <w:divId w:val="950164297"/>
        <w:rPr>
          <w:rFonts w:eastAsia="Times New Roman"/>
        </w:rPr>
      </w:pPr>
      <w:r>
        <w:rPr>
          <w:rFonts w:eastAsia="Times New Roman"/>
          <w:b/>
          <w:bCs/>
          <w:color w:val="000000"/>
          <w:sz w:val="20"/>
          <w:szCs w:val="20"/>
        </w:rPr>
        <w:t>2020 Assumption Updates</w:t>
      </w:r>
    </w:p>
    <w:p w:rsidR="00000000" w:rsidRDefault="005B0BC3">
      <w:pPr>
        <w:ind w:firstLine="360"/>
        <w:divId w:val="550725414"/>
        <w:rPr>
          <w:rFonts w:eastAsia="Times New Roman"/>
        </w:rPr>
      </w:pPr>
      <w:r>
        <w:rPr>
          <w:rFonts w:eastAsia="Times New Roman"/>
          <w:color w:val="000000"/>
          <w:sz w:val="20"/>
          <w:szCs w:val="20"/>
        </w:rPr>
        <w:t>The impact of our 2020 annual review on Non-GAAP Operating Earnings was unfavorable by $39 million before taking into consideration the tax impacts or $31 million after tax. For the Ind</w:t>
      </w:r>
      <w:r>
        <w:rPr>
          <w:rFonts w:eastAsia="Times New Roman"/>
          <w:color w:val="000000"/>
          <w:sz w:val="20"/>
          <w:szCs w:val="20"/>
        </w:rPr>
        <w:t>ividual Retirement segment, the impacts primarily reflect higher surrenders at the end of the surrender charge period on Retirement Cornerstone policies. The impact of our 2020 annual review was not material for our Group Retirement and Protection Solution</w:t>
      </w:r>
      <w:r>
        <w:rPr>
          <w:rFonts w:eastAsia="Times New Roman"/>
          <w:color w:val="000000"/>
          <w:sz w:val="20"/>
          <w:szCs w:val="20"/>
        </w:rPr>
        <w:t>s segments.</w:t>
      </w:r>
    </w:p>
    <w:p w:rsidR="00000000" w:rsidRDefault="005B0BC3">
      <w:pPr>
        <w:ind w:firstLine="360"/>
        <w:divId w:val="1059010519"/>
        <w:rPr>
          <w:rFonts w:eastAsia="Times New Roman"/>
        </w:rPr>
      </w:pPr>
      <w:r>
        <w:rPr>
          <w:rFonts w:eastAsia="Times New Roman"/>
          <w:color w:val="000000"/>
          <w:sz w:val="20"/>
          <w:szCs w:val="20"/>
        </w:rPr>
        <w:t>The net impact of assumption changes on Non-GAAP Operating Earnings in the third quarter of 2020 decreased Policy charges and fee income by $23 million, increased Policyholders’ benefits by $46 million, increased Interest credited to policyhold</w:t>
      </w:r>
      <w:r>
        <w:rPr>
          <w:rFonts w:eastAsia="Times New Roman"/>
          <w:color w:val="000000"/>
          <w:sz w:val="20"/>
          <w:szCs w:val="20"/>
        </w:rPr>
        <w:t>ers’ account balances by $5 million and decreased Amortization of DAC by $35 million. Non-GAAP Operating Earnings excludes items related to Variable annuity product features and the impact of COVID-19, such as changes in the fair value of the embedded deri</w:t>
      </w:r>
      <w:r>
        <w:rPr>
          <w:rFonts w:eastAsia="Times New Roman"/>
          <w:color w:val="000000"/>
          <w:sz w:val="20"/>
          <w:szCs w:val="20"/>
        </w:rPr>
        <w:t>vatives associated with the GMIBNLG liability and the effect of benefit ratio unlock adjustments.</w:t>
      </w:r>
    </w:p>
    <w:p w:rsidR="00000000" w:rsidRDefault="005B0BC3">
      <w:pPr>
        <w:jc w:val="center"/>
        <w:divId w:val="1046103985"/>
        <w:rPr>
          <w:rFonts w:eastAsia="Times New Roman"/>
        </w:rPr>
      </w:pPr>
      <w:r>
        <w:rPr>
          <w:rFonts w:eastAsia="Times New Roman"/>
          <w:color w:val="000000"/>
          <w:sz w:val="20"/>
          <w:szCs w:val="20"/>
        </w:rPr>
        <w:t>77</w:t>
      </w:r>
    </w:p>
    <w:p w:rsidR="00000000" w:rsidRDefault="005B0BC3">
      <w:pPr>
        <w:rPr>
          <w:rFonts w:eastAsia="Times New Roman"/>
        </w:rPr>
      </w:pPr>
      <w:r>
        <w:rPr>
          <w:rFonts w:eastAsia="Times New Roman"/>
        </w:rPr>
        <w:pict>
          <v:rect id="_x0000_i1115" style="width:0;height:1.5pt" o:hralign="center" o:hrstd="t" o:hr="t" fillcolor="#a0a0a0" stroked="f"/>
        </w:pict>
      </w:r>
    </w:p>
    <w:p w:rsidR="00000000" w:rsidRDefault="005B0BC3">
      <w:pPr>
        <w:divId w:val="2094886847"/>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divId w:val="528765169"/>
        <w:rPr>
          <w:rFonts w:eastAsia="Times New Roman"/>
        </w:rPr>
      </w:pPr>
      <w:r>
        <w:rPr>
          <w:rFonts w:eastAsia="Times New Roman"/>
          <w:b/>
          <w:bCs/>
          <w:color w:val="000000"/>
          <w:sz w:val="20"/>
          <w:szCs w:val="20"/>
        </w:rPr>
        <w:t>2019 Assumption Updates</w:t>
      </w:r>
    </w:p>
    <w:p w:rsidR="00000000" w:rsidRDefault="005B0BC3">
      <w:pPr>
        <w:ind w:firstLine="360"/>
        <w:divId w:val="1408188770"/>
        <w:rPr>
          <w:rFonts w:eastAsia="Times New Roman"/>
        </w:rPr>
      </w:pPr>
      <w:r>
        <w:rPr>
          <w:rFonts w:eastAsia="Times New Roman"/>
          <w:color w:val="000000"/>
          <w:sz w:val="20"/>
          <w:szCs w:val="20"/>
        </w:rPr>
        <w:t>The impact of ou</w:t>
      </w:r>
      <w:r>
        <w:rPr>
          <w:rFonts w:eastAsia="Times New Roman"/>
          <w:color w:val="000000"/>
          <w:sz w:val="20"/>
          <w:szCs w:val="20"/>
        </w:rPr>
        <w:t>r 2019 annual review on Non-GAAP Operating Earnings was favorable by $60 million, or $76 million before taking into consideration the tax impacts.</w:t>
      </w:r>
    </w:p>
    <w:p w:rsidR="00000000" w:rsidRDefault="005B0BC3">
      <w:pPr>
        <w:ind w:hanging="360"/>
        <w:jc w:val="both"/>
        <w:divId w:val="1921061005"/>
        <w:rPr>
          <w:rFonts w:eastAsia="Times New Roman"/>
        </w:rPr>
      </w:pPr>
      <w:r>
        <w:rPr>
          <w:rFonts w:eastAsia="Times New Roman"/>
          <w:color w:val="000000"/>
          <w:sz w:val="20"/>
          <w:szCs w:val="20"/>
        </w:rPr>
        <w:t>•For the Individual Retirement segment, the impacts primarily reflect favorable updates to amortization of DA</w:t>
      </w:r>
      <w:r>
        <w:rPr>
          <w:rFonts w:eastAsia="Times New Roman"/>
          <w:color w:val="000000"/>
          <w:sz w:val="20"/>
          <w:szCs w:val="20"/>
        </w:rPr>
        <w:t>C from lower lapse assumptions.</w:t>
      </w:r>
    </w:p>
    <w:p w:rsidR="00000000" w:rsidRDefault="005B0BC3">
      <w:pPr>
        <w:ind w:hanging="360"/>
        <w:jc w:val="both"/>
        <w:divId w:val="183179265"/>
        <w:rPr>
          <w:rFonts w:eastAsia="Times New Roman"/>
        </w:rPr>
      </w:pPr>
      <w:r>
        <w:rPr>
          <w:rFonts w:eastAsia="Times New Roman"/>
          <w:color w:val="000000"/>
          <w:sz w:val="20"/>
          <w:szCs w:val="20"/>
        </w:rPr>
        <w:t>•For the Group Retirement segment, the impacts primarily reflect a favorable update to maintenance expenses.</w:t>
      </w:r>
    </w:p>
    <w:p w:rsidR="00000000" w:rsidRDefault="005B0BC3">
      <w:pPr>
        <w:ind w:hanging="360"/>
        <w:divId w:val="6904405"/>
        <w:rPr>
          <w:rFonts w:eastAsia="Times New Roman"/>
        </w:rPr>
      </w:pPr>
      <w:r>
        <w:rPr>
          <w:rFonts w:eastAsia="Times New Roman"/>
          <w:color w:val="000000"/>
          <w:sz w:val="20"/>
          <w:szCs w:val="20"/>
        </w:rPr>
        <w:t xml:space="preserve">•For the Protection Solutions segment, the results primarily reflect unfavorable updates to mortality and economic </w:t>
      </w:r>
      <w:r>
        <w:rPr>
          <w:rFonts w:eastAsia="Times New Roman"/>
          <w:color w:val="000000"/>
          <w:sz w:val="20"/>
          <w:szCs w:val="20"/>
        </w:rPr>
        <w:t>assumptions, partially offset by a favorable update to maintenance expenses.</w:t>
      </w:r>
    </w:p>
    <w:p w:rsidR="00000000" w:rsidRDefault="005B0BC3">
      <w:pPr>
        <w:ind w:firstLine="360"/>
        <w:divId w:val="304360558"/>
        <w:rPr>
          <w:rFonts w:eastAsia="Times New Roman"/>
        </w:rPr>
      </w:pPr>
      <w:r>
        <w:rPr>
          <w:rFonts w:eastAsia="Times New Roman"/>
          <w:color w:val="000000"/>
          <w:sz w:val="20"/>
          <w:szCs w:val="20"/>
        </w:rPr>
        <w:t xml:space="preserve">Non-GAAP Operating Earnings excludes items related to variable annuity product features, such as changes in the fair value of the embedded derivatives associated with the GMIBNLG </w:t>
      </w:r>
      <w:r>
        <w:rPr>
          <w:rFonts w:eastAsia="Times New Roman"/>
          <w:color w:val="000000"/>
          <w:sz w:val="20"/>
          <w:szCs w:val="20"/>
        </w:rPr>
        <w:t>liability and the effect of benefit ratio unlock adjustments. The net impact of assumption changes on Non-GAAP Operating Earnings in the third quarter of 2019 increased policy charges and fee income by $3 million, decreased policyholder’ benefits by $15 mi</w:t>
      </w:r>
      <w:r>
        <w:rPr>
          <w:rFonts w:eastAsia="Times New Roman"/>
          <w:color w:val="000000"/>
          <w:sz w:val="20"/>
          <w:szCs w:val="20"/>
        </w:rPr>
        <w:t>llion, decreased interest credited to policyholders’ account balances by $13 million and decreased amortization of DAC by $46 million.</w:t>
      </w:r>
    </w:p>
    <w:p w:rsidR="00000000" w:rsidRDefault="005B0BC3">
      <w:pPr>
        <w:divId w:val="211962315"/>
        <w:rPr>
          <w:rFonts w:eastAsia="Times New Roman"/>
        </w:rPr>
      </w:pPr>
      <w:r>
        <w:rPr>
          <w:rFonts w:eastAsia="Times New Roman"/>
          <w:i/>
          <w:iCs/>
          <w:color w:val="000000"/>
          <w:sz w:val="20"/>
          <w:szCs w:val="20"/>
          <w:u w:val="single"/>
        </w:rPr>
        <w:t>Impact of the First Quarter 2020 Assumption Update, and COVID-19 Impacts on Pre-tax Non-GAAP Operating Earnings Adjustmen</w:t>
      </w:r>
      <w:r>
        <w:rPr>
          <w:rFonts w:eastAsia="Times New Roman"/>
          <w:i/>
          <w:iCs/>
          <w:color w:val="000000"/>
          <w:sz w:val="20"/>
          <w:szCs w:val="20"/>
          <w:u w:val="single"/>
        </w:rPr>
        <w:t>ts</w:t>
      </w:r>
    </w:p>
    <w:p w:rsidR="00000000" w:rsidRDefault="005B0BC3">
      <w:pPr>
        <w:ind w:firstLine="360"/>
        <w:divId w:val="280456714"/>
        <w:rPr>
          <w:rFonts w:eastAsia="Times New Roman"/>
        </w:rPr>
      </w:pPr>
      <w:r>
        <w:rPr>
          <w:rFonts w:eastAsia="Times New Roman"/>
          <w:color w:val="000000"/>
          <w:sz w:val="20"/>
          <w:szCs w:val="20"/>
        </w:rPr>
        <w:t xml:space="preserve">The unprecedented and rapid spread of COVID-19 and the related restrictions and social distancing measures implemented throughout the world caused severe, lasting turmoil in the financial markets during the first six months of 2020. </w:t>
      </w:r>
    </w:p>
    <w:p w:rsidR="00000000" w:rsidRDefault="005B0BC3">
      <w:pPr>
        <w:ind w:firstLine="360"/>
        <w:divId w:val="808938227"/>
        <w:rPr>
          <w:rFonts w:eastAsia="Times New Roman"/>
        </w:rPr>
      </w:pPr>
      <w:r>
        <w:rPr>
          <w:rFonts w:eastAsia="Times New Roman"/>
          <w:color w:val="000000"/>
          <w:sz w:val="20"/>
          <w:szCs w:val="20"/>
        </w:rPr>
        <w:t>The Company’s accou</w:t>
      </w:r>
      <w:r>
        <w:rPr>
          <w:rFonts w:eastAsia="Times New Roman"/>
          <w:color w:val="000000"/>
          <w:sz w:val="20"/>
          <w:szCs w:val="20"/>
        </w:rPr>
        <w:t>nting policy governing its Non-GAAP Operating Earnings measure permits adjustments to Non-GAAP Operating Earnings if certain criteria are met, which include if the proposed adjustment relates to a non-recurring event or transaction. Management concluded th</w:t>
      </w:r>
      <w:r>
        <w:rPr>
          <w:rFonts w:eastAsia="Times New Roman"/>
          <w:color w:val="000000"/>
          <w:sz w:val="20"/>
          <w:szCs w:val="20"/>
        </w:rPr>
        <w:t xml:space="preserve">at all impacts on the Company from the COVID-19 pandemic and its effects on the economy meet the indicators of a non-recurring event. Therefore, management has determined that the items set forth in the table below should be included as adjustments to the </w:t>
      </w:r>
      <w:r>
        <w:rPr>
          <w:rFonts w:eastAsia="Times New Roman"/>
          <w:color w:val="000000"/>
          <w:sz w:val="20"/>
          <w:szCs w:val="20"/>
        </w:rPr>
        <w:t xml:space="preserve">Non-GAAP Operating Earnings measure so that investors can more clearly see the delineation between the operating results of the Company’s core operations and the impact of the items specific to the current COVID-19 pandemic crisis. </w:t>
      </w:r>
    </w:p>
    <w:p w:rsidR="00000000" w:rsidRDefault="005B0BC3">
      <w:pPr>
        <w:ind w:firstLine="360"/>
        <w:divId w:val="28339471"/>
        <w:rPr>
          <w:rFonts w:eastAsia="Times New Roman"/>
        </w:rPr>
      </w:pPr>
      <w:r>
        <w:rPr>
          <w:rFonts w:eastAsia="Times New Roman"/>
          <w:color w:val="000000"/>
          <w:sz w:val="20"/>
          <w:szCs w:val="20"/>
        </w:rPr>
        <w:t>The table below present</w:t>
      </w:r>
      <w:r>
        <w:rPr>
          <w:rFonts w:eastAsia="Times New Roman"/>
          <w:color w:val="000000"/>
          <w:sz w:val="20"/>
          <w:szCs w:val="20"/>
        </w:rPr>
        <w:t>s the COVID-19 pandemic related impacts on income (loss) from continuing operations, before income taxes by segment and Corporate and Other, and the COVID-19 pandemic related adjustments included in the reconciliation of Net Income (loss) attributable to H</w:t>
      </w:r>
      <w:r>
        <w:rPr>
          <w:rFonts w:eastAsia="Times New Roman"/>
          <w:color w:val="000000"/>
          <w:sz w:val="20"/>
          <w:szCs w:val="20"/>
        </w:rPr>
        <w:t>oldings to Non-GAAP Operating Earnings:</w:t>
      </w:r>
    </w:p>
    <w:tbl>
      <w:tblPr>
        <w:tblW w:w="4744" w:type="pct"/>
        <w:tblCellMar>
          <w:top w:w="15" w:type="dxa"/>
          <w:left w:w="15" w:type="dxa"/>
          <w:bottom w:w="15" w:type="dxa"/>
          <w:right w:w="15" w:type="dxa"/>
        </w:tblCellMar>
        <w:tblLook w:val="04A0" w:firstRow="1" w:lastRow="0" w:firstColumn="1" w:lastColumn="0" w:noHBand="0" w:noVBand="1"/>
      </w:tblPr>
      <w:tblGrid>
        <w:gridCol w:w="39"/>
        <w:gridCol w:w="4955"/>
        <w:gridCol w:w="38"/>
        <w:gridCol w:w="121"/>
        <w:gridCol w:w="775"/>
        <w:gridCol w:w="36"/>
        <w:gridCol w:w="36"/>
        <w:gridCol w:w="36"/>
        <w:gridCol w:w="36"/>
        <w:gridCol w:w="121"/>
        <w:gridCol w:w="775"/>
        <w:gridCol w:w="36"/>
        <w:gridCol w:w="36"/>
        <w:gridCol w:w="36"/>
        <w:gridCol w:w="36"/>
        <w:gridCol w:w="120"/>
        <w:gridCol w:w="613"/>
        <w:gridCol w:w="36"/>
      </w:tblGrid>
      <w:tr w:rsidR="00000000">
        <w:trPr>
          <w:divId w:val="1624533776"/>
        </w:trPr>
        <w:tc>
          <w:tcPr>
            <w:tcW w:w="50" w:type="pct"/>
            <w:vAlign w:val="center"/>
            <w:hideMark/>
          </w:tcPr>
          <w:p w:rsidR="00000000" w:rsidRDefault="005B0BC3">
            <w:pPr>
              <w:ind w:firstLine="360"/>
              <w:rPr>
                <w:rFonts w:eastAsia="Times New Roman"/>
              </w:rPr>
            </w:pPr>
          </w:p>
        </w:tc>
        <w:tc>
          <w:tcPr>
            <w:tcW w:w="318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0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0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0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624533776"/>
          <w:trHeight w:val="240"/>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624533776"/>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 2020</w:t>
            </w:r>
          </w:p>
        </w:tc>
      </w:tr>
      <w:tr w:rsidR="00000000">
        <w:trPr>
          <w:divId w:val="1624533776"/>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COVID-19 Impacts</w:t>
            </w:r>
          </w:p>
        </w:tc>
      </w:tr>
      <w:tr w:rsidR="00000000">
        <w:trPr>
          <w:divId w:val="1624533776"/>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 xml:space="preserve">Interest Rate Assumption Update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Impacts other than Interest Rate Assumption</w:t>
            </w:r>
            <w:r>
              <w:rPr>
                <w:rFonts w:eastAsia="Times New Roman"/>
                <w:b/>
                <w:bCs/>
                <w:color w:val="000000"/>
                <w:sz w:val="16"/>
                <w:szCs w:val="16"/>
              </w:rPr>
              <w:br/>
              <w:t>Update (1)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Total</w:t>
            </w:r>
          </w:p>
        </w:tc>
      </w:tr>
      <w:tr w:rsidR="00000000">
        <w:trPr>
          <w:divId w:val="1624533776"/>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1624533776"/>
        </w:trPr>
        <w:tc>
          <w:tcPr>
            <w:tcW w:w="0" w:type="auto"/>
            <w:gridSpan w:val="3"/>
            <w:tcMar>
              <w:top w:w="30" w:type="dxa"/>
              <w:left w:w="20" w:type="dxa"/>
              <w:bottom w:w="30" w:type="dxa"/>
              <w:right w:w="20" w:type="dxa"/>
            </w:tcMar>
            <w:vAlign w:val="bottom"/>
            <w:hideMark/>
          </w:tcPr>
          <w:p w:rsidR="00000000" w:rsidRDefault="005B0BC3">
            <w:pPr>
              <w:spacing w:after="100"/>
              <w:divId w:val="2019887730"/>
              <w:rPr>
                <w:rFonts w:eastAsia="Times New Roman"/>
              </w:rPr>
            </w:pPr>
            <w:r>
              <w:rPr>
                <w:rFonts w:eastAsia="Times New Roman"/>
                <w:color w:val="000000"/>
                <w:sz w:val="20"/>
                <w:szCs w:val="20"/>
              </w:rPr>
              <w:t>Net income (loss) from continuing operations, before income taxes by Segment and Corporate and Other:</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624533776"/>
        </w:trPr>
        <w:tc>
          <w:tcPr>
            <w:tcW w:w="0" w:type="auto"/>
            <w:gridSpan w:val="3"/>
            <w:shd w:val="clear" w:color="auto" w:fill="CCEE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Individual Retirement</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(1,417)</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(43)</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(1,460)</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624533776"/>
        </w:trPr>
        <w:tc>
          <w:tcPr>
            <w:tcW w:w="0" w:type="auto"/>
            <w:gridSpan w:val="3"/>
            <w:shd w:val="clear" w:color="auto" w:fill="FFFF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Group Retirement</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(51)</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(51)</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624533776"/>
        </w:trPr>
        <w:tc>
          <w:tcPr>
            <w:tcW w:w="0" w:type="auto"/>
            <w:gridSpan w:val="3"/>
            <w:shd w:val="clear" w:color="auto" w:fill="CCEE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Protection Solutions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(1,016)</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(75)</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(1,091)</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624533776"/>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Corporate and Other</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(33)</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(36)</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624533776"/>
        </w:trPr>
        <w:tc>
          <w:tcPr>
            <w:tcW w:w="0" w:type="auto"/>
            <w:gridSpan w:val="3"/>
            <w:shd w:val="clear" w:color="auto" w:fill="CCEE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Net income (loss) from continuing operations, before income taxes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(2,517)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(2,638)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624533776"/>
          <w:trHeight w:val="280"/>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B0BC3">
            <w:pPr>
              <w:spacing w:after="100"/>
              <w:divId w:val="923224001"/>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B0BC3">
            <w:pPr>
              <w:spacing w:after="100"/>
              <w:divId w:val="1431243388"/>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B0BC3">
            <w:pPr>
              <w:spacing w:after="100"/>
              <w:divId w:val="849100489"/>
              <w:rPr>
                <w:rFonts w:eastAsia="Times New Roman"/>
              </w:rPr>
            </w:pPr>
          </w:p>
        </w:tc>
      </w:tr>
      <w:tr w:rsidR="00000000">
        <w:trPr>
          <w:divId w:val="1624533776"/>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COVID-19-related adjustments included in Reconciliation of Net income (loss) attributable to Holdings to Non-GAAP Operating Earnings:</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624533776"/>
        </w:trPr>
        <w:tc>
          <w:tcPr>
            <w:tcW w:w="0" w:type="auto"/>
            <w:gridSpan w:val="3"/>
            <w:shd w:val="clear" w:color="auto" w:fill="FFFF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Variable annuities product features</w:t>
            </w: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(1,468)</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(35)</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(1,503)</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624533776"/>
        </w:trPr>
        <w:tc>
          <w:tcPr>
            <w:tcW w:w="0" w:type="auto"/>
            <w:gridSpan w:val="3"/>
            <w:shd w:val="clear" w:color="auto" w:fill="CCEE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Other adjustments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(1,049)</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(86)</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(1,135)</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624533776"/>
        </w:trPr>
        <w:tc>
          <w:tcPr>
            <w:tcW w:w="0" w:type="auto"/>
            <w:gridSpan w:val="3"/>
            <w:shd w:val="clear" w:color="auto" w:fill="FFFF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Net income (loss) from continuing operations, before income taxes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(2,517)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(2,638)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jc w:val="center"/>
        <w:divId w:val="1746101679"/>
        <w:rPr>
          <w:rFonts w:eastAsia="Times New Roman"/>
        </w:rPr>
      </w:pPr>
      <w:r>
        <w:rPr>
          <w:rFonts w:eastAsia="Times New Roman"/>
          <w:color w:val="000000"/>
          <w:sz w:val="20"/>
          <w:szCs w:val="20"/>
        </w:rPr>
        <w:t>78</w:t>
      </w:r>
    </w:p>
    <w:p w:rsidR="00000000" w:rsidRDefault="005B0BC3">
      <w:pPr>
        <w:rPr>
          <w:rFonts w:eastAsia="Times New Roman"/>
        </w:rPr>
      </w:pPr>
      <w:r>
        <w:rPr>
          <w:rFonts w:eastAsia="Times New Roman"/>
        </w:rPr>
        <w:pict>
          <v:rect id="_x0000_i1116" style="width:0;height:1.5pt" o:hralign="center" o:hrstd="t" o:hr="t" fillcolor="#a0a0a0" stroked="f"/>
        </w:pict>
      </w:r>
    </w:p>
    <w:p w:rsidR="00000000" w:rsidRDefault="005B0BC3">
      <w:pPr>
        <w:divId w:val="265504446"/>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ind w:hanging="90"/>
        <w:divId w:val="881093007"/>
        <w:rPr>
          <w:rFonts w:eastAsia="Times New Roman"/>
        </w:rPr>
      </w:pPr>
      <w:r>
        <w:rPr>
          <w:rFonts w:eastAsia="Times New Roman"/>
          <w:color w:val="000000"/>
          <w:sz w:val="18"/>
          <w:szCs w:val="18"/>
        </w:rPr>
        <w:t>_______________</w:t>
      </w:r>
    </w:p>
    <w:p w:rsidR="00000000" w:rsidRDefault="005B0BC3">
      <w:pPr>
        <w:ind w:hanging="540"/>
        <w:divId w:val="786777461"/>
        <w:rPr>
          <w:rFonts w:eastAsia="Times New Roman"/>
        </w:rPr>
      </w:pPr>
      <w:r>
        <w:rPr>
          <w:rFonts w:eastAsia="Times New Roman"/>
          <w:color w:val="000000"/>
          <w:sz w:val="18"/>
          <w:szCs w:val="18"/>
        </w:rPr>
        <w:t>(1)</w:t>
      </w:r>
      <w:r>
        <w:rPr>
          <w:rFonts w:eastAsia="Times New Roman"/>
          <w:color w:val="000000"/>
          <w:sz w:val="18"/>
          <w:szCs w:val="18"/>
        </w:rPr>
        <w:t>Includes adjustments to Non-GAAP Operating Earnings primarily due to non-variable annuity hedging impacts resulting from unprecedented volatility in equity markets and accelerated amortization of DAC due to loss recognition in the first half of 2020 result</w:t>
      </w:r>
      <w:r>
        <w:rPr>
          <w:rFonts w:eastAsia="Times New Roman"/>
          <w:color w:val="000000"/>
          <w:sz w:val="18"/>
          <w:szCs w:val="18"/>
        </w:rPr>
        <w:t>ing from first quarter 2020 interest rate assumption update.</w:t>
      </w:r>
    </w:p>
    <w:p w:rsidR="00000000" w:rsidRDefault="005B0BC3">
      <w:pPr>
        <w:ind w:firstLine="360"/>
        <w:divId w:val="817695548"/>
        <w:rPr>
          <w:rFonts w:eastAsia="Times New Roman"/>
        </w:rPr>
      </w:pPr>
      <w:r>
        <w:rPr>
          <w:rFonts w:eastAsia="Times New Roman"/>
          <w:color w:val="000000"/>
          <w:sz w:val="20"/>
          <w:szCs w:val="20"/>
        </w:rPr>
        <w:t>Adjustments related to the Individual Retirement and Group Retirement segments are primarily included in the “Variable annuities product features” in the reconciliation of Net income (loss) attri</w:t>
      </w:r>
      <w:r>
        <w:rPr>
          <w:rFonts w:eastAsia="Times New Roman"/>
          <w:color w:val="000000"/>
          <w:sz w:val="20"/>
          <w:szCs w:val="20"/>
        </w:rPr>
        <w:t>butable to Holdings to Non-GAAP Operating Earnings. All other adjustments are included in “Other”. This impact has been more than offset by hedging gains.</w:t>
      </w:r>
    </w:p>
    <w:p w:rsidR="00000000" w:rsidRDefault="005B0BC3">
      <w:pPr>
        <w:divId w:val="230965098"/>
        <w:rPr>
          <w:rFonts w:eastAsia="Times New Roman"/>
        </w:rPr>
      </w:pPr>
      <w:r>
        <w:rPr>
          <w:rFonts w:eastAsia="Times New Roman"/>
          <w:b/>
          <w:bCs/>
          <w:color w:val="000000"/>
          <w:sz w:val="20"/>
          <w:szCs w:val="20"/>
        </w:rPr>
        <w:t xml:space="preserve">Macroeconomic and Industry Trends </w:t>
      </w:r>
    </w:p>
    <w:p w:rsidR="00000000" w:rsidRDefault="005B0BC3">
      <w:pPr>
        <w:ind w:firstLine="360"/>
        <w:divId w:val="1931814695"/>
        <w:rPr>
          <w:rFonts w:eastAsia="Times New Roman"/>
        </w:rPr>
      </w:pPr>
      <w:r>
        <w:rPr>
          <w:rFonts w:eastAsia="Times New Roman"/>
          <w:color w:val="000000"/>
          <w:sz w:val="20"/>
          <w:szCs w:val="20"/>
        </w:rPr>
        <w:t>Our business and consolidated results of operations are significan</w:t>
      </w:r>
      <w:r>
        <w:rPr>
          <w:rFonts w:eastAsia="Times New Roman"/>
          <w:color w:val="000000"/>
          <w:sz w:val="20"/>
          <w:szCs w:val="20"/>
        </w:rPr>
        <w:t>tly affected by economic conditions and consumer confidence, conditions in the global capital markets and the interest rate environment.</w:t>
      </w:r>
    </w:p>
    <w:p w:rsidR="00000000" w:rsidRDefault="005B0BC3">
      <w:pPr>
        <w:jc w:val="both"/>
        <w:divId w:val="576475657"/>
        <w:rPr>
          <w:rFonts w:eastAsia="Times New Roman"/>
        </w:rPr>
      </w:pPr>
      <w:r>
        <w:rPr>
          <w:rFonts w:eastAsia="Times New Roman"/>
          <w:b/>
          <w:bCs/>
          <w:i/>
          <w:iCs/>
          <w:color w:val="000000"/>
          <w:sz w:val="20"/>
          <w:szCs w:val="20"/>
        </w:rPr>
        <w:t xml:space="preserve">Financial and Economic Environment </w:t>
      </w:r>
    </w:p>
    <w:p w:rsidR="00000000" w:rsidRDefault="005B0BC3">
      <w:pPr>
        <w:ind w:firstLine="360"/>
        <w:divId w:val="1159884900"/>
        <w:rPr>
          <w:rFonts w:eastAsia="Times New Roman"/>
        </w:rPr>
      </w:pPr>
      <w:r>
        <w:rPr>
          <w:rFonts w:eastAsia="Times New Roman"/>
          <w:color w:val="000000"/>
          <w:sz w:val="20"/>
          <w:szCs w:val="20"/>
        </w:rPr>
        <w:t>A wide variety of factors continue to impact global financial and economic conditio</w:t>
      </w:r>
      <w:r>
        <w:rPr>
          <w:rFonts w:eastAsia="Times New Roman"/>
          <w:color w:val="000000"/>
          <w:sz w:val="20"/>
          <w:szCs w:val="20"/>
        </w:rPr>
        <w:t>ns, including, among others, the COVID-19 pandemic, volatility in financial markets, rising inflation rates, continued low interest rates, changes in fiscal or monetary policy and supply chain disruptions.</w:t>
      </w:r>
    </w:p>
    <w:p w:rsidR="00000000" w:rsidRDefault="005B0BC3">
      <w:pPr>
        <w:ind w:firstLine="360"/>
        <w:divId w:val="1357077181"/>
        <w:rPr>
          <w:rFonts w:eastAsia="Times New Roman"/>
        </w:rPr>
      </w:pPr>
      <w:r>
        <w:rPr>
          <w:rFonts w:eastAsia="Times New Roman"/>
          <w:color w:val="000000"/>
          <w:sz w:val="20"/>
          <w:szCs w:val="20"/>
        </w:rPr>
        <w:t>Stressed conditions, volatility and disruptions in</w:t>
      </w:r>
      <w:r>
        <w:rPr>
          <w:rFonts w:eastAsia="Times New Roman"/>
          <w:color w:val="000000"/>
          <w:sz w:val="20"/>
          <w:szCs w:val="20"/>
        </w:rPr>
        <w:t xml:space="preserve"> the capital markets, particular markets, or financial asset classes can have an adverse effect on us, in part because we have a large investment portfolio and our insurance liabilities and derivatives are sensitive to changing market factors, including ch</w:t>
      </w:r>
      <w:r>
        <w:rPr>
          <w:rFonts w:eastAsia="Times New Roman"/>
          <w:color w:val="000000"/>
          <w:sz w:val="20"/>
          <w:szCs w:val="20"/>
        </w:rPr>
        <w:t>anges in interest rates, which are anticipated to occur in 2022 based on statements of members of the Board of Governors of the Federal Reserve System. An increase in market volatility could continue to affect our business, including through effects on the</w:t>
      </w:r>
      <w:r>
        <w:rPr>
          <w:rFonts w:eastAsia="Times New Roman"/>
          <w:color w:val="000000"/>
          <w:sz w:val="20"/>
          <w:szCs w:val="20"/>
        </w:rPr>
        <w:t xml:space="preserve"> yields we earn on invested assets, changes in required reserves and capital and fluctuations in the value of our AUM, AV or AUA from which we derive our fee income. These effects could be exacerbated by uncertainty about future fiscal policy, changes in t</w:t>
      </w:r>
      <w:r>
        <w:rPr>
          <w:rFonts w:eastAsia="Times New Roman"/>
          <w:color w:val="000000"/>
          <w:sz w:val="20"/>
          <w:szCs w:val="20"/>
        </w:rPr>
        <w:t>ax policy, the scope of potential deregulation and levels of global trade.</w:t>
      </w:r>
    </w:p>
    <w:p w:rsidR="00000000" w:rsidRDefault="005B0BC3">
      <w:pPr>
        <w:ind w:firstLine="360"/>
        <w:divId w:val="593779261"/>
        <w:rPr>
          <w:rFonts w:eastAsia="Times New Roman"/>
        </w:rPr>
      </w:pPr>
      <w:r>
        <w:rPr>
          <w:rFonts w:eastAsia="Times New Roman"/>
          <w:color w:val="000000"/>
          <w:sz w:val="20"/>
          <w:szCs w:val="20"/>
        </w:rPr>
        <w:t>The potential for increased volatility, coupled with prevailing interest rates falling and/or remaining below historical averages, could pressure sales and reduce demand for our pro</w:t>
      </w:r>
      <w:r>
        <w:rPr>
          <w:rFonts w:eastAsia="Times New Roman"/>
          <w:color w:val="000000"/>
          <w:sz w:val="20"/>
          <w:szCs w:val="20"/>
        </w:rPr>
        <w:t>ducts as consumers consider purchasing alternative products to meet their objectives. In addition, this environment could make it difficult to consistently develop products that are attractive to customers. Financial performance can be adversely affected b</w:t>
      </w:r>
      <w:r>
        <w:rPr>
          <w:rFonts w:eastAsia="Times New Roman"/>
          <w:color w:val="000000"/>
          <w:sz w:val="20"/>
          <w:szCs w:val="20"/>
        </w:rPr>
        <w:t>y market volatility and equity market declines as fees driven by AV and AUM fluctuate, hedging costs increase and revenues decline due to reduced sales and increased outflows.</w:t>
      </w:r>
    </w:p>
    <w:p w:rsidR="00000000" w:rsidRDefault="005B0BC3">
      <w:pPr>
        <w:ind w:firstLine="360"/>
        <w:divId w:val="1781339941"/>
        <w:rPr>
          <w:rFonts w:eastAsia="Times New Roman"/>
        </w:rPr>
      </w:pPr>
      <w:r>
        <w:rPr>
          <w:rFonts w:eastAsia="Times New Roman"/>
          <w:color w:val="000000"/>
          <w:sz w:val="20"/>
          <w:szCs w:val="20"/>
        </w:rPr>
        <w:t xml:space="preserve">We monitor the behavior of our customers and other factors, including mortality </w:t>
      </w:r>
      <w:r>
        <w:rPr>
          <w:rFonts w:eastAsia="Times New Roman"/>
          <w:color w:val="000000"/>
          <w:sz w:val="20"/>
          <w:szCs w:val="20"/>
        </w:rPr>
        <w:t>rates, morbidity rates, annuitization rates and lapse and surrender rates, which change in response to changes in capital market conditions, to ensure that our products and solutions remain attractive and profitable. For additional information on our sensi</w:t>
      </w:r>
      <w:r>
        <w:rPr>
          <w:rFonts w:eastAsia="Times New Roman"/>
          <w:color w:val="000000"/>
          <w:sz w:val="20"/>
          <w:szCs w:val="20"/>
        </w:rPr>
        <w:t xml:space="preserve">tivity to interest rates and capital market prices, see “Quantitative and Qualitative Disclosures About Market Risk.” </w:t>
      </w:r>
    </w:p>
    <w:p w:rsidR="00000000" w:rsidRDefault="005B0BC3">
      <w:pPr>
        <w:ind w:firstLine="360"/>
        <w:divId w:val="2054960411"/>
        <w:rPr>
          <w:rFonts w:eastAsia="Times New Roman"/>
        </w:rPr>
      </w:pPr>
      <w:r>
        <w:rPr>
          <w:rFonts w:eastAsia="Times New Roman"/>
          <w:b/>
          <w:bCs/>
          <w:i/>
          <w:iCs/>
          <w:color w:val="000000"/>
          <w:sz w:val="20"/>
          <w:szCs w:val="20"/>
        </w:rPr>
        <w:t>Interest Rate Environment</w:t>
      </w:r>
    </w:p>
    <w:p w:rsidR="00000000" w:rsidRDefault="005B0BC3">
      <w:pPr>
        <w:ind w:firstLine="360"/>
        <w:divId w:val="1664310766"/>
        <w:rPr>
          <w:rFonts w:eastAsia="Times New Roman"/>
        </w:rPr>
      </w:pPr>
      <w:r>
        <w:rPr>
          <w:rFonts w:eastAsia="Times New Roman"/>
          <w:color w:val="000000"/>
          <w:sz w:val="20"/>
          <w:szCs w:val="20"/>
        </w:rPr>
        <w:t xml:space="preserve">We believe the interest rate environment will continue to impact our business and financial performance in the </w:t>
      </w:r>
      <w:r>
        <w:rPr>
          <w:rFonts w:eastAsia="Times New Roman"/>
          <w:color w:val="000000"/>
          <w:sz w:val="20"/>
          <w:szCs w:val="20"/>
        </w:rPr>
        <w:t xml:space="preserve">future for several reasons, including the following: </w:t>
      </w:r>
    </w:p>
    <w:p w:rsidR="00000000" w:rsidRDefault="005B0BC3">
      <w:pPr>
        <w:ind w:hanging="360"/>
        <w:jc w:val="both"/>
        <w:divId w:val="697007755"/>
        <w:rPr>
          <w:rFonts w:eastAsia="Times New Roman"/>
        </w:rPr>
      </w:pPr>
      <w:r>
        <w:rPr>
          <w:rFonts w:eastAsia="Times New Roman"/>
          <w:color w:val="000000"/>
          <w:sz w:val="20"/>
          <w:szCs w:val="20"/>
        </w:rPr>
        <w:t>•Certain of our variable annuity and life insurance products pay guaranteed minimum interest crediting rates. We are required to pay these guaranteed minimum rates even if earnings on our investment por</w:t>
      </w:r>
      <w:r>
        <w:rPr>
          <w:rFonts w:eastAsia="Times New Roman"/>
          <w:color w:val="000000"/>
          <w:sz w:val="20"/>
          <w:szCs w:val="20"/>
        </w:rPr>
        <w:t>tfolio decline, with the resulting investment margin compression negatively impacting earnings. In addition, we expect more policyholders to hold policies with comparatively high guaranteed rates longer (lower lapse rates) in a low interest rate environmen</w:t>
      </w:r>
      <w:r>
        <w:rPr>
          <w:rFonts w:eastAsia="Times New Roman"/>
          <w:color w:val="000000"/>
          <w:sz w:val="20"/>
          <w:szCs w:val="20"/>
        </w:rPr>
        <w:t>t. Conversely, a rise in average yield on our investment portfolio should positively impact earnings. Similarly, we expect policyholders would be less likely to hold policies with existing guaranteed rates (higher lapse rates) as interest rates rise.</w:t>
      </w:r>
    </w:p>
    <w:p w:rsidR="00000000" w:rsidRDefault="005B0BC3">
      <w:pPr>
        <w:ind w:hanging="360"/>
        <w:divId w:val="1114443865"/>
        <w:rPr>
          <w:rFonts w:eastAsia="Times New Roman"/>
        </w:rPr>
      </w:pPr>
      <w:r>
        <w:rPr>
          <w:rFonts w:eastAsia="Times New Roman"/>
          <w:color w:val="000000"/>
          <w:sz w:val="20"/>
          <w:szCs w:val="20"/>
        </w:rPr>
        <w:t>•A pr</w:t>
      </w:r>
      <w:r>
        <w:rPr>
          <w:rFonts w:eastAsia="Times New Roman"/>
          <w:color w:val="000000"/>
          <w:sz w:val="20"/>
          <w:szCs w:val="20"/>
        </w:rPr>
        <w:t>olonged low interest rate environment also may subject us to increased hedging costs or an increase in the amount of statutory reserves that our insurance subsidiaries are required to hold for GMxB features, lowering their statutory surplus, which would ad</w:t>
      </w:r>
      <w:r>
        <w:rPr>
          <w:rFonts w:eastAsia="Times New Roman"/>
          <w:color w:val="000000"/>
          <w:sz w:val="20"/>
          <w:szCs w:val="20"/>
        </w:rPr>
        <w:t>versely affect their ability to pay dividends to us. In addition, it may also increase the perceived value of GMxB features to our policyholders, which in turn may lead to a higher rate of annuitization and higher persistency of those products over time. F</w:t>
      </w:r>
      <w:r>
        <w:rPr>
          <w:rFonts w:eastAsia="Times New Roman"/>
          <w:color w:val="000000"/>
          <w:sz w:val="20"/>
          <w:szCs w:val="20"/>
        </w:rPr>
        <w:t>inally, low interest rates may continue to cause an acceleration of DAC amortization or reserve increase due to loss recognition for interest sensitive products, primarily for our Protection Solutions segment.</w:t>
      </w:r>
    </w:p>
    <w:p w:rsidR="00000000" w:rsidRDefault="005B0BC3">
      <w:pPr>
        <w:jc w:val="center"/>
        <w:divId w:val="814101624"/>
        <w:rPr>
          <w:rFonts w:eastAsia="Times New Roman"/>
        </w:rPr>
      </w:pPr>
      <w:r>
        <w:rPr>
          <w:rFonts w:eastAsia="Times New Roman"/>
          <w:color w:val="000000"/>
          <w:sz w:val="20"/>
          <w:szCs w:val="20"/>
        </w:rPr>
        <w:t>79</w:t>
      </w:r>
    </w:p>
    <w:p w:rsidR="00000000" w:rsidRDefault="005B0BC3">
      <w:pPr>
        <w:rPr>
          <w:rFonts w:eastAsia="Times New Roman"/>
        </w:rPr>
      </w:pPr>
      <w:r>
        <w:rPr>
          <w:rFonts w:eastAsia="Times New Roman"/>
        </w:rPr>
        <w:pict>
          <v:rect id="_x0000_i1117" style="width:0;height:1.5pt" o:hralign="center" o:hrstd="t" o:hr="t" fillcolor="#a0a0a0" stroked="f"/>
        </w:pict>
      </w:r>
    </w:p>
    <w:p w:rsidR="00000000" w:rsidRDefault="005B0BC3">
      <w:pPr>
        <w:divId w:val="1369144492"/>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ind w:firstLine="360"/>
        <w:divId w:val="358702174"/>
        <w:rPr>
          <w:rFonts w:eastAsia="Times New Roman"/>
        </w:rPr>
      </w:pPr>
      <w:r>
        <w:rPr>
          <w:rFonts w:eastAsia="Times New Roman"/>
          <w:color w:val="000000"/>
          <w:sz w:val="20"/>
          <w:szCs w:val="20"/>
        </w:rPr>
        <w:t>For a discussion on derivatives we used to hedge interest rates, see Note 4 of the Notes to these Consolidated Financial Statements in this Form 10-K.</w:t>
      </w:r>
    </w:p>
    <w:p w:rsidR="00000000" w:rsidRDefault="005B0BC3">
      <w:pPr>
        <w:jc w:val="both"/>
        <w:divId w:val="613945875"/>
        <w:rPr>
          <w:rFonts w:eastAsia="Times New Roman"/>
        </w:rPr>
      </w:pPr>
      <w:r>
        <w:rPr>
          <w:rFonts w:eastAsia="Times New Roman"/>
          <w:b/>
          <w:bCs/>
          <w:i/>
          <w:iCs/>
          <w:color w:val="000000"/>
          <w:sz w:val="20"/>
          <w:szCs w:val="20"/>
        </w:rPr>
        <w:t xml:space="preserve">Regulatory Developments </w:t>
      </w:r>
    </w:p>
    <w:p w:rsidR="00000000" w:rsidRDefault="005B0BC3">
      <w:pPr>
        <w:ind w:firstLine="360"/>
        <w:divId w:val="1986161055"/>
        <w:rPr>
          <w:rFonts w:eastAsia="Times New Roman"/>
        </w:rPr>
      </w:pPr>
      <w:r>
        <w:rPr>
          <w:rFonts w:eastAsia="Times New Roman"/>
          <w:color w:val="000000"/>
          <w:sz w:val="20"/>
          <w:szCs w:val="20"/>
        </w:rPr>
        <w:t>Our life</w:t>
      </w:r>
      <w:r>
        <w:rPr>
          <w:rFonts w:eastAsia="Times New Roman"/>
          <w:color w:val="000000"/>
          <w:sz w:val="20"/>
          <w:szCs w:val="20"/>
        </w:rPr>
        <w:t xml:space="preserve"> insurance subsidiaries are regulated primarily at the state level, with some policies and products also subject to federal regulation. In addition, Holdings and its insurance subsidiaries are subject to regulation under the insurance holding company laws </w:t>
      </w:r>
      <w:r>
        <w:rPr>
          <w:rFonts w:eastAsia="Times New Roman"/>
          <w:color w:val="000000"/>
          <w:sz w:val="20"/>
          <w:szCs w:val="20"/>
        </w:rPr>
        <w:t>of various U.S. jurisdictions. Furthermore, on an ongoing basis, regulators refine capital requirements and introduce new reserving standards. Regulations recently adopted or currently under review can potentially impact our statutory reserve, capital requ</w:t>
      </w:r>
      <w:r>
        <w:rPr>
          <w:rFonts w:eastAsia="Times New Roman"/>
          <w:color w:val="000000"/>
          <w:sz w:val="20"/>
          <w:szCs w:val="20"/>
        </w:rPr>
        <w:t xml:space="preserve">irements and profitability of the industry and result in increased regulation and oversight for the industry. </w:t>
      </w:r>
      <w:r>
        <w:rPr>
          <w:rFonts w:eastAsia="Times New Roman"/>
          <w:color w:val="000000"/>
          <w:sz w:val="20"/>
          <w:szCs w:val="20"/>
          <w:shd w:val="clear" w:color="auto" w:fill="FFFFFF"/>
        </w:rPr>
        <w:t>For additional information on regulatory developments and the risks we face, see “Business—Regulation” and “Risk Factors—Legal and Regulatory Risk</w:t>
      </w:r>
      <w:r>
        <w:rPr>
          <w:rFonts w:eastAsia="Times New Roman"/>
          <w:color w:val="000000"/>
          <w:sz w:val="20"/>
          <w:szCs w:val="20"/>
          <w:shd w:val="clear" w:color="auto" w:fill="FFFFFF"/>
        </w:rPr>
        <w:t>s.”</w:t>
      </w:r>
      <w:r>
        <w:rPr>
          <w:rFonts w:eastAsia="Times New Roman"/>
          <w:color w:val="000000"/>
          <w:sz w:val="20"/>
          <w:szCs w:val="20"/>
        </w:rPr>
        <w:t xml:space="preserve"> </w:t>
      </w:r>
    </w:p>
    <w:p w:rsidR="00000000" w:rsidRDefault="005B0BC3">
      <w:pPr>
        <w:divId w:val="440997929"/>
        <w:rPr>
          <w:rFonts w:eastAsia="Times New Roman"/>
        </w:rPr>
      </w:pPr>
      <w:r>
        <w:rPr>
          <w:rFonts w:eastAsia="Times New Roman"/>
          <w:b/>
          <w:bCs/>
          <w:color w:val="000000"/>
          <w:sz w:val="20"/>
          <w:szCs w:val="20"/>
        </w:rPr>
        <w:t xml:space="preserve">Separation Costs </w:t>
      </w:r>
    </w:p>
    <w:p w:rsidR="00000000" w:rsidRDefault="005B0BC3">
      <w:pPr>
        <w:ind w:firstLine="360"/>
        <w:divId w:val="1653410322"/>
        <w:rPr>
          <w:rFonts w:eastAsia="Times New Roman"/>
        </w:rPr>
      </w:pPr>
      <w:r>
        <w:rPr>
          <w:rFonts w:eastAsia="Times New Roman"/>
          <w:color w:val="000000"/>
          <w:sz w:val="20"/>
          <w:szCs w:val="20"/>
        </w:rPr>
        <w:t>In connection with our separation from AXA, we have incurred expenses of $722 million of which $82 </w:t>
      </w:r>
      <w:r>
        <w:rPr>
          <w:rFonts w:eastAsia="Times New Roman"/>
          <w:color w:val="000000"/>
          <w:sz w:val="20"/>
          <w:szCs w:val="20"/>
        </w:rPr>
        <w:t>million, $108 million, and $222 million was incurred in 2021, 2020 and 2019, respectively. These expenses primarily relate to information technology, compliance, internal audit, finance, risk management, procurement, client service, human resources, rebran</w:t>
      </w:r>
      <w:r>
        <w:rPr>
          <w:rFonts w:eastAsia="Times New Roman"/>
          <w:color w:val="000000"/>
          <w:sz w:val="20"/>
          <w:szCs w:val="20"/>
        </w:rPr>
        <w:t>ding and other support services. We have successfully completed our separation from AXA and do not expect to incur any additional expense related to the separation from AXA.</w:t>
      </w:r>
    </w:p>
    <w:p w:rsidR="00000000" w:rsidRDefault="005B0BC3">
      <w:pPr>
        <w:divId w:val="1427312086"/>
        <w:rPr>
          <w:rFonts w:eastAsia="Times New Roman"/>
        </w:rPr>
      </w:pPr>
      <w:r>
        <w:rPr>
          <w:rFonts w:eastAsia="Times New Roman"/>
          <w:b/>
          <w:bCs/>
          <w:color w:val="000000"/>
          <w:sz w:val="20"/>
          <w:szCs w:val="20"/>
        </w:rPr>
        <w:t>Productivity Strategies</w:t>
      </w:r>
    </w:p>
    <w:p w:rsidR="00000000" w:rsidRDefault="005B0BC3">
      <w:pPr>
        <w:divId w:val="1456680958"/>
        <w:rPr>
          <w:rFonts w:eastAsia="Times New Roman"/>
        </w:rPr>
      </w:pPr>
      <w:r>
        <w:rPr>
          <w:rFonts w:eastAsia="Times New Roman"/>
          <w:i/>
          <w:iCs/>
          <w:color w:val="000000"/>
          <w:sz w:val="20"/>
          <w:szCs w:val="20"/>
          <w:u w:val="single"/>
        </w:rPr>
        <w:t>Retirement and Protection Businesses</w:t>
      </w:r>
    </w:p>
    <w:p w:rsidR="00000000" w:rsidRDefault="005B0BC3">
      <w:pPr>
        <w:divId w:val="1267232093"/>
        <w:rPr>
          <w:rFonts w:eastAsia="Times New Roman"/>
        </w:rPr>
      </w:pPr>
      <w:r>
        <w:rPr>
          <w:rFonts w:eastAsia="Times New Roman"/>
          <w:color w:val="000000"/>
          <w:sz w:val="20"/>
          <w:szCs w:val="20"/>
        </w:rPr>
        <w:t>As part of our contin</w:t>
      </w:r>
      <w:r>
        <w:rPr>
          <w:rFonts w:eastAsia="Times New Roman"/>
          <w:color w:val="000000"/>
          <w:sz w:val="20"/>
          <w:szCs w:val="20"/>
        </w:rPr>
        <w:t xml:space="preserve">uing efforts to drive productivity improvements, on January 2021, we began a new program expected to achieve $80 million of targeted run-rate expense savings by 2023, of which $31 million was achieved in 2021. We expect to achieve these saving by shifting </w:t>
      </w:r>
      <w:r>
        <w:rPr>
          <w:rFonts w:eastAsia="Times New Roman"/>
          <w:color w:val="000000"/>
          <w:sz w:val="20"/>
          <w:szCs w:val="20"/>
        </w:rPr>
        <w:t>our workforce into an agile working model, leveraging technology-enabled capabilities, optimizing our real estate footprint, and continuing to realize a portion of COVID-19 related savings.</w:t>
      </w:r>
    </w:p>
    <w:p w:rsidR="00000000" w:rsidRDefault="005B0BC3">
      <w:pPr>
        <w:divId w:val="1101485306"/>
        <w:rPr>
          <w:rFonts w:eastAsia="Times New Roman"/>
        </w:rPr>
      </w:pPr>
      <w:r>
        <w:rPr>
          <w:rFonts w:eastAsia="Times New Roman"/>
          <w:i/>
          <w:iCs/>
          <w:color w:val="000000"/>
          <w:sz w:val="20"/>
          <w:szCs w:val="20"/>
          <w:u w:val="single"/>
        </w:rPr>
        <w:t>Investment Management and Research Business</w:t>
      </w:r>
    </w:p>
    <w:p w:rsidR="00000000" w:rsidRDefault="005B0BC3">
      <w:pPr>
        <w:ind w:firstLine="360"/>
        <w:divId w:val="263654038"/>
        <w:rPr>
          <w:rFonts w:eastAsia="Times New Roman"/>
        </w:rPr>
      </w:pPr>
      <w:r>
        <w:rPr>
          <w:rFonts w:eastAsia="Times New Roman"/>
          <w:color w:val="000000"/>
          <w:sz w:val="20"/>
          <w:szCs w:val="20"/>
        </w:rPr>
        <w:t>As previously announce</w:t>
      </w:r>
      <w:r>
        <w:rPr>
          <w:rFonts w:eastAsia="Times New Roman"/>
          <w:color w:val="000000"/>
          <w:sz w:val="20"/>
          <w:szCs w:val="20"/>
        </w:rPr>
        <w:t xml:space="preserve">d, AB has established its corporate headquarters in Nashville, Tennessee and relocated approximately 1,250 jobs from the New York metro area. Beginning in 2025, AB estimates ongoing annual expense savings of approximately $75 million to $80 million, which </w:t>
      </w:r>
      <w:r>
        <w:rPr>
          <w:rFonts w:eastAsia="Times New Roman"/>
          <w:color w:val="000000"/>
          <w:sz w:val="20"/>
          <w:szCs w:val="20"/>
        </w:rPr>
        <w:t xml:space="preserve">will result from a combination of occupancy and compensation-related savings. </w:t>
      </w:r>
    </w:p>
    <w:p w:rsidR="00000000" w:rsidRDefault="005B0BC3">
      <w:pPr>
        <w:jc w:val="center"/>
        <w:divId w:val="889460604"/>
        <w:rPr>
          <w:rFonts w:eastAsia="Times New Roman"/>
        </w:rPr>
      </w:pPr>
      <w:r>
        <w:rPr>
          <w:rFonts w:eastAsia="Times New Roman"/>
          <w:color w:val="000000"/>
          <w:sz w:val="20"/>
          <w:szCs w:val="20"/>
        </w:rPr>
        <w:t>80</w:t>
      </w:r>
    </w:p>
    <w:p w:rsidR="00000000" w:rsidRDefault="005B0BC3">
      <w:pPr>
        <w:rPr>
          <w:rFonts w:eastAsia="Times New Roman"/>
        </w:rPr>
      </w:pPr>
      <w:r>
        <w:rPr>
          <w:rFonts w:eastAsia="Times New Roman"/>
        </w:rPr>
        <w:pict>
          <v:rect id="_x0000_i1118" style="width:0;height:1.5pt" o:hralign="center" o:hrstd="t" o:hr="t" fillcolor="#a0a0a0" stroked="f"/>
        </w:pict>
      </w:r>
    </w:p>
    <w:p w:rsidR="00000000" w:rsidRDefault="005B0BC3">
      <w:pPr>
        <w:divId w:val="1875147088"/>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divId w:val="49619776"/>
        <w:rPr>
          <w:rFonts w:eastAsia="Times New Roman"/>
        </w:rPr>
      </w:pPr>
      <w:r>
        <w:rPr>
          <w:rFonts w:eastAsia="Times New Roman"/>
          <w:b/>
          <w:bCs/>
          <w:color w:val="000000"/>
          <w:sz w:val="20"/>
          <w:szCs w:val="20"/>
        </w:rPr>
        <w:t>Key Operating Measures</w:t>
      </w:r>
    </w:p>
    <w:p w:rsidR="00000000" w:rsidRDefault="005B0BC3">
      <w:pPr>
        <w:ind w:firstLine="360"/>
        <w:divId w:val="1752969039"/>
        <w:rPr>
          <w:rFonts w:eastAsia="Times New Roman"/>
        </w:rPr>
      </w:pPr>
      <w:r>
        <w:rPr>
          <w:rFonts w:eastAsia="Times New Roman"/>
          <w:color w:val="000000"/>
          <w:sz w:val="20"/>
          <w:szCs w:val="20"/>
        </w:rPr>
        <w:t xml:space="preserve">In addition to our results presented </w:t>
      </w:r>
      <w:r>
        <w:rPr>
          <w:rFonts w:eastAsia="Times New Roman"/>
          <w:color w:val="000000"/>
          <w:sz w:val="20"/>
          <w:szCs w:val="20"/>
        </w:rPr>
        <w:t>in accordance with U.S. GAAP, we report Non-GAAP Operating Earnings, Non-GAAP Operating ROE, Non-GAAP Operating ROC by segment for our Individual Retirement, Group Retirement and Protection Solutions segments, and Non-GAAP operating common EPS, each of whi</w:t>
      </w:r>
      <w:r>
        <w:rPr>
          <w:rFonts w:eastAsia="Times New Roman"/>
          <w:color w:val="000000"/>
          <w:sz w:val="20"/>
          <w:szCs w:val="20"/>
        </w:rPr>
        <w:t>ch is a measure that is not determined in accordance with U.S. GAAP. Management principally uses these non-GAAP financial measures in evaluating performance because they present a clearer picture of our operating performance and they allow management to al</w:t>
      </w:r>
      <w:r>
        <w:rPr>
          <w:rFonts w:eastAsia="Times New Roman"/>
          <w:color w:val="000000"/>
          <w:sz w:val="20"/>
          <w:szCs w:val="20"/>
        </w:rPr>
        <w:t>locate resources. Similarly, management believes that the use of these Non-GAAP financial measures, together with relevant U.S. GAAP measures, provide investors with a better understanding of our results of operations and the underlying profitability drive</w:t>
      </w:r>
      <w:r>
        <w:rPr>
          <w:rFonts w:eastAsia="Times New Roman"/>
          <w:color w:val="000000"/>
          <w:sz w:val="20"/>
          <w:szCs w:val="20"/>
        </w:rPr>
        <w:t>rs and trends of our business. These non-GAAP financial measures are intended to remove from our results of operations the impact of market changes (where there is mismatch in the valuation of assets and liabilities) as well as certain other expenses which</w:t>
      </w:r>
      <w:r>
        <w:rPr>
          <w:rFonts w:eastAsia="Times New Roman"/>
          <w:color w:val="000000"/>
          <w:sz w:val="20"/>
          <w:szCs w:val="20"/>
        </w:rPr>
        <w:t xml:space="preserve"> are not part of our underlying profitability drivers or likely to re-occur in the foreseeable future, as such items fluctuate from period-to-period in a manner inconsistent with these drivers. These measures should be considered supplementary to our resul</w:t>
      </w:r>
      <w:r>
        <w:rPr>
          <w:rFonts w:eastAsia="Times New Roman"/>
          <w:color w:val="000000"/>
          <w:sz w:val="20"/>
          <w:szCs w:val="20"/>
        </w:rPr>
        <w:t>ts that are presented in accordance with U.S. GAAP and should not be viewed as a substitute for the U.S. GAAP measures. Other companies may use similarly titled non-GAAP financial measures that are calculated differently from the way we calculate such meas</w:t>
      </w:r>
      <w:r>
        <w:rPr>
          <w:rFonts w:eastAsia="Times New Roman"/>
          <w:color w:val="000000"/>
          <w:sz w:val="20"/>
          <w:szCs w:val="20"/>
        </w:rPr>
        <w:t>ures. Consequently, our non-GAAP financial measures may not be comparable to similar measures used by other companies.</w:t>
      </w:r>
    </w:p>
    <w:p w:rsidR="00000000" w:rsidRDefault="005B0BC3">
      <w:pPr>
        <w:ind w:firstLine="360"/>
        <w:divId w:val="289945315"/>
        <w:rPr>
          <w:rFonts w:eastAsia="Times New Roman"/>
        </w:rPr>
      </w:pPr>
      <w:r>
        <w:rPr>
          <w:rFonts w:eastAsia="Times New Roman"/>
          <w:color w:val="000000"/>
          <w:sz w:val="20"/>
          <w:szCs w:val="20"/>
        </w:rPr>
        <w:t>We also discuss certain operating measures, including AUM, AUA, AV, Protection Solutions Reserves and certain other operating measures, w</w:t>
      </w:r>
      <w:r>
        <w:rPr>
          <w:rFonts w:eastAsia="Times New Roman"/>
          <w:color w:val="000000"/>
          <w:sz w:val="20"/>
          <w:szCs w:val="20"/>
        </w:rPr>
        <w:t>hich management believes provide useful information about our businesses and the operational factors underlying our financial performance.</w:t>
      </w:r>
    </w:p>
    <w:p w:rsidR="00000000" w:rsidRDefault="005B0BC3">
      <w:pPr>
        <w:jc w:val="both"/>
        <w:divId w:val="1173375512"/>
        <w:rPr>
          <w:rFonts w:eastAsia="Times New Roman"/>
        </w:rPr>
      </w:pPr>
      <w:r>
        <w:rPr>
          <w:rFonts w:eastAsia="Times New Roman"/>
          <w:b/>
          <w:bCs/>
          <w:i/>
          <w:iCs/>
          <w:color w:val="000000"/>
          <w:sz w:val="20"/>
          <w:szCs w:val="20"/>
        </w:rPr>
        <w:t>Non-GAAP Operating Earnings</w:t>
      </w:r>
    </w:p>
    <w:p w:rsidR="00000000" w:rsidRDefault="005B0BC3">
      <w:pPr>
        <w:ind w:firstLine="360"/>
        <w:divId w:val="119957498"/>
        <w:rPr>
          <w:rFonts w:eastAsia="Times New Roman"/>
        </w:rPr>
      </w:pPr>
      <w:r>
        <w:rPr>
          <w:rFonts w:eastAsia="Times New Roman"/>
          <w:color w:val="000000"/>
          <w:sz w:val="20"/>
          <w:szCs w:val="20"/>
        </w:rPr>
        <w:t>Non-GAAP Operating Earnings is an after-tax non-GAAP financial measure used to evaluate o</w:t>
      </w:r>
      <w:r>
        <w:rPr>
          <w:rFonts w:eastAsia="Times New Roman"/>
          <w:color w:val="000000"/>
          <w:sz w:val="20"/>
          <w:szCs w:val="20"/>
        </w:rPr>
        <w:t>ur financial performance on a consolidated basis that is determined by making certain adjustments to our consolidated after-tax net income attributable to Holdings. The most significant of such adjustments relates to our derivative positions, which protect</w:t>
      </w:r>
      <w:r>
        <w:rPr>
          <w:rFonts w:eastAsia="Times New Roman"/>
          <w:color w:val="000000"/>
          <w:sz w:val="20"/>
          <w:szCs w:val="20"/>
        </w:rPr>
        <w:t xml:space="preserve"> economic value and statutory capital, and are more sensitive to changes in market conditions than the variable annuity product liabilities as valued under U.S. GAAP. This is a large source of volatility in net income. </w:t>
      </w:r>
    </w:p>
    <w:p w:rsidR="00000000" w:rsidRDefault="005B0BC3">
      <w:pPr>
        <w:ind w:firstLine="360"/>
        <w:divId w:val="2119373808"/>
        <w:rPr>
          <w:rFonts w:eastAsia="Times New Roman"/>
        </w:rPr>
      </w:pPr>
      <w:r>
        <w:rPr>
          <w:rFonts w:eastAsia="Times New Roman"/>
          <w:color w:val="000000"/>
          <w:sz w:val="20"/>
          <w:szCs w:val="20"/>
        </w:rPr>
        <w:t>Non-GAAP Operating Earnings equals o</w:t>
      </w:r>
      <w:r>
        <w:rPr>
          <w:rFonts w:eastAsia="Times New Roman"/>
          <w:color w:val="000000"/>
          <w:sz w:val="20"/>
          <w:szCs w:val="20"/>
        </w:rPr>
        <w:t xml:space="preserve">ur consolidated after-tax net income attributable to Holdings adjusted to eliminate the impact of the following items: </w:t>
      </w:r>
    </w:p>
    <w:p w:rsidR="00000000" w:rsidRDefault="005B0BC3">
      <w:pPr>
        <w:ind w:hanging="360"/>
        <w:jc w:val="both"/>
        <w:divId w:val="2059820210"/>
        <w:rPr>
          <w:rFonts w:eastAsia="Times New Roman"/>
        </w:rPr>
      </w:pPr>
      <w:r>
        <w:rPr>
          <w:rFonts w:eastAsia="Times New Roman"/>
          <w:color w:val="000000"/>
          <w:sz w:val="20"/>
          <w:szCs w:val="20"/>
        </w:rPr>
        <w:t>•Items related to variable annuity product features, which include: (i) certain changes in the fair value of the derivatives and other s</w:t>
      </w:r>
      <w:r>
        <w:rPr>
          <w:rFonts w:eastAsia="Times New Roman"/>
          <w:color w:val="000000"/>
          <w:sz w:val="20"/>
          <w:szCs w:val="20"/>
        </w:rPr>
        <w:t>ecurities we use to hedge these features; (ii) the effect of benefit ratio unlock adjustments, including extraordinary economic conditions or events such as COVID-19; and (iii) changes in the fair value of the embedded derivatives reflected within variable</w:t>
      </w:r>
      <w:r>
        <w:rPr>
          <w:rFonts w:eastAsia="Times New Roman"/>
          <w:color w:val="000000"/>
          <w:sz w:val="20"/>
          <w:szCs w:val="20"/>
        </w:rPr>
        <w:t xml:space="preserve"> annuity products’ net derivative results and the impact of these items on DAC amortization on our SCS product; </w:t>
      </w:r>
    </w:p>
    <w:p w:rsidR="00000000" w:rsidRDefault="005B0BC3">
      <w:pPr>
        <w:ind w:hanging="360"/>
        <w:jc w:val="both"/>
        <w:divId w:val="1028601026"/>
        <w:rPr>
          <w:rFonts w:eastAsia="Times New Roman"/>
        </w:rPr>
      </w:pPr>
      <w:r>
        <w:rPr>
          <w:rFonts w:eastAsia="Times New Roman"/>
          <w:color w:val="000000"/>
          <w:sz w:val="20"/>
          <w:szCs w:val="20"/>
        </w:rPr>
        <w:t>•Investment (gains) losses, which includes credit loss impairments of securities/investments, sales or disposals of securities/investments, rea</w:t>
      </w:r>
      <w:r>
        <w:rPr>
          <w:rFonts w:eastAsia="Times New Roman"/>
          <w:color w:val="000000"/>
          <w:sz w:val="20"/>
          <w:szCs w:val="20"/>
        </w:rPr>
        <w:t xml:space="preserve">lized capital gains/losses and valuation allowances; </w:t>
      </w:r>
    </w:p>
    <w:p w:rsidR="00000000" w:rsidRDefault="005B0BC3">
      <w:pPr>
        <w:ind w:hanging="360"/>
        <w:jc w:val="both"/>
        <w:divId w:val="228611905"/>
        <w:rPr>
          <w:rFonts w:eastAsia="Times New Roman"/>
        </w:rPr>
      </w:pPr>
      <w:r>
        <w:rPr>
          <w:rFonts w:eastAsia="Times New Roman"/>
          <w:color w:val="000000"/>
          <w:sz w:val="20"/>
          <w:szCs w:val="20"/>
        </w:rPr>
        <w:t>•Net actuarial (gains) losses, which includes actuarial gains and losses as a result of differences between actual and expected experience on pension plan assets or projected benefit obligation during a</w:t>
      </w:r>
      <w:r>
        <w:rPr>
          <w:rFonts w:eastAsia="Times New Roman"/>
          <w:color w:val="000000"/>
          <w:sz w:val="20"/>
          <w:szCs w:val="20"/>
        </w:rPr>
        <w:t xml:space="preserve"> given period related to pension, other postretirement benefit obligations, and the one-time impact of the settlement of the defined benefit obligation; </w:t>
      </w:r>
    </w:p>
    <w:p w:rsidR="00000000" w:rsidRDefault="005B0BC3">
      <w:pPr>
        <w:ind w:hanging="360"/>
        <w:jc w:val="both"/>
        <w:divId w:val="1762683150"/>
        <w:rPr>
          <w:rFonts w:eastAsia="Times New Roman"/>
        </w:rPr>
      </w:pPr>
      <w:r>
        <w:rPr>
          <w:rFonts w:eastAsia="Times New Roman"/>
          <w:color w:val="000000"/>
          <w:sz w:val="20"/>
          <w:szCs w:val="20"/>
        </w:rPr>
        <w:t>•Other adjustments, which primarily include restructuring costs related to severance and separation, C</w:t>
      </w:r>
      <w:r>
        <w:rPr>
          <w:rFonts w:eastAsia="Times New Roman"/>
          <w:color w:val="000000"/>
          <w:sz w:val="20"/>
          <w:szCs w:val="20"/>
        </w:rPr>
        <w:t xml:space="preserve">OVID-19 related impacts, net derivative gains (losses) on certain Non-GMxB derivatives, net investment income from certain items including consolidated VIE investments, seed capital mark-to-market adjustments, unrealized gain/losses associated with equity </w:t>
      </w:r>
      <w:r>
        <w:rPr>
          <w:rFonts w:eastAsia="Times New Roman"/>
          <w:color w:val="000000"/>
          <w:sz w:val="20"/>
          <w:szCs w:val="20"/>
        </w:rPr>
        <w:t xml:space="preserve">securities and certain legal accruals; and </w:t>
      </w:r>
    </w:p>
    <w:p w:rsidR="00000000" w:rsidRDefault="005B0BC3">
      <w:pPr>
        <w:ind w:hanging="360"/>
        <w:jc w:val="both"/>
        <w:divId w:val="1457529789"/>
        <w:rPr>
          <w:rFonts w:eastAsia="Times New Roman"/>
        </w:rPr>
      </w:pPr>
      <w:r>
        <w:rPr>
          <w:rFonts w:eastAsia="Times New Roman"/>
          <w:color w:val="000000"/>
          <w:sz w:val="20"/>
          <w:szCs w:val="20"/>
        </w:rPr>
        <w:t>•Income tax expense (benefit) related to the above items and non-recurring tax items, which includes the effect of uncertain tax positions for a given audit period.</w:t>
      </w:r>
    </w:p>
    <w:p w:rsidR="00000000" w:rsidRDefault="005B0BC3">
      <w:pPr>
        <w:ind w:firstLine="360"/>
        <w:divId w:val="703139626"/>
        <w:rPr>
          <w:rFonts w:eastAsia="Times New Roman"/>
        </w:rPr>
      </w:pPr>
      <w:r>
        <w:rPr>
          <w:rFonts w:eastAsia="Times New Roman"/>
          <w:color w:val="000000"/>
          <w:sz w:val="20"/>
          <w:szCs w:val="20"/>
        </w:rPr>
        <w:t>Because Non-GAAP Operating Earnings excludes th</w:t>
      </w:r>
      <w:r>
        <w:rPr>
          <w:rFonts w:eastAsia="Times New Roman"/>
          <w:color w:val="000000"/>
          <w:sz w:val="20"/>
          <w:szCs w:val="20"/>
        </w:rPr>
        <w:t xml:space="preserve">e foregoing items that can be distortive or unpredictable, management believes that this measure enhances the understanding of the Company’s underlying drivers of profitability and trends in our business, thereby allowing management to make decisions that </w:t>
      </w:r>
      <w:r>
        <w:rPr>
          <w:rFonts w:eastAsia="Times New Roman"/>
          <w:color w:val="000000"/>
          <w:sz w:val="20"/>
          <w:szCs w:val="20"/>
        </w:rPr>
        <w:t xml:space="preserve">will positively impact our business. </w:t>
      </w:r>
    </w:p>
    <w:p w:rsidR="00000000" w:rsidRDefault="005B0BC3">
      <w:pPr>
        <w:ind w:firstLine="360"/>
        <w:divId w:val="965701342"/>
        <w:rPr>
          <w:rFonts w:eastAsia="Times New Roman"/>
        </w:rPr>
      </w:pPr>
      <w:r>
        <w:rPr>
          <w:rFonts w:eastAsia="Times New Roman"/>
          <w:color w:val="000000"/>
          <w:sz w:val="20"/>
          <w:szCs w:val="20"/>
        </w:rPr>
        <w:t>We use the prevailing corporate federal income tax rate of 21% while taking into account any non-recurring differences for events recognized differently in our financial statements and federal income tax returns as wel</w:t>
      </w:r>
      <w:r>
        <w:rPr>
          <w:rFonts w:eastAsia="Times New Roman"/>
          <w:color w:val="000000"/>
          <w:sz w:val="20"/>
          <w:szCs w:val="20"/>
        </w:rPr>
        <w:t xml:space="preserve">l as partnership income taxed at lower rates when reconciling Net income (loss) attributable to Holdings to Non-GAAP Operating Earnings. </w:t>
      </w:r>
    </w:p>
    <w:p w:rsidR="00000000" w:rsidRDefault="005B0BC3">
      <w:pPr>
        <w:jc w:val="center"/>
        <w:divId w:val="1794400439"/>
        <w:rPr>
          <w:rFonts w:eastAsia="Times New Roman"/>
        </w:rPr>
      </w:pPr>
      <w:r>
        <w:rPr>
          <w:rFonts w:eastAsia="Times New Roman"/>
          <w:color w:val="000000"/>
          <w:sz w:val="20"/>
          <w:szCs w:val="20"/>
        </w:rPr>
        <w:t>81</w:t>
      </w:r>
    </w:p>
    <w:p w:rsidR="00000000" w:rsidRDefault="005B0BC3">
      <w:pPr>
        <w:rPr>
          <w:rFonts w:eastAsia="Times New Roman"/>
        </w:rPr>
      </w:pPr>
      <w:r>
        <w:rPr>
          <w:rFonts w:eastAsia="Times New Roman"/>
        </w:rPr>
        <w:pict>
          <v:rect id="_x0000_i1119" style="width:0;height:1.5pt" o:hralign="center" o:hrstd="t" o:hr="t" fillcolor="#a0a0a0" stroked="f"/>
        </w:pict>
      </w:r>
    </w:p>
    <w:p w:rsidR="00000000" w:rsidRDefault="005B0BC3">
      <w:pPr>
        <w:divId w:val="2003074220"/>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divId w:val="940841747"/>
        <w:rPr>
          <w:rFonts w:eastAsia="Times New Roman"/>
        </w:rPr>
      </w:pPr>
      <w:r>
        <w:rPr>
          <w:rFonts w:eastAsia="Times New Roman"/>
          <w:color w:val="000000"/>
          <w:sz w:val="20"/>
          <w:szCs w:val="20"/>
        </w:rPr>
        <w:t>The table below presents a reconciliation of net income (loss) attributable to Holdings to Non-GAAP Operating Earnings for the years ended December 31, 2021, 2020 and 2019:</w:t>
      </w:r>
    </w:p>
    <w:tbl>
      <w:tblPr>
        <w:tblW w:w="4978" w:type="pct"/>
        <w:tblCellMar>
          <w:top w:w="15" w:type="dxa"/>
          <w:left w:w="15" w:type="dxa"/>
          <w:bottom w:w="15" w:type="dxa"/>
          <w:right w:w="15" w:type="dxa"/>
        </w:tblCellMar>
        <w:tblLook w:val="04A0" w:firstRow="1" w:lastRow="0" w:firstColumn="1" w:lastColumn="0" w:noHBand="0" w:noVBand="1"/>
      </w:tblPr>
      <w:tblGrid>
        <w:gridCol w:w="40"/>
        <w:gridCol w:w="4224"/>
        <w:gridCol w:w="39"/>
        <w:gridCol w:w="120"/>
        <w:gridCol w:w="980"/>
        <w:gridCol w:w="36"/>
        <w:gridCol w:w="36"/>
        <w:gridCol w:w="36"/>
        <w:gridCol w:w="36"/>
        <w:gridCol w:w="120"/>
        <w:gridCol w:w="935"/>
        <w:gridCol w:w="36"/>
        <w:gridCol w:w="36"/>
        <w:gridCol w:w="36"/>
        <w:gridCol w:w="36"/>
        <w:gridCol w:w="120"/>
        <w:gridCol w:w="935"/>
        <w:gridCol w:w="36"/>
        <w:gridCol w:w="36"/>
        <w:gridCol w:w="36"/>
        <w:gridCol w:w="36"/>
        <w:gridCol w:w="36"/>
        <w:gridCol w:w="36"/>
        <w:gridCol w:w="36"/>
        <w:gridCol w:w="36"/>
        <w:gridCol w:w="36"/>
        <w:gridCol w:w="36"/>
        <w:gridCol w:w="36"/>
        <w:gridCol w:w="36"/>
        <w:gridCol w:w="36"/>
      </w:tblGrid>
      <w:tr w:rsidR="00000000">
        <w:trPr>
          <w:divId w:val="295112179"/>
        </w:trPr>
        <w:tc>
          <w:tcPr>
            <w:tcW w:w="50" w:type="pct"/>
            <w:vAlign w:val="center"/>
            <w:hideMark/>
          </w:tcPr>
          <w:p w:rsidR="00000000" w:rsidRDefault="005B0BC3">
            <w:pPr>
              <w:rPr>
                <w:rFonts w:eastAsia="Times New Roman"/>
              </w:rPr>
            </w:pPr>
          </w:p>
        </w:tc>
        <w:tc>
          <w:tcPr>
            <w:tcW w:w="273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5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5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5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295112179"/>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c>
          <w:tcPr>
            <w:tcW w:w="0" w:type="auto"/>
            <w:gridSpan w:val="3"/>
            <w:vAlign w:val="center"/>
            <w:hideMark/>
          </w:tcPr>
          <w:p w:rsidR="00000000" w:rsidRDefault="005B0BC3">
            <w:pPr>
              <w:spacing w:after="100"/>
              <w:jc w:val="center"/>
              <w:rPr>
                <w:rFonts w:eastAsia="Times New Roman"/>
              </w:rPr>
            </w:pPr>
          </w:p>
        </w:tc>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295112179"/>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c>
          <w:tcPr>
            <w:tcW w:w="0" w:type="auto"/>
            <w:gridSpan w:val="3"/>
            <w:vAlign w:val="center"/>
            <w:hideMark/>
          </w:tcPr>
          <w:p w:rsidR="00000000" w:rsidRDefault="005B0BC3">
            <w:pPr>
              <w:spacing w:after="100"/>
              <w:jc w:val="center"/>
              <w:rPr>
                <w:rFonts w:eastAsia="Times New Roman"/>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295112179"/>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295112179"/>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Net income (loss) attributable to Holdings</w:t>
            </w:r>
          </w:p>
        </w:tc>
        <w:tc>
          <w:tcPr>
            <w:tcW w:w="0" w:type="auto"/>
            <w:shd w:val="clear" w:color="auto" w:fill="CCEE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(439)</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(648)</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(1,764)</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295112179"/>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Adjustments related to:</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295112179"/>
        </w:trPr>
        <w:tc>
          <w:tcPr>
            <w:tcW w:w="0" w:type="auto"/>
            <w:gridSpan w:val="3"/>
            <w:shd w:val="clear" w:color="auto" w:fill="CCEE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Variable annuity product features (1)</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4,145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3,912 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4,863 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295112179"/>
        </w:trPr>
        <w:tc>
          <w:tcPr>
            <w:tcW w:w="0" w:type="auto"/>
            <w:gridSpan w:val="3"/>
            <w:shd w:val="clear" w:color="auto" w:fill="FFFF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Investment (gains) losses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(867)</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(744)</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(73)</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295112179"/>
        </w:trPr>
        <w:tc>
          <w:tcPr>
            <w:tcW w:w="0" w:type="auto"/>
            <w:gridSpan w:val="3"/>
            <w:shd w:val="clear" w:color="auto" w:fill="CCEE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Net actuarial (gains) losses related to pension and other postretirement benefit obligations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295112179"/>
        </w:trPr>
        <w:tc>
          <w:tcPr>
            <w:tcW w:w="0" w:type="auto"/>
            <w:gridSpan w:val="3"/>
            <w:shd w:val="clear" w:color="auto" w:fill="FFFF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Other adjustments (2) (3) (4) (5)</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952 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395 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295112179"/>
        </w:trPr>
        <w:tc>
          <w:tcPr>
            <w:tcW w:w="0" w:type="auto"/>
            <w:gridSpan w:val="3"/>
            <w:shd w:val="clear" w:color="auto" w:fill="CCEE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Income tax expense (benefit) related to above adjustments (6)</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(864)</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(888)</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(1,097)</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295112179"/>
        </w:trPr>
        <w:tc>
          <w:tcPr>
            <w:tcW w:w="0" w:type="auto"/>
            <w:gridSpan w:val="3"/>
            <w:shd w:val="clear" w:color="auto" w:fill="FFFF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Non-recurring tax items (7)</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(391)</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(66)</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295112179"/>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Non-GAAP Operating Earnings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2,825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2,302 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2,357 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295112179"/>
          <w:trHeight w:val="300"/>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bl>
    <w:p w:rsidR="00000000" w:rsidRDefault="005B0BC3">
      <w:pPr>
        <w:divId w:val="859050827"/>
        <w:rPr>
          <w:rFonts w:eastAsia="Times New Roman"/>
        </w:rPr>
      </w:pPr>
      <w:r>
        <w:rPr>
          <w:rFonts w:eastAsia="Times New Roman"/>
          <w:color w:val="000000"/>
          <w:sz w:val="18"/>
          <w:szCs w:val="18"/>
        </w:rPr>
        <w:t>___________</w:t>
      </w:r>
    </w:p>
    <w:p w:rsidR="00000000" w:rsidRDefault="005B0BC3">
      <w:pPr>
        <w:ind w:hanging="540"/>
        <w:divId w:val="834802550"/>
        <w:rPr>
          <w:rFonts w:eastAsia="Times New Roman"/>
        </w:rPr>
      </w:pPr>
      <w:r>
        <w:rPr>
          <w:rFonts w:eastAsia="Times New Roman"/>
          <w:color w:val="000000"/>
          <w:sz w:val="18"/>
          <w:szCs w:val="18"/>
        </w:rPr>
        <w:t>(1)</w:t>
      </w:r>
      <w:r>
        <w:rPr>
          <w:rFonts w:eastAsia="Times New Roman"/>
          <w:color w:val="000000"/>
          <w:sz w:val="18"/>
          <w:szCs w:val="18"/>
        </w:rPr>
        <w:t xml:space="preserve">Includes COVID-19 impact on Variable annuity product features due to a first quarter 2020 assumption update of $1.5 billion and other COVID-19 related impacts of $35 million for the year ended December 31, 2020. </w:t>
      </w:r>
    </w:p>
    <w:p w:rsidR="00000000" w:rsidRDefault="005B0BC3">
      <w:pPr>
        <w:ind w:hanging="540"/>
        <w:divId w:val="605625008"/>
        <w:rPr>
          <w:rFonts w:eastAsia="Times New Roman"/>
        </w:rPr>
      </w:pPr>
      <w:r>
        <w:rPr>
          <w:rFonts w:eastAsia="Times New Roman"/>
          <w:color w:val="000000"/>
          <w:sz w:val="18"/>
          <w:szCs w:val="18"/>
        </w:rPr>
        <w:t>(2)Includes COVID-19 impact on Other adjust</w:t>
      </w:r>
      <w:r>
        <w:rPr>
          <w:rFonts w:eastAsia="Times New Roman"/>
          <w:color w:val="000000"/>
          <w:sz w:val="18"/>
          <w:szCs w:val="18"/>
        </w:rPr>
        <w:t>ments due to a first quarter 2020 assumption update of $1.0 billion and other COVID-19 related impacts of $86 million for the year ended December 31, 2020.</w:t>
      </w:r>
    </w:p>
    <w:p w:rsidR="00000000" w:rsidRDefault="005B0BC3">
      <w:pPr>
        <w:ind w:hanging="540"/>
        <w:divId w:val="1796219615"/>
        <w:rPr>
          <w:rFonts w:eastAsia="Times New Roman"/>
        </w:rPr>
      </w:pPr>
      <w:r>
        <w:rPr>
          <w:rFonts w:eastAsia="Times New Roman"/>
          <w:color w:val="000000"/>
          <w:sz w:val="18"/>
          <w:szCs w:val="18"/>
        </w:rPr>
        <w:t>(3)Other adjustments includes separation costs of $82 million,$108 million, and $222 million for the</w:t>
      </w:r>
      <w:r>
        <w:rPr>
          <w:rFonts w:eastAsia="Times New Roman"/>
          <w:color w:val="000000"/>
          <w:sz w:val="18"/>
          <w:szCs w:val="18"/>
        </w:rPr>
        <w:t xml:space="preserve"> years ended December 31, 2021, 2020 and 2019, respectively.</w:t>
      </w:r>
    </w:p>
    <w:p w:rsidR="00000000" w:rsidRDefault="005B0BC3">
      <w:pPr>
        <w:ind w:hanging="540"/>
        <w:divId w:val="1540051574"/>
        <w:rPr>
          <w:rFonts w:eastAsia="Times New Roman"/>
        </w:rPr>
      </w:pPr>
      <w:r>
        <w:rPr>
          <w:rFonts w:eastAsia="Times New Roman"/>
          <w:color w:val="000000"/>
          <w:sz w:val="18"/>
          <w:szCs w:val="18"/>
        </w:rPr>
        <w:t>(4)Includes Non-GMxB related derivative hedge losses of $65 million, ($404) million and $36 million for the years ended December 31, 2021, 2020 and 2019, respectively.</w:t>
      </w:r>
    </w:p>
    <w:p w:rsidR="00000000" w:rsidRDefault="005B0BC3">
      <w:pPr>
        <w:ind w:hanging="540"/>
        <w:divId w:val="589240266"/>
        <w:rPr>
          <w:rFonts w:eastAsia="Times New Roman"/>
        </w:rPr>
      </w:pPr>
      <w:r>
        <w:rPr>
          <w:rFonts w:eastAsia="Times New Roman"/>
          <w:color w:val="000000"/>
          <w:sz w:val="18"/>
          <w:szCs w:val="18"/>
        </w:rPr>
        <w:t>(5)Includes certain legal a</w:t>
      </w:r>
      <w:r>
        <w:rPr>
          <w:rFonts w:eastAsia="Times New Roman"/>
          <w:color w:val="000000"/>
          <w:sz w:val="18"/>
          <w:szCs w:val="18"/>
        </w:rPr>
        <w:t>ccruals related to the cost of insurance litigation of $207 million for the year ended December 31, 2021.</w:t>
      </w:r>
    </w:p>
    <w:p w:rsidR="00000000" w:rsidRDefault="005B0BC3">
      <w:pPr>
        <w:ind w:hanging="540"/>
        <w:divId w:val="564612510"/>
        <w:rPr>
          <w:rFonts w:eastAsia="Times New Roman"/>
        </w:rPr>
      </w:pPr>
      <w:r>
        <w:rPr>
          <w:rFonts w:eastAsia="Times New Roman"/>
          <w:color w:val="000000"/>
          <w:sz w:val="18"/>
          <w:szCs w:val="18"/>
        </w:rPr>
        <w:t xml:space="preserve">(6)Includes income taxes of ($554) million for the above related COVID-19 items for the year ended December 31, 2020. </w:t>
      </w:r>
    </w:p>
    <w:p w:rsidR="00000000" w:rsidRDefault="005B0BC3">
      <w:pPr>
        <w:ind w:hanging="540"/>
        <w:divId w:val="1466047826"/>
        <w:rPr>
          <w:rFonts w:eastAsia="Times New Roman"/>
        </w:rPr>
      </w:pPr>
      <w:r>
        <w:rPr>
          <w:rFonts w:eastAsia="Times New Roman"/>
          <w:color w:val="000000"/>
          <w:sz w:val="18"/>
          <w:szCs w:val="18"/>
        </w:rPr>
        <w:t xml:space="preserve">(7)Includes a reduction in the </w:t>
      </w:r>
      <w:r>
        <w:rPr>
          <w:rFonts w:eastAsia="Times New Roman"/>
          <w:color w:val="000000"/>
          <w:sz w:val="18"/>
          <w:szCs w:val="18"/>
        </w:rPr>
        <w:t>reserve for uncertain tax positions resulting from the completion of an IRS examination in the year ended December 31, 2020.</w:t>
      </w:r>
    </w:p>
    <w:p w:rsidR="00000000" w:rsidRDefault="005B0BC3">
      <w:pPr>
        <w:jc w:val="both"/>
        <w:divId w:val="1774937534"/>
        <w:rPr>
          <w:rFonts w:eastAsia="Times New Roman"/>
        </w:rPr>
      </w:pPr>
      <w:r>
        <w:rPr>
          <w:rFonts w:eastAsia="Times New Roman"/>
          <w:b/>
          <w:bCs/>
          <w:i/>
          <w:iCs/>
          <w:color w:val="000000"/>
          <w:sz w:val="20"/>
          <w:szCs w:val="20"/>
        </w:rPr>
        <w:t>Non-GAAP Operating ROE and Non-GAAP Operating ROC by Segment    </w:t>
      </w:r>
    </w:p>
    <w:p w:rsidR="00000000" w:rsidRDefault="005B0BC3">
      <w:pPr>
        <w:ind w:firstLine="360"/>
        <w:divId w:val="1247029781"/>
        <w:rPr>
          <w:rFonts w:eastAsia="Times New Roman"/>
        </w:rPr>
      </w:pPr>
      <w:r>
        <w:rPr>
          <w:rFonts w:eastAsia="Times New Roman"/>
          <w:color w:val="000000"/>
          <w:sz w:val="20"/>
          <w:szCs w:val="20"/>
        </w:rPr>
        <w:t>We report Non-GAAP Operating ROE and Non-GAAP Operating ROC by segment for our Individual Retirement, Group Retirement and Protection Solutions segments, each of which is a Non-GAAP financial measure used to evaluate our profitability on a consolidated bas</w:t>
      </w:r>
      <w:r>
        <w:rPr>
          <w:rFonts w:eastAsia="Times New Roman"/>
          <w:color w:val="000000"/>
          <w:sz w:val="20"/>
          <w:szCs w:val="20"/>
        </w:rPr>
        <w:t xml:space="preserve">is and by segment, respectively. </w:t>
      </w:r>
    </w:p>
    <w:p w:rsidR="00000000" w:rsidRDefault="005B0BC3">
      <w:pPr>
        <w:ind w:firstLine="360"/>
        <w:divId w:val="2119136027"/>
        <w:rPr>
          <w:rFonts w:eastAsia="Times New Roman"/>
        </w:rPr>
      </w:pPr>
      <w:r>
        <w:rPr>
          <w:rFonts w:eastAsia="Times New Roman"/>
          <w:color w:val="000000"/>
          <w:sz w:val="20"/>
          <w:szCs w:val="20"/>
        </w:rPr>
        <w:t>We calculate Non-GAAP Operating ROE by dividing Non-GAAP operating earnings for the previous twelve calendar months by consolidated average equity attributable to Holdings’ common shareholders, excluding AOCI. We calculate</w:t>
      </w:r>
      <w:r>
        <w:rPr>
          <w:rFonts w:eastAsia="Times New Roman"/>
          <w:color w:val="000000"/>
          <w:sz w:val="20"/>
          <w:szCs w:val="20"/>
        </w:rPr>
        <w:t xml:space="preserve"> Non-GAAP Operating ROC by segment by dividing Operating earnings (loss) on a segment basis for the previous twelve calendar months by average capital on a segment basis, excluding AOCI, as described below. AOCI fluctuates period-to-period in a manner inco</w:t>
      </w:r>
      <w:r>
        <w:rPr>
          <w:rFonts w:eastAsia="Times New Roman"/>
          <w:color w:val="000000"/>
          <w:sz w:val="20"/>
          <w:szCs w:val="20"/>
        </w:rPr>
        <w:t xml:space="preserve">nsistent with our underlying profitability drivers as the majority of such fluctuation is related to the market volatility of the unrealized gains and losses associated with our AFS securities. </w:t>
      </w:r>
    </w:p>
    <w:p w:rsidR="00000000" w:rsidRDefault="005B0BC3">
      <w:pPr>
        <w:ind w:firstLine="360"/>
        <w:divId w:val="230507930"/>
        <w:rPr>
          <w:rFonts w:eastAsia="Times New Roman"/>
        </w:rPr>
      </w:pPr>
      <w:r>
        <w:rPr>
          <w:rFonts w:eastAsia="Times New Roman"/>
          <w:color w:val="000000"/>
          <w:sz w:val="20"/>
          <w:szCs w:val="20"/>
        </w:rPr>
        <w:t>Therefore, we believe excluding AOCI is more effective for an</w:t>
      </w:r>
      <w:r>
        <w:rPr>
          <w:rFonts w:eastAsia="Times New Roman"/>
          <w:color w:val="000000"/>
          <w:sz w:val="20"/>
          <w:szCs w:val="20"/>
        </w:rPr>
        <w:t>alyzing the trends of our operations. We do not calculate Non-GAAP Operating ROC by segment for our Investment Management and Research segment because we do not manage that segment from a return of capital perspective. Instead, we use metrics more directly</w:t>
      </w:r>
      <w:r>
        <w:rPr>
          <w:rFonts w:eastAsia="Times New Roman"/>
          <w:color w:val="000000"/>
          <w:sz w:val="20"/>
          <w:szCs w:val="20"/>
        </w:rPr>
        <w:t xml:space="preserve"> applicable to an asset management business, such as AUM, to evaluate and manage that segment.</w:t>
      </w:r>
    </w:p>
    <w:p w:rsidR="00000000" w:rsidRDefault="005B0BC3">
      <w:pPr>
        <w:ind w:firstLine="360"/>
        <w:divId w:val="1315335100"/>
        <w:rPr>
          <w:rFonts w:eastAsia="Times New Roman"/>
        </w:rPr>
      </w:pPr>
      <w:r>
        <w:rPr>
          <w:rFonts w:eastAsia="Times New Roman"/>
          <w:color w:val="000000"/>
          <w:sz w:val="20"/>
          <w:szCs w:val="20"/>
        </w:rPr>
        <w:t>For Non-GAAP Operating ROC by segment, capital components pertaining directly to specific segments such as DAC along with targeted capital are directly attribute</w:t>
      </w:r>
      <w:r>
        <w:rPr>
          <w:rFonts w:eastAsia="Times New Roman"/>
          <w:color w:val="000000"/>
          <w:sz w:val="20"/>
          <w:szCs w:val="20"/>
        </w:rPr>
        <w:t>d to these segments. Targeted capital for each segment is established using assumptions supporting statutory capital adequacy levels, reflecting the NAIC RBC framework adopted as of year-end 2019. To enhance the ability to analyze these measures across per</w:t>
      </w:r>
      <w:r>
        <w:rPr>
          <w:rFonts w:eastAsia="Times New Roman"/>
          <w:color w:val="000000"/>
          <w:sz w:val="20"/>
          <w:szCs w:val="20"/>
        </w:rPr>
        <w:t xml:space="preserve">iods, interim periods are annualized. Non-GAAP Operating ROE and Non-GAAP Operating ROC by segment should not be used as substitutes for ROE. </w:t>
      </w:r>
    </w:p>
    <w:p w:rsidR="00000000" w:rsidRDefault="005B0BC3">
      <w:pPr>
        <w:ind w:firstLine="360"/>
        <w:divId w:val="1132596023"/>
        <w:rPr>
          <w:rFonts w:eastAsia="Times New Roman"/>
        </w:rPr>
      </w:pPr>
      <w:r>
        <w:rPr>
          <w:rFonts w:eastAsia="Times New Roman"/>
          <w:color w:val="000000"/>
          <w:sz w:val="20"/>
          <w:szCs w:val="20"/>
        </w:rPr>
        <w:t>The following table presents return on average equity attributable to Holdings’ common shareholders, excluding AO</w:t>
      </w:r>
      <w:r>
        <w:rPr>
          <w:rFonts w:eastAsia="Times New Roman"/>
          <w:color w:val="000000"/>
          <w:sz w:val="20"/>
          <w:szCs w:val="20"/>
        </w:rPr>
        <w:t>CI and Non-GAAP Operating ROE for the year ended December 31, 2021.</w:t>
      </w:r>
    </w:p>
    <w:p w:rsidR="00000000" w:rsidRDefault="005B0BC3">
      <w:pPr>
        <w:jc w:val="center"/>
        <w:divId w:val="1210384471"/>
        <w:rPr>
          <w:rFonts w:eastAsia="Times New Roman"/>
        </w:rPr>
      </w:pPr>
      <w:r>
        <w:rPr>
          <w:rFonts w:eastAsia="Times New Roman"/>
          <w:color w:val="000000"/>
          <w:sz w:val="20"/>
          <w:szCs w:val="20"/>
        </w:rPr>
        <w:t>82</w:t>
      </w:r>
    </w:p>
    <w:p w:rsidR="00000000" w:rsidRDefault="005B0BC3">
      <w:pPr>
        <w:rPr>
          <w:rFonts w:eastAsia="Times New Roman"/>
        </w:rPr>
      </w:pPr>
      <w:r>
        <w:rPr>
          <w:rFonts w:eastAsia="Times New Roman"/>
        </w:rPr>
        <w:pict>
          <v:rect id="_x0000_i1120" style="width:0;height:1.5pt" o:hralign="center" o:hrstd="t" o:hr="t" fillcolor="#a0a0a0" stroked="f"/>
        </w:pict>
      </w:r>
    </w:p>
    <w:p w:rsidR="00000000" w:rsidRDefault="005B0BC3">
      <w:pPr>
        <w:divId w:val="841241281"/>
        <w:rPr>
          <w:rFonts w:eastAsia="Times New Roman"/>
        </w:rPr>
      </w:pPr>
      <w:hyperlink w:anchor="i2ac35847634046b3a89f93d9b422e8f5_421" w:history="1">
        <w:r>
          <w:rPr>
            <w:rStyle w:val="a3"/>
            <w:rFonts w:eastAsia="Times New Roman"/>
            <w:b/>
            <w:bCs/>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7"/>
        <w:gridCol w:w="6560"/>
        <w:gridCol w:w="36"/>
        <w:gridCol w:w="120"/>
        <w:gridCol w:w="1333"/>
        <w:gridCol w:w="220"/>
      </w:tblGrid>
      <w:tr w:rsidR="00000000">
        <w:trPr>
          <w:divId w:val="607742364"/>
        </w:trPr>
        <w:tc>
          <w:tcPr>
            <w:tcW w:w="50" w:type="pct"/>
            <w:vAlign w:val="center"/>
            <w:hideMark/>
          </w:tcPr>
          <w:p w:rsidR="00000000" w:rsidRDefault="005B0BC3">
            <w:pPr>
              <w:rPr>
                <w:rFonts w:eastAsia="Times New Roman"/>
              </w:rPr>
            </w:pPr>
          </w:p>
        </w:tc>
        <w:tc>
          <w:tcPr>
            <w:tcW w:w="403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85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607742364"/>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 2021</w:t>
            </w:r>
          </w:p>
        </w:tc>
      </w:tr>
      <w:tr w:rsidR="00000000">
        <w:trPr>
          <w:divId w:val="607742364"/>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607742364"/>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Net income (loss) available to Holdings’ common shareholders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(518)</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07742364"/>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Average equity attributable to Holdings’ common shareholders, excluding AOCI</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8,193</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07742364"/>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Return on average equity attributable to Holdings’ common shareholders, excluding AOCI</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(6.3)</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p>
        </w:tc>
      </w:tr>
      <w:tr w:rsidR="00000000">
        <w:trPr>
          <w:divId w:val="607742364"/>
          <w:trHeight w:val="280"/>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607742364"/>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Non-GAAP Operating Earnings available to Holdings’ common shareholders</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2,746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07742364"/>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Average equity attributable to Holdings’ common shareholders, excluding AOCI</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8,193</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07742364"/>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Non-GAAP Operating ROE</w:t>
            </w: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33.5</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p>
        </w:tc>
      </w:tr>
    </w:tbl>
    <w:p w:rsidR="00000000" w:rsidRDefault="005B0BC3">
      <w:pPr>
        <w:ind w:hanging="360"/>
        <w:divId w:val="831604154"/>
        <w:rPr>
          <w:rFonts w:eastAsia="Times New Roman"/>
        </w:rPr>
      </w:pPr>
    </w:p>
    <w:p w:rsidR="00000000" w:rsidRDefault="005B0BC3">
      <w:pPr>
        <w:ind w:firstLine="360"/>
        <w:divId w:val="2130930468"/>
        <w:rPr>
          <w:rFonts w:eastAsia="Times New Roman"/>
        </w:rPr>
      </w:pPr>
      <w:r>
        <w:rPr>
          <w:rFonts w:eastAsia="Times New Roman"/>
          <w:color w:val="000000"/>
          <w:sz w:val="20"/>
          <w:szCs w:val="20"/>
        </w:rPr>
        <w:t>The following table presents Non-GAAP Operating ROC by segment for our Individual Retirement, Group Retirement and Protection Solutions segments for the years ended December 31, 2021, 2020 and 2019.</w:t>
      </w:r>
    </w:p>
    <w:tbl>
      <w:tblPr>
        <w:tblW w:w="4970" w:type="pct"/>
        <w:tblCellMar>
          <w:top w:w="15" w:type="dxa"/>
          <w:left w:w="15" w:type="dxa"/>
          <w:bottom w:w="15" w:type="dxa"/>
          <w:right w:w="15" w:type="dxa"/>
        </w:tblCellMar>
        <w:tblLook w:val="04A0" w:firstRow="1" w:lastRow="0" w:firstColumn="1" w:lastColumn="0" w:noHBand="0" w:noVBand="1"/>
      </w:tblPr>
      <w:tblGrid>
        <w:gridCol w:w="37"/>
        <w:gridCol w:w="4523"/>
        <w:gridCol w:w="36"/>
        <w:gridCol w:w="120"/>
        <w:gridCol w:w="887"/>
        <w:gridCol w:w="220"/>
        <w:gridCol w:w="36"/>
        <w:gridCol w:w="36"/>
        <w:gridCol w:w="36"/>
        <w:gridCol w:w="120"/>
        <w:gridCol w:w="768"/>
        <w:gridCol w:w="220"/>
        <w:gridCol w:w="36"/>
        <w:gridCol w:w="36"/>
        <w:gridCol w:w="36"/>
        <w:gridCol w:w="120"/>
        <w:gridCol w:w="769"/>
        <w:gridCol w:w="220"/>
      </w:tblGrid>
      <w:tr w:rsidR="00000000">
        <w:trPr>
          <w:divId w:val="1310475966"/>
        </w:trPr>
        <w:tc>
          <w:tcPr>
            <w:tcW w:w="50" w:type="pct"/>
            <w:vAlign w:val="center"/>
            <w:hideMark/>
          </w:tcPr>
          <w:p w:rsidR="00000000" w:rsidRDefault="005B0BC3">
            <w:pPr>
              <w:ind w:firstLine="360"/>
              <w:rPr>
                <w:rFonts w:eastAsia="Times New Roman"/>
              </w:rPr>
            </w:pPr>
          </w:p>
        </w:tc>
        <w:tc>
          <w:tcPr>
            <w:tcW w:w="286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1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1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1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310475966"/>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Individual Retirement</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Group Retirement</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Protection Solutions</w:t>
            </w:r>
          </w:p>
        </w:tc>
      </w:tr>
      <w:tr w:rsidR="00000000">
        <w:trPr>
          <w:divId w:val="1310475966"/>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1310475966"/>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Year Ended December 31, 2021</w:t>
            </w:r>
          </w:p>
        </w:tc>
        <w:tc>
          <w:tcPr>
            <w:tcW w:w="0" w:type="auto"/>
            <w:gridSpan w:val="15"/>
            <w:tcMar>
              <w:top w:w="0" w:type="dxa"/>
              <w:left w:w="20" w:type="dxa"/>
              <w:bottom w:w="0" w:type="dxa"/>
              <w:right w:w="20" w:type="dxa"/>
            </w:tcMar>
            <w:vAlign w:val="center"/>
            <w:hideMark/>
          </w:tcPr>
          <w:p w:rsidR="00000000" w:rsidRDefault="005B0BC3">
            <w:pPr>
              <w:spacing w:after="100"/>
              <w:rPr>
                <w:rFonts w:eastAsia="Times New Roman"/>
              </w:rPr>
            </w:pPr>
          </w:p>
        </w:tc>
      </w:tr>
      <w:tr w:rsidR="00000000">
        <w:trPr>
          <w:divId w:val="1310475966"/>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Operating earnings</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10475966"/>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Average capital (1)</w:t>
            </w: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6,350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2,154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10475966"/>
        </w:trPr>
        <w:tc>
          <w:tcPr>
            <w:tcW w:w="0" w:type="auto"/>
            <w:gridSpan w:val="3"/>
            <w:shd w:val="clear" w:color="auto" w:fill="CCEEFF"/>
            <w:tcMar>
              <w:top w:w="30" w:type="dxa"/>
              <w:left w:w="20" w:type="dxa"/>
              <w:bottom w:w="30" w:type="dxa"/>
              <w:right w:w="20" w:type="dxa"/>
            </w:tcMar>
            <w:hideMark/>
          </w:tcPr>
          <w:p w:rsidR="00000000" w:rsidRDefault="005B0BC3">
            <w:pPr>
              <w:spacing w:after="100"/>
              <w:ind w:hanging="360"/>
              <w:divId w:val="1847745934"/>
              <w:rPr>
                <w:rFonts w:eastAsia="Times New Roman"/>
              </w:rPr>
            </w:pPr>
            <w:r>
              <w:rPr>
                <w:rFonts w:eastAsia="Times New Roman"/>
                <w:color w:val="000000"/>
                <w:sz w:val="20"/>
                <w:szCs w:val="20"/>
              </w:rPr>
              <w:t>Non-GAAP Operating ROC</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22.8</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54.6</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14.7</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p>
        </w:tc>
      </w:tr>
      <w:tr w:rsidR="00000000">
        <w:trPr>
          <w:divId w:val="1310475966"/>
          <w:trHeight w:val="280"/>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310475966"/>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Year Ended December 31, 2020</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310475966"/>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Operating earnings</w:t>
            </w: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1,536 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491 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10475966"/>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Average capital (1)</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6,352 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1,073 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2,170 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10475966"/>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Non-GAAP Operating ROC</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24.2 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45.8 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6.7 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r>
      <w:tr w:rsidR="00000000">
        <w:trPr>
          <w:divId w:val="1310475966"/>
          <w:trHeight w:val="280"/>
        </w:trPr>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310475966"/>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Year Ended December 31, 2019</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310475966"/>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Operating earnings</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1,598 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390 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336 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10475966"/>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Average capital (1)</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7,357 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1,333 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2,998 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10475966"/>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Non-GAAP Operating ROC</w:t>
            </w: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21.7 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29.3 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11.2 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r>
    </w:tbl>
    <w:p w:rsidR="00000000" w:rsidRDefault="005B0BC3">
      <w:pPr>
        <w:divId w:val="60718803"/>
        <w:rPr>
          <w:rFonts w:eastAsia="Times New Roman"/>
        </w:rPr>
      </w:pPr>
      <w:r>
        <w:rPr>
          <w:rFonts w:eastAsia="Times New Roman"/>
          <w:color w:val="000000"/>
          <w:sz w:val="18"/>
          <w:szCs w:val="18"/>
        </w:rPr>
        <w:t>_____________</w:t>
      </w:r>
    </w:p>
    <w:p w:rsidR="00000000" w:rsidRDefault="005B0BC3">
      <w:pPr>
        <w:ind w:hanging="540"/>
        <w:divId w:val="515074093"/>
        <w:rPr>
          <w:rFonts w:eastAsia="Times New Roman"/>
        </w:rPr>
      </w:pPr>
      <w:r>
        <w:rPr>
          <w:rFonts w:eastAsia="Times New Roman"/>
          <w:color w:val="000000"/>
          <w:sz w:val="18"/>
          <w:szCs w:val="18"/>
        </w:rPr>
        <w:t>(1)</w:t>
      </w:r>
      <w:r>
        <w:rPr>
          <w:rFonts w:eastAsia="Times New Roman"/>
          <w:color w:val="000000"/>
          <w:sz w:val="18"/>
          <w:szCs w:val="18"/>
        </w:rPr>
        <w:t>For average capital amounts by segment, capital components pertaining directly to specific segments such as DAC along with targeted capital are directly attributed to these segments. Targeted capital for each segment is established using assumptions suppor</w:t>
      </w:r>
      <w:r>
        <w:rPr>
          <w:rFonts w:eastAsia="Times New Roman"/>
          <w:color w:val="000000"/>
          <w:sz w:val="18"/>
          <w:szCs w:val="18"/>
        </w:rPr>
        <w:t xml:space="preserve">ting statutory capital adequacy levels (including CTE98). </w:t>
      </w:r>
    </w:p>
    <w:p w:rsidR="00000000" w:rsidRDefault="005B0BC3">
      <w:pPr>
        <w:jc w:val="both"/>
        <w:divId w:val="599803949"/>
        <w:rPr>
          <w:rFonts w:eastAsia="Times New Roman"/>
        </w:rPr>
      </w:pPr>
      <w:r>
        <w:rPr>
          <w:rFonts w:eastAsia="Times New Roman"/>
          <w:b/>
          <w:bCs/>
          <w:i/>
          <w:iCs/>
          <w:color w:val="000000"/>
          <w:sz w:val="20"/>
          <w:szCs w:val="20"/>
        </w:rPr>
        <w:t>Non-GAAP Operating Common EPS</w:t>
      </w:r>
    </w:p>
    <w:p w:rsidR="00000000" w:rsidRDefault="005B0BC3">
      <w:pPr>
        <w:ind w:firstLine="360"/>
        <w:divId w:val="31347794"/>
        <w:rPr>
          <w:rFonts w:eastAsia="Times New Roman"/>
        </w:rPr>
      </w:pPr>
      <w:r>
        <w:rPr>
          <w:rFonts w:eastAsia="Times New Roman"/>
          <w:color w:val="000000"/>
          <w:sz w:val="20"/>
          <w:szCs w:val="20"/>
        </w:rPr>
        <w:t>Non-GAAP operating common EPS is calculated by dividing Non-GAAP Operating Earnings by diluted common shares outstanding. The following table sets forth Non-GAAP opera</w:t>
      </w:r>
      <w:r>
        <w:rPr>
          <w:rFonts w:eastAsia="Times New Roman"/>
          <w:color w:val="000000"/>
          <w:sz w:val="20"/>
          <w:szCs w:val="20"/>
        </w:rPr>
        <w:t>ting common EPS for the years ended December 31, 2021, 2020 and 2019.</w:t>
      </w:r>
    </w:p>
    <w:p w:rsidR="00000000" w:rsidRDefault="005B0BC3">
      <w:pPr>
        <w:jc w:val="center"/>
        <w:divId w:val="1633827741"/>
        <w:rPr>
          <w:rFonts w:eastAsia="Times New Roman"/>
        </w:rPr>
      </w:pPr>
      <w:r>
        <w:rPr>
          <w:rFonts w:eastAsia="Times New Roman"/>
          <w:color w:val="000000"/>
          <w:sz w:val="20"/>
          <w:szCs w:val="20"/>
        </w:rPr>
        <w:t>83</w:t>
      </w:r>
    </w:p>
    <w:p w:rsidR="00000000" w:rsidRDefault="005B0BC3">
      <w:pPr>
        <w:rPr>
          <w:rFonts w:eastAsia="Times New Roman"/>
        </w:rPr>
      </w:pPr>
      <w:r>
        <w:rPr>
          <w:rFonts w:eastAsia="Times New Roman"/>
        </w:rPr>
        <w:pict>
          <v:rect id="_x0000_i1121" style="width:0;height:1.5pt" o:hralign="center" o:hrstd="t" o:hr="t" fillcolor="#a0a0a0" stroked="f"/>
        </w:pict>
      </w:r>
    </w:p>
    <w:p w:rsidR="00000000" w:rsidRDefault="005B0BC3">
      <w:pPr>
        <w:divId w:val="2021933740"/>
        <w:rPr>
          <w:rFonts w:eastAsia="Times New Roman"/>
        </w:rPr>
      </w:pPr>
      <w:hyperlink w:anchor="i2ac35847634046b3a89f93d9b422e8f5_421" w:history="1">
        <w:r>
          <w:rPr>
            <w:rStyle w:val="a3"/>
            <w:rFonts w:eastAsia="Times New Roman"/>
            <w:b/>
            <w:bCs/>
            <w:sz w:val="20"/>
            <w:szCs w:val="20"/>
          </w:rPr>
          <w:t>Table of Contents</w:t>
        </w:r>
      </w:hyperlink>
    </w:p>
    <w:tbl>
      <w:tblPr>
        <w:tblW w:w="4978" w:type="pct"/>
        <w:tblCellMar>
          <w:top w:w="15" w:type="dxa"/>
          <w:left w:w="15" w:type="dxa"/>
          <w:bottom w:w="15" w:type="dxa"/>
          <w:right w:w="15" w:type="dxa"/>
        </w:tblCellMar>
        <w:tblLook w:val="04A0" w:firstRow="1" w:lastRow="0" w:firstColumn="1" w:lastColumn="0" w:noHBand="0" w:noVBand="1"/>
      </w:tblPr>
      <w:tblGrid>
        <w:gridCol w:w="40"/>
        <w:gridCol w:w="4471"/>
        <w:gridCol w:w="39"/>
        <w:gridCol w:w="120"/>
        <w:gridCol w:w="1039"/>
        <w:gridCol w:w="36"/>
        <w:gridCol w:w="36"/>
        <w:gridCol w:w="36"/>
        <w:gridCol w:w="36"/>
        <w:gridCol w:w="120"/>
        <w:gridCol w:w="998"/>
        <w:gridCol w:w="36"/>
        <w:gridCol w:w="36"/>
        <w:gridCol w:w="36"/>
        <w:gridCol w:w="36"/>
        <w:gridCol w:w="120"/>
        <w:gridCol w:w="998"/>
        <w:gridCol w:w="36"/>
      </w:tblGrid>
      <w:tr w:rsidR="00000000">
        <w:trPr>
          <w:divId w:val="2117098809"/>
        </w:trPr>
        <w:tc>
          <w:tcPr>
            <w:tcW w:w="50" w:type="pct"/>
            <w:vAlign w:val="center"/>
            <w:hideMark/>
          </w:tcPr>
          <w:p w:rsidR="00000000" w:rsidRDefault="005B0BC3">
            <w:pPr>
              <w:rPr>
                <w:rFonts w:eastAsia="Times New Roman"/>
              </w:rPr>
            </w:pPr>
          </w:p>
        </w:tc>
        <w:tc>
          <w:tcPr>
            <w:tcW w:w="273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5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5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5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2117098809"/>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r>
      <w:tr w:rsidR="00000000">
        <w:trPr>
          <w:divId w:val="2117098809"/>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2117098809"/>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(per share amounts)</w:t>
            </w:r>
          </w:p>
        </w:tc>
      </w:tr>
      <w:tr w:rsidR="00000000">
        <w:trPr>
          <w:divId w:val="2117098809"/>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Net income (loss) attributable to Holdings (1)</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(1.05)</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(1.44)</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(3.57)</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117098809"/>
        </w:trPr>
        <w:tc>
          <w:tcPr>
            <w:tcW w:w="0" w:type="auto"/>
            <w:gridSpan w:val="3"/>
            <w:shd w:val="clear" w:color="auto" w:fill="FFFF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Less: Preferred stock dividends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0.19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0.12 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117098809"/>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Net income (loss) available to Holdings’ common shareholders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(1.24)</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(1.56)</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(3.57)</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117098809"/>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Adjustments related to:</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2117098809"/>
        </w:trPr>
        <w:tc>
          <w:tcPr>
            <w:tcW w:w="0" w:type="auto"/>
            <w:gridSpan w:val="3"/>
            <w:shd w:val="clear" w:color="auto" w:fill="CCEE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Variable annuity product features (2)</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9.93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8.68 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9.85 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117098809"/>
        </w:trPr>
        <w:tc>
          <w:tcPr>
            <w:tcW w:w="0" w:type="auto"/>
            <w:gridSpan w:val="3"/>
            <w:shd w:val="clear" w:color="auto" w:fill="FFFF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Investment (gains) losses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(2.08)</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(1.65)</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(0.15)</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117098809"/>
        </w:trPr>
        <w:tc>
          <w:tcPr>
            <w:tcW w:w="0" w:type="auto"/>
            <w:gridSpan w:val="3"/>
            <w:shd w:val="clear" w:color="auto" w:fill="CCEE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Net actuarial (gains) losses related to pension and other postretirement benefit obligations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0.29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0.24 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0.20 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117098809"/>
        </w:trPr>
        <w:tc>
          <w:tcPr>
            <w:tcW w:w="0" w:type="auto"/>
            <w:gridSpan w:val="3"/>
            <w:shd w:val="clear" w:color="auto" w:fill="FFFF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Other adjustments (3) (4) (5) (6)</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0.80 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117098809"/>
        </w:trPr>
        <w:tc>
          <w:tcPr>
            <w:tcW w:w="0" w:type="auto"/>
            <w:gridSpan w:val="3"/>
            <w:shd w:val="clear" w:color="auto" w:fill="CCEE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Income tax expense (benefit) related to above adjustments (7)</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(2.07)</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(1.97)</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(2.22)</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117098809"/>
        </w:trPr>
        <w:tc>
          <w:tcPr>
            <w:tcW w:w="0" w:type="auto"/>
            <w:gridSpan w:val="3"/>
            <w:shd w:val="clear" w:color="auto" w:fill="FFFF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Non-recurring tax items (8)</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0.03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(0.87)</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(0.13)</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117098809"/>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Non-GAAP operating earnings</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6.58</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4.99 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4.78 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ind w:hanging="360"/>
        <w:divId w:val="150369830"/>
        <w:rPr>
          <w:rFonts w:eastAsia="Times New Roman"/>
        </w:rPr>
      </w:pPr>
      <w:r>
        <w:rPr>
          <w:rFonts w:eastAsia="Times New Roman"/>
          <w:color w:val="000000"/>
          <w:sz w:val="18"/>
          <w:szCs w:val="18"/>
        </w:rPr>
        <w:t>______________</w:t>
      </w:r>
    </w:p>
    <w:p w:rsidR="00000000" w:rsidRDefault="005B0BC3">
      <w:pPr>
        <w:ind w:hanging="360"/>
        <w:divId w:val="1142775010"/>
        <w:rPr>
          <w:rFonts w:eastAsia="Times New Roman"/>
        </w:rPr>
      </w:pPr>
      <w:r>
        <w:rPr>
          <w:rFonts w:eastAsia="Times New Roman"/>
          <w:color w:val="000000"/>
          <w:sz w:val="18"/>
          <w:szCs w:val="18"/>
        </w:rPr>
        <w:t>(1)</w:t>
      </w:r>
      <w:r>
        <w:rPr>
          <w:rFonts w:eastAsia="Times New Roman"/>
          <w:color w:val="000000"/>
          <w:sz w:val="18"/>
          <w:szCs w:val="18"/>
        </w:rPr>
        <w:t>For periods presented with a net loss, basic shares was used for the years ended December 31, 2021, 2020 and 2019.</w:t>
      </w:r>
    </w:p>
    <w:p w:rsidR="00000000" w:rsidRDefault="005B0BC3">
      <w:pPr>
        <w:ind w:hanging="360"/>
        <w:divId w:val="2134321780"/>
        <w:rPr>
          <w:rFonts w:eastAsia="Times New Roman"/>
        </w:rPr>
      </w:pPr>
      <w:r>
        <w:rPr>
          <w:rFonts w:eastAsia="Times New Roman"/>
          <w:color w:val="000000"/>
          <w:sz w:val="18"/>
          <w:szCs w:val="18"/>
        </w:rPr>
        <w:t>(2)Includes COVID-19 impact on Variable annuity product features due to a first quarter 2020 assumption update of $3.26 and other COVID-19 re</w:t>
      </w:r>
      <w:r>
        <w:rPr>
          <w:rFonts w:eastAsia="Times New Roman"/>
          <w:color w:val="000000"/>
          <w:sz w:val="18"/>
          <w:szCs w:val="18"/>
        </w:rPr>
        <w:t xml:space="preserve">lated impacts of $0.08 for the year ended December 31, 2020. </w:t>
      </w:r>
    </w:p>
    <w:p w:rsidR="00000000" w:rsidRDefault="005B0BC3">
      <w:pPr>
        <w:ind w:hanging="360"/>
        <w:divId w:val="776097237"/>
        <w:rPr>
          <w:rFonts w:eastAsia="Times New Roman"/>
        </w:rPr>
      </w:pPr>
      <w:r>
        <w:rPr>
          <w:rFonts w:eastAsia="Times New Roman"/>
          <w:color w:val="000000"/>
          <w:sz w:val="18"/>
          <w:szCs w:val="18"/>
        </w:rPr>
        <w:t>(3)Includes COVID-19 impact on Other adjustments due to a first quarter 2020 assumption update of $2.33 for the year ended December 31, 2020 and other COVID-19 related impacts of $0.19 for the y</w:t>
      </w:r>
      <w:r>
        <w:rPr>
          <w:rFonts w:eastAsia="Times New Roman"/>
          <w:color w:val="000000"/>
          <w:sz w:val="18"/>
          <w:szCs w:val="18"/>
        </w:rPr>
        <w:t>ear ended December 31, 2020.</w:t>
      </w:r>
    </w:p>
    <w:p w:rsidR="00000000" w:rsidRDefault="005B0BC3">
      <w:pPr>
        <w:ind w:hanging="360"/>
        <w:divId w:val="110514381"/>
        <w:rPr>
          <w:rFonts w:eastAsia="Times New Roman"/>
        </w:rPr>
      </w:pPr>
      <w:r>
        <w:rPr>
          <w:rFonts w:eastAsia="Times New Roman"/>
          <w:color w:val="000000"/>
          <w:sz w:val="18"/>
          <w:szCs w:val="18"/>
        </w:rPr>
        <w:t>(4)Includes separation costs of $0.20, $0.24 and $0.45 for the years ended December 31, 2021, 2020 and 2019, respectively.</w:t>
      </w:r>
    </w:p>
    <w:p w:rsidR="00000000" w:rsidRDefault="005B0BC3">
      <w:pPr>
        <w:ind w:hanging="360"/>
        <w:divId w:val="1826043666"/>
        <w:rPr>
          <w:rFonts w:eastAsia="Times New Roman"/>
        </w:rPr>
      </w:pPr>
      <w:r>
        <w:rPr>
          <w:rFonts w:eastAsia="Times New Roman"/>
          <w:color w:val="000000"/>
          <w:sz w:val="18"/>
          <w:szCs w:val="18"/>
        </w:rPr>
        <w:t>(5)Includes Non-GMxB related derivative hedge losses of $0.14,($0.90), and $0.08 for the years ended Dec</w:t>
      </w:r>
      <w:r>
        <w:rPr>
          <w:rFonts w:eastAsia="Times New Roman"/>
          <w:color w:val="000000"/>
          <w:sz w:val="18"/>
          <w:szCs w:val="18"/>
        </w:rPr>
        <w:t>ember 31, 2021, 2020 and 2019, respectively.</w:t>
      </w:r>
    </w:p>
    <w:p w:rsidR="00000000" w:rsidRDefault="005B0BC3">
      <w:pPr>
        <w:ind w:hanging="360"/>
        <w:divId w:val="1422607144"/>
        <w:rPr>
          <w:rFonts w:eastAsia="Times New Roman"/>
        </w:rPr>
      </w:pPr>
      <w:r>
        <w:rPr>
          <w:rFonts w:eastAsia="Times New Roman"/>
          <w:color w:val="000000"/>
          <w:sz w:val="18"/>
          <w:szCs w:val="18"/>
        </w:rPr>
        <w:t>(6)Includes certain legal accruals related to the cost of insurance litigation of $0.50 for the year ended December 31, 2021. No adjustments were made to prior period non-GAAP operating EPS as the impact was imm</w:t>
      </w:r>
      <w:r>
        <w:rPr>
          <w:rFonts w:eastAsia="Times New Roman"/>
          <w:color w:val="000000"/>
          <w:sz w:val="18"/>
          <w:szCs w:val="18"/>
        </w:rPr>
        <w:t>aterial.</w:t>
      </w:r>
    </w:p>
    <w:p w:rsidR="00000000" w:rsidRDefault="005B0BC3">
      <w:pPr>
        <w:ind w:hanging="360"/>
        <w:divId w:val="1610694911"/>
        <w:rPr>
          <w:rFonts w:eastAsia="Times New Roman"/>
        </w:rPr>
      </w:pPr>
      <w:r>
        <w:rPr>
          <w:rFonts w:eastAsia="Times New Roman"/>
          <w:color w:val="000000"/>
          <w:sz w:val="18"/>
          <w:szCs w:val="18"/>
        </w:rPr>
        <w:t>(7)Includes income taxes of $(1.23) for the above related COVID-19 items for the year ended December 31, 2020.</w:t>
      </w:r>
    </w:p>
    <w:p w:rsidR="00000000" w:rsidRDefault="005B0BC3">
      <w:pPr>
        <w:ind w:hanging="360"/>
        <w:divId w:val="17511348"/>
        <w:rPr>
          <w:rFonts w:eastAsia="Times New Roman"/>
        </w:rPr>
      </w:pPr>
      <w:r>
        <w:rPr>
          <w:rFonts w:eastAsia="Times New Roman"/>
          <w:color w:val="000000"/>
          <w:sz w:val="18"/>
          <w:szCs w:val="18"/>
        </w:rPr>
        <w:t>(8)Includes a reduction in the reserve for uncertain tax positions resulting from the completion of an IRS examination in the year ended</w:t>
      </w:r>
      <w:r>
        <w:rPr>
          <w:rFonts w:eastAsia="Times New Roman"/>
          <w:color w:val="000000"/>
          <w:sz w:val="18"/>
          <w:szCs w:val="18"/>
        </w:rPr>
        <w:t xml:space="preserve"> December 31, 2020.</w:t>
      </w:r>
    </w:p>
    <w:p w:rsidR="00000000" w:rsidRDefault="005B0BC3">
      <w:pPr>
        <w:ind w:firstLine="360"/>
        <w:jc w:val="both"/>
        <w:divId w:val="527648138"/>
        <w:rPr>
          <w:rFonts w:eastAsia="Times New Roman"/>
        </w:rPr>
      </w:pPr>
      <w:r>
        <w:rPr>
          <w:rFonts w:eastAsia="Times New Roman"/>
          <w:b/>
          <w:bCs/>
          <w:i/>
          <w:iCs/>
          <w:color w:val="000000"/>
          <w:sz w:val="20"/>
          <w:szCs w:val="20"/>
        </w:rPr>
        <w:t xml:space="preserve">Assets Under Management </w:t>
      </w:r>
    </w:p>
    <w:p w:rsidR="00000000" w:rsidRDefault="005B0BC3">
      <w:pPr>
        <w:ind w:firstLine="360"/>
        <w:divId w:val="1236282442"/>
        <w:rPr>
          <w:rFonts w:eastAsia="Times New Roman"/>
        </w:rPr>
      </w:pPr>
      <w:r>
        <w:rPr>
          <w:rFonts w:eastAsia="Times New Roman"/>
          <w:color w:val="000000"/>
          <w:sz w:val="20"/>
          <w:szCs w:val="20"/>
        </w:rPr>
        <w:t>AUM means investment assets that are managed by one of our subsidiaries and includes: (i) assets managed by AB; (ii) the assets in our General Account investment portfolio; and (iii) the Separate Accounts assets</w:t>
      </w:r>
      <w:r>
        <w:rPr>
          <w:rFonts w:eastAsia="Times New Roman"/>
          <w:color w:val="000000"/>
          <w:sz w:val="20"/>
          <w:szCs w:val="20"/>
        </w:rPr>
        <w:t xml:space="preserve"> of our Individual Retirement, Group Retirement and Protection Solutions businesses. Total AUM reflects exclusions between segments to avoid double counting. </w:t>
      </w:r>
    </w:p>
    <w:p w:rsidR="00000000" w:rsidRDefault="005B0BC3">
      <w:pPr>
        <w:jc w:val="both"/>
        <w:divId w:val="809598268"/>
        <w:rPr>
          <w:rFonts w:eastAsia="Times New Roman"/>
        </w:rPr>
      </w:pPr>
      <w:r>
        <w:rPr>
          <w:rFonts w:eastAsia="Times New Roman"/>
          <w:b/>
          <w:bCs/>
          <w:i/>
          <w:iCs/>
          <w:color w:val="000000"/>
          <w:sz w:val="20"/>
          <w:szCs w:val="20"/>
        </w:rPr>
        <w:t>Assets Under Administration</w:t>
      </w:r>
    </w:p>
    <w:p w:rsidR="00000000" w:rsidRDefault="005B0BC3">
      <w:pPr>
        <w:ind w:firstLine="360"/>
        <w:divId w:val="356927885"/>
        <w:rPr>
          <w:rFonts w:eastAsia="Times New Roman"/>
        </w:rPr>
      </w:pPr>
      <w:r>
        <w:rPr>
          <w:rFonts w:eastAsia="Times New Roman"/>
          <w:color w:val="000000"/>
          <w:sz w:val="20"/>
          <w:szCs w:val="20"/>
        </w:rPr>
        <w:t>AUA includes non-insurance client assets that are invested in our sav</w:t>
      </w:r>
      <w:r>
        <w:rPr>
          <w:rFonts w:eastAsia="Times New Roman"/>
          <w:color w:val="000000"/>
          <w:sz w:val="20"/>
          <w:szCs w:val="20"/>
        </w:rPr>
        <w:t xml:space="preserve">ings and investment products or serviced by our Equitable Advisors platform. We provide administrative services for these assets and generally record the revenues received as distribution fees. </w:t>
      </w:r>
    </w:p>
    <w:p w:rsidR="00000000" w:rsidRDefault="005B0BC3">
      <w:pPr>
        <w:jc w:val="both"/>
        <w:divId w:val="944117689"/>
        <w:rPr>
          <w:rFonts w:eastAsia="Times New Roman"/>
        </w:rPr>
      </w:pPr>
      <w:r>
        <w:rPr>
          <w:rFonts w:eastAsia="Times New Roman"/>
          <w:b/>
          <w:bCs/>
          <w:i/>
          <w:iCs/>
          <w:color w:val="000000"/>
          <w:sz w:val="20"/>
          <w:szCs w:val="20"/>
        </w:rPr>
        <w:t xml:space="preserve">Account Value </w:t>
      </w:r>
    </w:p>
    <w:p w:rsidR="00000000" w:rsidRDefault="005B0BC3">
      <w:pPr>
        <w:ind w:firstLine="360"/>
        <w:divId w:val="738480999"/>
        <w:rPr>
          <w:rFonts w:eastAsia="Times New Roman"/>
        </w:rPr>
      </w:pPr>
      <w:r>
        <w:rPr>
          <w:rFonts w:eastAsia="Times New Roman"/>
          <w:color w:val="000000"/>
          <w:sz w:val="20"/>
          <w:szCs w:val="20"/>
        </w:rPr>
        <w:t>AV generally equals the aggregate policy accou</w:t>
      </w:r>
      <w:r>
        <w:rPr>
          <w:rFonts w:eastAsia="Times New Roman"/>
          <w:color w:val="000000"/>
          <w:sz w:val="20"/>
          <w:szCs w:val="20"/>
        </w:rPr>
        <w:t xml:space="preserve">nt value of our retirement products. General Account AV refers to account balances in investment options that are backed by the General Account while Separate Accounts AV refers to Separate Accounts investment assets </w:t>
      </w:r>
    </w:p>
    <w:p w:rsidR="00000000" w:rsidRDefault="005B0BC3">
      <w:pPr>
        <w:jc w:val="both"/>
        <w:divId w:val="665061906"/>
        <w:rPr>
          <w:rFonts w:eastAsia="Times New Roman"/>
        </w:rPr>
      </w:pPr>
      <w:r>
        <w:rPr>
          <w:rFonts w:eastAsia="Times New Roman"/>
          <w:b/>
          <w:bCs/>
          <w:i/>
          <w:iCs/>
          <w:color w:val="000000"/>
          <w:sz w:val="20"/>
          <w:szCs w:val="20"/>
        </w:rPr>
        <w:t xml:space="preserve">Protection Solutions Reserves </w:t>
      </w:r>
    </w:p>
    <w:p w:rsidR="00000000" w:rsidRDefault="005B0BC3">
      <w:pPr>
        <w:ind w:firstLine="360"/>
        <w:divId w:val="1815877094"/>
        <w:rPr>
          <w:rFonts w:eastAsia="Times New Roman"/>
        </w:rPr>
      </w:pPr>
      <w:r>
        <w:rPr>
          <w:rFonts w:eastAsia="Times New Roman"/>
          <w:color w:val="000000"/>
          <w:sz w:val="20"/>
          <w:szCs w:val="20"/>
        </w:rPr>
        <w:t>Protect</w:t>
      </w:r>
      <w:r>
        <w:rPr>
          <w:rFonts w:eastAsia="Times New Roman"/>
          <w:color w:val="000000"/>
          <w:sz w:val="20"/>
          <w:szCs w:val="20"/>
        </w:rPr>
        <w:t xml:space="preserve">ion Solutions reserves equals the aggregate value of policyholders’ account balances and future policy benefits for policies in our Protection Solutions segment. </w:t>
      </w:r>
    </w:p>
    <w:p w:rsidR="00000000" w:rsidRDefault="005B0BC3">
      <w:pPr>
        <w:jc w:val="center"/>
        <w:divId w:val="827936822"/>
        <w:rPr>
          <w:rFonts w:eastAsia="Times New Roman"/>
        </w:rPr>
      </w:pPr>
      <w:r>
        <w:rPr>
          <w:rFonts w:eastAsia="Times New Roman"/>
          <w:color w:val="000000"/>
          <w:sz w:val="20"/>
          <w:szCs w:val="20"/>
        </w:rPr>
        <w:t>84</w:t>
      </w:r>
    </w:p>
    <w:p w:rsidR="00000000" w:rsidRDefault="005B0BC3">
      <w:pPr>
        <w:rPr>
          <w:rFonts w:eastAsia="Times New Roman"/>
        </w:rPr>
      </w:pPr>
      <w:r>
        <w:rPr>
          <w:rFonts w:eastAsia="Times New Roman"/>
        </w:rPr>
        <w:pict>
          <v:rect id="_x0000_i1122" style="width:0;height:1.5pt" o:hralign="center" o:hrstd="t" o:hr="t" fillcolor="#a0a0a0" stroked="f"/>
        </w:pict>
      </w:r>
    </w:p>
    <w:p w:rsidR="00000000" w:rsidRDefault="005B0BC3">
      <w:pPr>
        <w:divId w:val="1186138117"/>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divId w:val="259946536"/>
        <w:rPr>
          <w:rFonts w:eastAsia="Times New Roman"/>
        </w:rPr>
      </w:pPr>
      <w:r>
        <w:rPr>
          <w:rFonts w:eastAsia="Times New Roman"/>
          <w:b/>
          <w:bCs/>
          <w:color w:val="000000"/>
          <w:sz w:val="20"/>
          <w:szCs w:val="20"/>
        </w:rPr>
        <w:t xml:space="preserve">Consolidated Results of Operations </w:t>
      </w:r>
    </w:p>
    <w:p w:rsidR="00000000" w:rsidRDefault="005B0BC3">
      <w:pPr>
        <w:ind w:firstLine="360"/>
        <w:divId w:val="955984631"/>
        <w:rPr>
          <w:rFonts w:eastAsia="Times New Roman"/>
        </w:rPr>
      </w:pPr>
      <w:r>
        <w:rPr>
          <w:rFonts w:eastAsia="Times New Roman"/>
          <w:color w:val="000000"/>
          <w:sz w:val="20"/>
          <w:szCs w:val="20"/>
        </w:rPr>
        <w:t>Our consolidated results of operations are significantly affected by conditions in the capital markets and the economy because we offer market</w:t>
      </w:r>
      <w:r>
        <w:rPr>
          <w:rFonts w:eastAsia="Times New Roman"/>
          <w:color w:val="000000"/>
          <w:sz w:val="20"/>
          <w:szCs w:val="20"/>
        </w:rPr>
        <w:t xml:space="preserve"> sensitive products. These products have been a significant driver of our results of operations. Because the future claims exposure on these products is sensitive to movements in the equity markets and interest rates, we have in place various hedging and r</w:t>
      </w:r>
      <w:r>
        <w:rPr>
          <w:rFonts w:eastAsia="Times New Roman"/>
          <w:color w:val="000000"/>
          <w:sz w:val="20"/>
          <w:szCs w:val="20"/>
        </w:rPr>
        <w:t>einsurance programs that are designed to mitigate the economic risk of movements in the equity markets and interest rates. The volatility in net income attributable to Holdings for the periods presented below results from the mismatch between: (i) the chan</w:t>
      </w:r>
      <w:r>
        <w:rPr>
          <w:rFonts w:eastAsia="Times New Roman"/>
          <w:color w:val="000000"/>
          <w:sz w:val="20"/>
          <w:szCs w:val="20"/>
        </w:rPr>
        <w:t>ge in carrying value of the reserves for GMDB and certain GMIB features that do not fully and immediately reflect the impact of equity and interest market fluctuations; (ii) the change in fair value of products with the GMIB feature that have a no-lapse gu</w:t>
      </w:r>
      <w:r>
        <w:rPr>
          <w:rFonts w:eastAsia="Times New Roman"/>
          <w:color w:val="000000"/>
          <w:sz w:val="20"/>
          <w:szCs w:val="20"/>
        </w:rPr>
        <w:t xml:space="preserve">arantee; and (iii) our hedging and reinsurance programs. </w:t>
      </w:r>
    </w:p>
    <w:p w:rsidR="00000000" w:rsidRDefault="005B0BC3">
      <w:pPr>
        <w:jc w:val="both"/>
        <w:divId w:val="1624114451"/>
        <w:rPr>
          <w:rFonts w:eastAsia="Times New Roman"/>
        </w:rPr>
      </w:pPr>
      <w:r>
        <w:rPr>
          <w:rFonts w:eastAsia="Times New Roman"/>
          <w:b/>
          <w:bCs/>
          <w:i/>
          <w:iCs/>
          <w:color w:val="000000"/>
          <w:sz w:val="20"/>
          <w:szCs w:val="20"/>
        </w:rPr>
        <w:t xml:space="preserve">Ownership and Consolidation of AllianceBernstein </w:t>
      </w:r>
    </w:p>
    <w:p w:rsidR="00000000" w:rsidRDefault="005B0BC3">
      <w:pPr>
        <w:ind w:firstLine="360"/>
        <w:divId w:val="795685560"/>
        <w:rPr>
          <w:rFonts w:eastAsia="Times New Roman"/>
        </w:rPr>
      </w:pPr>
      <w:r>
        <w:rPr>
          <w:rFonts w:eastAsia="Times New Roman"/>
          <w:color w:val="000000"/>
          <w:sz w:val="20"/>
          <w:szCs w:val="20"/>
        </w:rPr>
        <w:t>Our indirect, wholly-owned subsidiary, AllianceBernstein Corporation, is the General Partner of AB. Accordingly, AB’s results are fully reflected in</w:t>
      </w:r>
      <w:r>
        <w:rPr>
          <w:rFonts w:eastAsia="Times New Roman"/>
          <w:color w:val="000000"/>
          <w:sz w:val="20"/>
          <w:szCs w:val="20"/>
        </w:rPr>
        <w:t xml:space="preserve"> our consolidated financial statements. </w:t>
      </w:r>
    </w:p>
    <w:p w:rsidR="00000000" w:rsidRDefault="005B0BC3">
      <w:pPr>
        <w:ind w:firstLine="360"/>
        <w:divId w:val="1687167495"/>
        <w:rPr>
          <w:rFonts w:eastAsia="Times New Roman"/>
        </w:rPr>
      </w:pPr>
      <w:r>
        <w:rPr>
          <w:rFonts w:eastAsia="Times New Roman"/>
          <w:color w:val="000000"/>
          <w:sz w:val="20"/>
          <w:szCs w:val="20"/>
        </w:rPr>
        <w:t>Our economic interest in AB was approximately 65% during the years ended December 31, 2021, 2020 and 2019.</w:t>
      </w:r>
    </w:p>
    <w:p w:rsidR="00000000" w:rsidRDefault="005B0BC3">
      <w:pPr>
        <w:jc w:val="both"/>
        <w:divId w:val="1823768572"/>
        <w:rPr>
          <w:rFonts w:eastAsia="Times New Roman"/>
        </w:rPr>
      </w:pPr>
      <w:r>
        <w:rPr>
          <w:rFonts w:eastAsia="Times New Roman"/>
          <w:b/>
          <w:bCs/>
          <w:i/>
          <w:iCs/>
          <w:color w:val="000000"/>
          <w:sz w:val="20"/>
          <w:szCs w:val="20"/>
        </w:rPr>
        <w:t>Consolidated Results of Operations</w:t>
      </w:r>
    </w:p>
    <w:p w:rsidR="00000000" w:rsidRDefault="005B0BC3">
      <w:pPr>
        <w:ind w:firstLine="360"/>
        <w:divId w:val="330446533"/>
        <w:rPr>
          <w:rFonts w:eastAsia="Times New Roman"/>
        </w:rPr>
      </w:pPr>
      <w:r>
        <w:rPr>
          <w:rFonts w:eastAsia="Times New Roman"/>
          <w:color w:val="000000"/>
          <w:sz w:val="20"/>
          <w:szCs w:val="20"/>
        </w:rPr>
        <w:t>The following table summarizes our consolidated statements of income (loss) for the years ended December 31, 2021, 2020 and 2019:</w:t>
      </w:r>
    </w:p>
    <w:p w:rsidR="00000000" w:rsidRDefault="005B0BC3">
      <w:pPr>
        <w:jc w:val="center"/>
        <w:rPr>
          <w:rFonts w:eastAsia="Times New Roman"/>
        </w:rPr>
      </w:pPr>
      <w:r>
        <w:rPr>
          <w:rFonts w:eastAsia="Times New Roman"/>
          <w:b/>
          <w:bCs/>
          <w:color w:val="000000"/>
          <w:sz w:val="20"/>
          <w:szCs w:val="20"/>
        </w:rPr>
        <w:t>Consolidated Statement of Income (Loss)</w:t>
      </w:r>
    </w:p>
    <w:tbl>
      <w:tblPr>
        <w:tblW w:w="5000" w:type="pct"/>
        <w:tblCellMar>
          <w:top w:w="15" w:type="dxa"/>
          <w:left w:w="15" w:type="dxa"/>
          <w:bottom w:w="15" w:type="dxa"/>
          <w:right w:w="15" w:type="dxa"/>
        </w:tblCellMar>
        <w:tblLook w:val="04A0" w:firstRow="1" w:lastRow="0" w:firstColumn="1" w:lastColumn="0" w:noHBand="0" w:noVBand="1"/>
      </w:tblPr>
      <w:tblGrid>
        <w:gridCol w:w="38"/>
        <w:gridCol w:w="5166"/>
        <w:gridCol w:w="37"/>
        <w:gridCol w:w="36"/>
        <w:gridCol w:w="36"/>
        <w:gridCol w:w="36"/>
        <w:gridCol w:w="36"/>
        <w:gridCol w:w="120"/>
        <w:gridCol w:w="709"/>
        <w:gridCol w:w="36"/>
        <w:gridCol w:w="36"/>
        <w:gridCol w:w="36"/>
        <w:gridCol w:w="36"/>
        <w:gridCol w:w="120"/>
        <w:gridCol w:w="668"/>
        <w:gridCol w:w="36"/>
        <w:gridCol w:w="36"/>
        <w:gridCol w:w="36"/>
        <w:gridCol w:w="36"/>
        <w:gridCol w:w="120"/>
        <w:gridCol w:w="860"/>
        <w:gridCol w:w="36"/>
      </w:tblGrid>
      <w:tr w:rsidR="00000000">
        <w:trPr>
          <w:divId w:val="501045911"/>
        </w:trPr>
        <w:tc>
          <w:tcPr>
            <w:tcW w:w="50" w:type="pct"/>
            <w:vAlign w:val="center"/>
            <w:hideMark/>
          </w:tcPr>
          <w:p w:rsidR="00000000" w:rsidRDefault="005B0BC3">
            <w:pPr>
              <w:jc w:val="center"/>
              <w:rPr>
                <w:rFonts w:eastAsia="Times New Roman"/>
              </w:rPr>
            </w:pPr>
          </w:p>
        </w:tc>
        <w:tc>
          <w:tcPr>
            <w:tcW w:w="319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6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6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8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501045911"/>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501045911"/>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501045911"/>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 except per share data)</w:t>
            </w:r>
          </w:p>
        </w:tc>
      </w:tr>
      <w:tr w:rsidR="00000000">
        <w:trPr>
          <w:divId w:val="501045911"/>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REVENUES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501045911"/>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Policy charges and fee income</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3,637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3,735 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3,778 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501045911"/>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Premiums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997 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1,147 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501045911"/>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Net derivative gains (losses)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(4,465)</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(1,722)</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(4,012)</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501045911"/>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Net investment income (loss)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3,846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3,477 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3,699 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501045911"/>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Investment gains (losses), net:</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501045911"/>
        </w:trPr>
        <w:tc>
          <w:tcPr>
            <w:tcW w:w="0" w:type="auto"/>
            <w:gridSpan w:val="3"/>
            <w:shd w:val="clear" w:color="auto" w:fill="FFFF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Credit losses on available-for-sale debt securities and loans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(58)</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501045911"/>
        </w:trPr>
        <w:tc>
          <w:tcPr>
            <w:tcW w:w="0" w:type="auto"/>
            <w:gridSpan w:val="3"/>
            <w:shd w:val="clear" w:color="auto" w:fill="CCEE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Other investment gains (losses), net</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802 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501045911"/>
        </w:trPr>
        <w:tc>
          <w:tcPr>
            <w:tcW w:w="0" w:type="auto"/>
            <w:gridSpan w:val="3"/>
            <w:shd w:val="clear" w:color="auto" w:fill="FFFFFF"/>
            <w:tcMar>
              <w:top w:w="30" w:type="dxa"/>
              <w:left w:w="38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Total investment gains (losses), net</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868</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744 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73 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501045911"/>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Investment management and service fees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5,395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4,608 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4,380 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501045911"/>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Other income</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795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576 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554 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501045911"/>
        </w:trPr>
        <w:tc>
          <w:tcPr>
            <w:tcW w:w="0" w:type="auto"/>
            <w:gridSpan w:val="3"/>
            <w:shd w:val="clear" w:color="auto" w:fill="CCEEFF"/>
            <w:tcMar>
              <w:top w:w="30" w:type="dxa"/>
              <w:left w:w="38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Total revenues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11,036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12,415 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9,619 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501045911"/>
          <w:trHeight w:val="240"/>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bl>
    <w:p w:rsidR="00000000" w:rsidRDefault="005B0BC3">
      <w:pPr>
        <w:jc w:val="center"/>
        <w:divId w:val="9915616"/>
        <w:rPr>
          <w:rFonts w:eastAsia="Times New Roman"/>
        </w:rPr>
      </w:pPr>
      <w:r>
        <w:rPr>
          <w:rFonts w:eastAsia="Times New Roman"/>
          <w:color w:val="000000"/>
          <w:sz w:val="20"/>
          <w:szCs w:val="20"/>
        </w:rPr>
        <w:t>85</w:t>
      </w:r>
    </w:p>
    <w:p w:rsidR="00000000" w:rsidRDefault="005B0BC3">
      <w:pPr>
        <w:rPr>
          <w:rFonts w:eastAsia="Times New Roman"/>
        </w:rPr>
      </w:pPr>
      <w:r>
        <w:rPr>
          <w:rFonts w:eastAsia="Times New Roman"/>
        </w:rPr>
        <w:pict>
          <v:rect id="_x0000_i1123" style="width:0;height:1.5pt" o:hralign="center" o:hrstd="t" o:hr="t" fillcolor="#a0a0a0" stroked="f"/>
        </w:pict>
      </w:r>
    </w:p>
    <w:p w:rsidR="00000000" w:rsidRDefault="005B0BC3">
      <w:pPr>
        <w:divId w:val="1130783916"/>
        <w:rPr>
          <w:rFonts w:eastAsia="Times New Roman"/>
        </w:rPr>
      </w:pPr>
      <w:hyperlink w:anchor="i2ac35847634046b3a89f93d9b422e8f5_421" w:history="1">
        <w:r>
          <w:rPr>
            <w:rStyle w:val="a3"/>
            <w:rFonts w:eastAsia="Times New Roman"/>
            <w:b/>
            <w:bCs/>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8"/>
        <w:gridCol w:w="5166"/>
        <w:gridCol w:w="37"/>
        <w:gridCol w:w="36"/>
        <w:gridCol w:w="36"/>
        <w:gridCol w:w="36"/>
        <w:gridCol w:w="36"/>
        <w:gridCol w:w="121"/>
        <w:gridCol w:w="709"/>
        <w:gridCol w:w="36"/>
        <w:gridCol w:w="36"/>
        <w:gridCol w:w="36"/>
        <w:gridCol w:w="36"/>
        <w:gridCol w:w="121"/>
        <w:gridCol w:w="667"/>
        <w:gridCol w:w="36"/>
        <w:gridCol w:w="36"/>
        <w:gridCol w:w="36"/>
        <w:gridCol w:w="36"/>
        <w:gridCol w:w="120"/>
        <w:gridCol w:w="859"/>
        <w:gridCol w:w="36"/>
      </w:tblGrid>
      <w:tr w:rsidR="00000000">
        <w:trPr>
          <w:divId w:val="261568743"/>
        </w:trPr>
        <w:tc>
          <w:tcPr>
            <w:tcW w:w="50" w:type="pct"/>
            <w:vAlign w:val="center"/>
            <w:hideMark/>
          </w:tcPr>
          <w:p w:rsidR="00000000" w:rsidRDefault="005B0BC3">
            <w:pPr>
              <w:rPr>
                <w:rFonts w:eastAsia="Times New Roman"/>
              </w:rPr>
            </w:pPr>
          </w:p>
        </w:tc>
        <w:tc>
          <w:tcPr>
            <w:tcW w:w="319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6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6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8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261568743"/>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261568743"/>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261568743"/>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 except per share data)</w:t>
            </w:r>
          </w:p>
        </w:tc>
      </w:tr>
      <w:tr w:rsidR="00000000">
        <w:trPr>
          <w:divId w:val="261568743"/>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BENEFITS AND OTHER DEDUCTIONS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261568743"/>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Policyholders’ benefits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3,218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5,326 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4,385 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61568743"/>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Interest credited to policyholders’ account balances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1,222 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1,263 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61568743"/>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Compensation and benefits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2,360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2,096 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2,081 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61568743"/>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Commissions and distribution-related payments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1,662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1,351 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1,242 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61568743"/>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Interest expense</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200 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221 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61568743"/>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Amortization of deferred policy acquisition costs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393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1,613 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597 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61568743"/>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Other operating costs and expenses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2,109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1,700 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1,890 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61568743"/>
        </w:trPr>
        <w:tc>
          <w:tcPr>
            <w:tcW w:w="0" w:type="auto"/>
            <w:gridSpan w:val="3"/>
            <w:shd w:val="clear" w:color="auto" w:fill="CCEEFF"/>
            <w:tcMar>
              <w:top w:w="30" w:type="dxa"/>
              <w:left w:w="38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Total benefits and other deductions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11,205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13,508 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11,679 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61568743"/>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Income (loss) from continuing operations, before income taxes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(169)</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(1,093)</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(2,060)</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61568743"/>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Income tax (expense) benefit</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744 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593 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61568743"/>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Net income (loss)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(349)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(1,467)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61568743"/>
        </w:trPr>
        <w:tc>
          <w:tcPr>
            <w:tcW w:w="0" w:type="auto"/>
            <w:gridSpan w:val="3"/>
            <w:shd w:val="clear" w:color="auto" w:fill="CCEE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Less: Net income (loss) attributable to the noncontrolling interest</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299 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297 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61568743"/>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Net income (loss) attributable to Holdings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(439)</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(648)</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(1,764)</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61568743"/>
        </w:trPr>
        <w:tc>
          <w:tcPr>
            <w:tcW w:w="0" w:type="auto"/>
            <w:gridSpan w:val="3"/>
            <w:shd w:val="clear" w:color="auto" w:fill="CCEE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Less: Preferred stock dividends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79</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61568743"/>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Net income (loss) available to Holdings’ common shareholders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(518)</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(701)</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(1,764)</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61568743"/>
          <w:trHeight w:val="240"/>
        </w:trPr>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261568743"/>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 xml:space="preserve">EARNINGS PER COMMON SHARE </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261568743"/>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Net income (loss) applicable to Holdings’ common shareholders per common share:</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261568743"/>
        </w:trPr>
        <w:tc>
          <w:tcPr>
            <w:tcW w:w="0" w:type="auto"/>
            <w:gridSpan w:val="3"/>
            <w:shd w:val="clear" w:color="auto" w:fill="CCEE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Basic</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(1.24)</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(1.56)</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(3.57)</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61568743"/>
        </w:trPr>
        <w:tc>
          <w:tcPr>
            <w:tcW w:w="0" w:type="auto"/>
            <w:gridSpan w:val="3"/>
            <w:shd w:val="clear" w:color="auto" w:fill="FFFF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Diluted</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(1.24)</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(1.56)</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(3.57)</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61568743"/>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Weighted average common shares outstanding (in millions):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261568743"/>
        </w:trPr>
        <w:tc>
          <w:tcPr>
            <w:tcW w:w="0" w:type="auto"/>
            <w:gridSpan w:val="3"/>
            <w:shd w:val="clear" w:color="auto" w:fill="FFFF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Basic</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417.4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450.4 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493.6 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61568743"/>
        </w:trPr>
        <w:tc>
          <w:tcPr>
            <w:tcW w:w="0" w:type="auto"/>
            <w:gridSpan w:val="3"/>
            <w:shd w:val="clear" w:color="auto" w:fill="CCEE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Diluted</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417.4</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450.4 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493.6 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5310"/>
        <w:gridCol w:w="144"/>
        <w:gridCol w:w="480"/>
        <w:gridCol w:w="1440"/>
        <w:gridCol w:w="1440"/>
        <w:gridCol w:w="144"/>
        <w:gridCol w:w="770"/>
        <w:gridCol w:w="144"/>
        <w:gridCol w:w="144"/>
        <w:gridCol w:w="144"/>
        <w:gridCol w:w="144"/>
        <w:gridCol w:w="144"/>
        <w:gridCol w:w="770"/>
        <w:gridCol w:w="144"/>
        <w:gridCol w:w="144"/>
        <w:gridCol w:w="144"/>
        <w:gridCol w:w="144"/>
        <w:gridCol w:w="144"/>
        <w:gridCol w:w="965"/>
        <w:gridCol w:w="144"/>
      </w:tblGrid>
      <w:tr w:rsidR="00000000">
        <w:tc>
          <w:tcPr>
            <w:tcW w:w="50" w:type="pct"/>
            <w:vAlign w:val="center"/>
            <w:hideMark/>
          </w:tcPr>
          <w:p w:rsidR="00000000" w:rsidRDefault="005B0BC3">
            <w:pPr>
              <w:rPr>
                <w:rFonts w:eastAsia="Times New Roman"/>
              </w:rPr>
            </w:pPr>
          </w:p>
        </w:tc>
        <w:tc>
          <w:tcPr>
            <w:tcW w:w="319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6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6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8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Non-GAAP Operating Earnings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2,825</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2,302 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2,357 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divId w:val="4552748"/>
        <w:rPr>
          <w:rFonts w:eastAsia="Times New Roman"/>
        </w:rPr>
      </w:pPr>
    </w:p>
    <w:p w:rsidR="00000000" w:rsidRDefault="005B0BC3">
      <w:pPr>
        <w:ind w:firstLine="360"/>
        <w:divId w:val="1540312712"/>
        <w:rPr>
          <w:rFonts w:eastAsia="Times New Roman"/>
        </w:rPr>
      </w:pPr>
      <w:r>
        <w:rPr>
          <w:rFonts w:eastAsia="Times New Roman"/>
          <w:color w:val="000000"/>
          <w:sz w:val="20"/>
          <w:szCs w:val="20"/>
        </w:rPr>
        <w:t>The following table summarizes our Non-GAAP Operating Earnings per common share for the years ended December 31, 2021, 2020 and 2019:</w:t>
      </w:r>
    </w:p>
    <w:tbl>
      <w:tblPr>
        <w:tblW w:w="5000" w:type="pct"/>
        <w:tblCellMar>
          <w:top w:w="15" w:type="dxa"/>
          <w:left w:w="15" w:type="dxa"/>
          <w:bottom w:w="15" w:type="dxa"/>
          <w:right w:w="15" w:type="dxa"/>
        </w:tblCellMar>
        <w:tblLook w:val="04A0" w:firstRow="1" w:lastRow="0" w:firstColumn="1" w:lastColumn="0" w:noHBand="0" w:noVBand="1"/>
      </w:tblPr>
      <w:tblGrid>
        <w:gridCol w:w="37"/>
        <w:gridCol w:w="4882"/>
        <w:gridCol w:w="36"/>
        <w:gridCol w:w="36"/>
        <w:gridCol w:w="36"/>
        <w:gridCol w:w="36"/>
        <w:gridCol w:w="480"/>
        <w:gridCol w:w="558"/>
        <w:gridCol w:w="36"/>
        <w:gridCol w:w="36"/>
        <w:gridCol w:w="36"/>
        <w:gridCol w:w="36"/>
        <w:gridCol w:w="480"/>
        <w:gridCol w:w="400"/>
        <w:gridCol w:w="36"/>
        <w:gridCol w:w="36"/>
        <w:gridCol w:w="36"/>
        <w:gridCol w:w="36"/>
        <w:gridCol w:w="480"/>
        <w:gridCol w:w="521"/>
        <w:gridCol w:w="36"/>
      </w:tblGrid>
      <w:tr w:rsidR="00000000">
        <w:trPr>
          <w:divId w:val="85227466"/>
        </w:trPr>
        <w:tc>
          <w:tcPr>
            <w:tcW w:w="50" w:type="pct"/>
            <w:vAlign w:val="center"/>
            <w:hideMark/>
          </w:tcPr>
          <w:p w:rsidR="00000000" w:rsidRDefault="005B0BC3">
            <w:pPr>
              <w:ind w:firstLine="360"/>
              <w:rPr>
                <w:rFonts w:eastAsia="Times New Roman"/>
              </w:rPr>
            </w:pPr>
          </w:p>
        </w:tc>
        <w:tc>
          <w:tcPr>
            <w:tcW w:w="319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6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6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8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85227466"/>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1"/>
            <w:shd w:val="clear" w:color="auto" w:fill="FFFFFF"/>
            <w:tcMar>
              <w:top w:w="30" w:type="dxa"/>
              <w:left w:w="20" w:type="dxa"/>
              <w:bottom w:w="30" w:type="dxa"/>
              <w:right w:w="20" w:type="dxa"/>
            </w:tcMar>
            <w:vAlign w:val="bottom"/>
            <w:hideMark/>
          </w:tcPr>
          <w:p w:rsidR="00000000" w:rsidRDefault="005B0BC3">
            <w:pPr>
              <w:spacing w:after="100"/>
              <w:ind w:firstLine="36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85227466"/>
        </w:trPr>
        <w:tc>
          <w:tcPr>
            <w:tcW w:w="0" w:type="auto"/>
            <w:gridSpan w:val="3"/>
            <w:tcMar>
              <w:top w:w="0" w:type="dxa"/>
              <w:left w:w="20" w:type="dxa"/>
              <w:bottom w:w="0" w:type="dxa"/>
              <w:right w:w="20" w:type="dxa"/>
            </w:tcMar>
            <w:vAlign w:val="center"/>
            <w:hideMark/>
          </w:tcPr>
          <w:p w:rsidR="00000000" w:rsidRDefault="005B0BC3">
            <w:pPr>
              <w:spacing w:after="100"/>
              <w:ind w:firstLine="36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ind w:firstLine="360"/>
              <w:jc w:val="center"/>
              <w:rPr>
                <w:rFonts w:eastAsia="Times New Roman"/>
              </w:rPr>
            </w:pPr>
            <w:r>
              <w:rPr>
                <w:rFonts w:eastAsia="Times New Roman"/>
                <w:b/>
                <w:bCs/>
                <w:color w:val="000000"/>
                <w:sz w:val="18"/>
                <w:szCs w:val="18"/>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ind w:firstLine="36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ind w:firstLine="360"/>
              <w:jc w:val="center"/>
              <w:rPr>
                <w:rFonts w:eastAsia="Times New Roman"/>
              </w:rPr>
            </w:pPr>
            <w:r>
              <w:rPr>
                <w:rFonts w:eastAsia="Times New Roman"/>
                <w:color w:val="000000"/>
                <w:sz w:val="18"/>
                <w:szCs w:val="18"/>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ind w:firstLine="36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ind w:firstLine="360"/>
              <w:jc w:val="center"/>
              <w:rPr>
                <w:rFonts w:eastAsia="Times New Roman"/>
              </w:rPr>
            </w:pPr>
            <w:r>
              <w:rPr>
                <w:rFonts w:eastAsia="Times New Roman"/>
                <w:color w:val="000000"/>
                <w:sz w:val="18"/>
                <w:szCs w:val="18"/>
              </w:rPr>
              <w:t>2019</w:t>
            </w:r>
          </w:p>
        </w:tc>
      </w:tr>
      <w:tr w:rsidR="00000000">
        <w:trPr>
          <w:divId w:val="85227466"/>
          <w:trHeight w:val="220"/>
        </w:trPr>
        <w:tc>
          <w:tcPr>
            <w:tcW w:w="0" w:type="auto"/>
            <w:gridSpan w:val="3"/>
            <w:tcMar>
              <w:top w:w="0" w:type="dxa"/>
              <w:left w:w="20" w:type="dxa"/>
              <w:bottom w:w="0" w:type="dxa"/>
              <w:right w:w="20" w:type="dxa"/>
            </w:tcMar>
            <w:vAlign w:val="center"/>
            <w:hideMark/>
          </w:tcPr>
          <w:p w:rsidR="00000000" w:rsidRDefault="005B0BC3">
            <w:pPr>
              <w:spacing w:after="100"/>
              <w:ind w:firstLine="36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5"/>
            <w:tcBorders>
              <w:top w:val="single" w:sz="4"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85227466"/>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Non-GAAP operating earnings per common share:</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85227466"/>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 xml:space="preserve">Basic </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ind w:firstLine="36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6.58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ind w:firstLine="36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4.99 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ind w:firstLine="36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4.78 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85227466"/>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Diluted</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ind w:firstLine="360"/>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6.58</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ind w:firstLine="36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4.99 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ind w:firstLine="36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4.78 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ind w:firstLine="360"/>
        <w:divId w:val="556085757"/>
        <w:rPr>
          <w:rFonts w:eastAsia="Times New Roman"/>
        </w:rPr>
      </w:pPr>
    </w:p>
    <w:p w:rsidR="00000000" w:rsidRDefault="005B0BC3">
      <w:pPr>
        <w:divId w:val="1250046707"/>
        <w:rPr>
          <w:rFonts w:eastAsia="Times New Roman"/>
        </w:rPr>
      </w:pPr>
      <w:r>
        <w:rPr>
          <w:rFonts w:eastAsia="Times New Roman"/>
          <w:b/>
          <w:bCs/>
          <w:color w:val="000000"/>
          <w:sz w:val="20"/>
          <w:szCs w:val="20"/>
          <w:shd w:val="clear" w:color="auto" w:fill="FFFFFF"/>
        </w:rPr>
        <w:t>Year Ended December 31, 2021 Compared to the Year Ended December 31, 2020</w:t>
      </w:r>
    </w:p>
    <w:p w:rsidR="00000000" w:rsidRDefault="005B0BC3">
      <w:pPr>
        <w:jc w:val="both"/>
        <w:divId w:val="502665849"/>
        <w:rPr>
          <w:rFonts w:eastAsia="Times New Roman"/>
        </w:rPr>
      </w:pPr>
      <w:r>
        <w:rPr>
          <w:rFonts w:eastAsia="Times New Roman"/>
          <w:b/>
          <w:bCs/>
          <w:i/>
          <w:iCs/>
          <w:color w:val="000000"/>
          <w:sz w:val="20"/>
          <w:szCs w:val="20"/>
          <w:shd w:val="clear" w:color="auto" w:fill="FFFFFF"/>
        </w:rPr>
        <w:t>Net Income Attributable to Holdings</w:t>
      </w:r>
    </w:p>
    <w:p w:rsidR="00000000" w:rsidRDefault="005B0BC3">
      <w:pPr>
        <w:ind w:firstLine="360"/>
        <w:divId w:val="1027676395"/>
        <w:rPr>
          <w:rFonts w:eastAsia="Times New Roman"/>
        </w:rPr>
      </w:pPr>
      <w:r>
        <w:rPr>
          <w:rFonts w:eastAsia="Times New Roman"/>
          <w:color w:val="000000"/>
          <w:sz w:val="20"/>
          <w:szCs w:val="20"/>
          <w:shd w:val="clear" w:color="auto" w:fill="FFFFFF"/>
        </w:rPr>
        <w:t>Net loss attributable to Holdings decreased by $209 million to a net loss of $439 million for the year ended December 31, 2021 from a net loss of $648 million for the year ended December 31, 2020. The following notable i</w:t>
      </w:r>
      <w:r>
        <w:rPr>
          <w:rFonts w:eastAsia="Times New Roman"/>
          <w:color w:val="000000"/>
          <w:sz w:val="20"/>
          <w:szCs w:val="20"/>
          <w:shd w:val="clear" w:color="auto" w:fill="FFFFFF"/>
        </w:rPr>
        <w:t>tems were the primary drivers for the change in net income (loss):</w:t>
      </w:r>
    </w:p>
    <w:p w:rsidR="00000000" w:rsidRDefault="005B0BC3">
      <w:pPr>
        <w:divId w:val="1840921611"/>
        <w:rPr>
          <w:rFonts w:eastAsia="Times New Roman"/>
        </w:rPr>
      </w:pPr>
      <w:r>
        <w:rPr>
          <w:rFonts w:eastAsia="Times New Roman"/>
          <w:color w:val="000000"/>
          <w:sz w:val="20"/>
          <w:szCs w:val="20"/>
          <w:shd w:val="clear" w:color="auto" w:fill="FFFFFF"/>
        </w:rPr>
        <w:t>Favorable items included:</w:t>
      </w:r>
    </w:p>
    <w:p w:rsidR="00000000" w:rsidRDefault="005B0BC3">
      <w:pPr>
        <w:jc w:val="center"/>
        <w:divId w:val="2096587731"/>
        <w:rPr>
          <w:rFonts w:eastAsia="Times New Roman"/>
        </w:rPr>
      </w:pPr>
      <w:r>
        <w:rPr>
          <w:rFonts w:eastAsia="Times New Roman"/>
          <w:color w:val="000000"/>
          <w:sz w:val="20"/>
          <w:szCs w:val="20"/>
        </w:rPr>
        <w:t>86</w:t>
      </w:r>
    </w:p>
    <w:p w:rsidR="00000000" w:rsidRDefault="005B0BC3">
      <w:pPr>
        <w:rPr>
          <w:rFonts w:eastAsia="Times New Roman"/>
        </w:rPr>
      </w:pPr>
      <w:r>
        <w:rPr>
          <w:rFonts w:eastAsia="Times New Roman"/>
        </w:rPr>
        <w:pict>
          <v:rect id="_x0000_i1124" style="width:0;height:1.5pt" o:hralign="center" o:hrstd="t" o:hr="t" fillcolor="#a0a0a0" stroked="f"/>
        </w:pict>
      </w:r>
    </w:p>
    <w:p w:rsidR="00000000" w:rsidRDefault="005B0BC3">
      <w:pPr>
        <w:divId w:val="419372513"/>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ind w:hanging="360"/>
        <w:divId w:val="218245783"/>
        <w:rPr>
          <w:rFonts w:eastAsia="Times New Roman"/>
        </w:rPr>
      </w:pPr>
      <w:r>
        <w:rPr>
          <w:rFonts w:eastAsia="Times New Roman"/>
          <w:color w:val="000000"/>
          <w:sz w:val="20"/>
          <w:szCs w:val="20"/>
        </w:rPr>
        <w:t>•Policyholders’ benefits decreased by $2.1 billion mainly due to the non-recurrence of the interest rate assumption update in the first quarte</w:t>
      </w:r>
      <w:r>
        <w:rPr>
          <w:rFonts w:eastAsia="Times New Roman"/>
          <w:color w:val="000000"/>
          <w:sz w:val="20"/>
          <w:szCs w:val="20"/>
        </w:rPr>
        <w:t>r of 2020 and equity markets appreciation in the year ended December 31, 2021. This was partially offset by an increase in death claims.</w:t>
      </w:r>
    </w:p>
    <w:p w:rsidR="00000000" w:rsidRDefault="005B0BC3">
      <w:pPr>
        <w:ind w:hanging="360"/>
        <w:divId w:val="2062442807"/>
        <w:rPr>
          <w:rFonts w:eastAsia="Times New Roman"/>
        </w:rPr>
      </w:pPr>
      <w:r>
        <w:rPr>
          <w:rFonts w:eastAsia="Times New Roman"/>
          <w:color w:val="000000"/>
          <w:sz w:val="20"/>
          <w:szCs w:val="20"/>
        </w:rPr>
        <w:t>•Amortization of DAC decreased by $1.2 billion mainly due to the interest rate assumption update in the first quarter o</w:t>
      </w:r>
      <w:r>
        <w:rPr>
          <w:rFonts w:eastAsia="Times New Roman"/>
          <w:color w:val="000000"/>
          <w:sz w:val="20"/>
          <w:szCs w:val="20"/>
        </w:rPr>
        <w:t>f 2020 as a result of the extraordinary economic conditions driven by COVID-19. As a result of the lower interest rate assumption, Protection Solutions segment entered into loss recognition resulting in an acceleration of DAC amortization in 2020.</w:t>
      </w:r>
    </w:p>
    <w:p w:rsidR="00000000" w:rsidRDefault="005B0BC3">
      <w:pPr>
        <w:ind w:hanging="360"/>
        <w:divId w:val="694775183"/>
        <w:rPr>
          <w:rFonts w:eastAsia="Times New Roman"/>
        </w:rPr>
      </w:pPr>
      <w:r>
        <w:rPr>
          <w:rFonts w:eastAsia="Times New Roman"/>
          <w:color w:val="000000"/>
          <w:sz w:val="20"/>
          <w:szCs w:val="20"/>
        </w:rPr>
        <w:t>•Fee rev</w:t>
      </w:r>
      <w:r>
        <w:rPr>
          <w:rFonts w:eastAsia="Times New Roman"/>
          <w:color w:val="000000"/>
          <w:sz w:val="20"/>
          <w:szCs w:val="20"/>
        </w:rPr>
        <w:t>enue increased by $871 million mainly driven by higher base fees, performance fees and distribution revenues in our Investment Management &amp; Research segment as a result of higher average AUM revenues and higher fees in our Group Retirement segment as a res</w:t>
      </w:r>
      <w:r>
        <w:rPr>
          <w:rFonts w:eastAsia="Times New Roman"/>
          <w:color w:val="000000"/>
          <w:sz w:val="20"/>
          <w:szCs w:val="20"/>
        </w:rPr>
        <w:t xml:space="preserve">ult of higher average Separate Accounts AV and higher broker-dealer related revenues. </w:t>
      </w:r>
    </w:p>
    <w:p w:rsidR="00000000" w:rsidRDefault="005B0BC3">
      <w:pPr>
        <w:ind w:hanging="360"/>
        <w:divId w:val="717899386"/>
        <w:rPr>
          <w:rFonts w:eastAsia="Times New Roman"/>
        </w:rPr>
      </w:pPr>
      <w:r>
        <w:rPr>
          <w:rFonts w:eastAsia="Times New Roman"/>
          <w:color w:val="000000"/>
          <w:sz w:val="20"/>
          <w:szCs w:val="20"/>
          <w:shd w:val="clear" w:color="auto" w:fill="FFFFFF"/>
        </w:rPr>
        <w:t>•</w:t>
      </w:r>
      <w:r>
        <w:rPr>
          <w:rFonts w:eastAsia="Times New Roman"/>
          <w:color w:val="000000"/>
          <w:sz w:val="20"/>
          <w:szCs w:val="20"/>
        </w:rPr>
        <w:t>Investment gains increased by $124 million mainly due to rebalancing of the Venerable assets and the rebalancing program to extend duration.</w:t>
      </w:r>
    </w:p>
    <w:p w:rsidR="00000000" w:rsidRDefault="005B0BC3">
      <w:pPr>
        <w:ind w:hanging="360"/>
        <w:jc w:val="both"/>
        <w:divId w:val="1205601679"/>
        <w:rPr>
          <w:rFonts w:eastAsia="Times New Roman"/>
        </w:rPr>
      </w:pPr>
      <w:r>
        <w:rPr>
          <w:rFonts w:eastAsia="Times New Roman"/>
          <w:color w:val="000000"/>
          <w:sz w:val="20"/>
          <w:szCs w:val="20"/>
        </w:rPr>
        <w:t>•Net investment income incr</w:t>
      </w:r>
      <w:r>
        <w:rPr>
          <w:rFonts w:eastAsia="Times New Roman"/>
          <w:color w:val="000000"/>
          <w:sz w:val="20"/>
          <w:szCs w:val="20"/>
        </w:rPr>
        <w:t xml:space="preserve">eased by $369 million mainly due to higher income from our alternative investment portfolio and higher prepayments, partially offset by lower assets related to the Venerable Transaction. </w:t>
      </w:r>
    </w:p>
    <w:p w:rsidR="00000000" w:rsidRDefault="005B0BC3">
      <w:pPr>
        <w:divId w:val="1513447312"/>
        <w:rPr>
          <w:rFonts w:eastAsia="Times New Roman"/>
        </w:rPr>
      </w:pPr>
      <w:r>
        <w:rPr>
          <w:rFonts w:eastAsia="Times New Roman"/>
          <w:color w:val="000000"/>
          <w:sz w:val="20"/>
          <w:szCs w:val="20"/>
          <w:shd w:val="clear" w:color="auto" w:fill="FFFFFF"/>
        </w:rPr>
        <w:t>These were partially offset by the following unfavorable items:</w:t>
      </w:r>
    </w:p>
    <w:p w:rsidR="00000000" w:rsidRDefault="005B0BC3">
      <w:pPr>
        <w:ind w:hanging="360"/>
        <w:divId w:val="692925952"/>
        <w:rPr>
          <w:rFonts w:eastAsia="Times New Roman"/>
        </w:rPr>
      </w:pPr>
      <w:r>
        <w:rPr>
          <w:rFonts w:eastAsia="Times New Roman"/>
          <w:color w:val="000000"/>
          <w:sz w:val="20"/>
          <w:szCs w:val="20"/>
        </w:rPr>
        <w:t>•Net</w:t>
      </w:r>
      <w:r>
        <w:rPr>
          <w:rFonts w:eastAsia="Times New Roman"/>
          <w:color w:val="000000"/>
          <w:sz w:val="20"/>
          <w:szCs w:val="20"/>
        </w:rPr>
        <w:t xml:space="preserve"> derivative gains decreased by $2.7 billion driven by an increase in interest rates during 2021 compared to a decrease in interest rates during 2020 and greater equity market appreciation in 2021, partially offset by widening non-performance risk spreads d</w:t>
      </w:r>
      <w:r>
        <w:rPr>
          <w:rFonts w:eastAsia="Times New Roman"/>
          <w:color w:val="000000"/>
          <w:sz w:val="20"/>
          <w:szCs w:val="20"/>
        </w:rPr>
        <w:t>uring 2021 compared to contracting spreads in 2020.</w:t>
      </w:r>
    </w:p>
    <w:p w:rsidR="00000000" w:rsidRDefault="005B0BC3">
      <w:pPr>
        <w:ind w:hanging="360"/>
        <w:divId w:val="840313544"/>
        <w:rPr>
          <w:rFonts w:eastAsia="Times New Roman"/>
        </w:rPr>
      </w:pPr>
      <w:r>
        <w:rPr>
          <w:rFonts w:eastAsia="Times New Roman"/>
          <w:color w:val="000000"/>
          <w:sz w:val="20"/>
          <w:szCs w:val="20"/>
        </w:rPr>
        <w:t>•Compensation, benefits and other operating expenses increased by $673 million mainly due to higher litigation reserve accruals, including the COI litigation. In addition, we experienced higher employee c</w:t>
      </w:r>
      <w:r>
        <w:rPr>
          <w:rFonts w:eastAsia="Times New Roman"/>
          <w:color w:val="000000"/>
          <w:sz w:val="20"/>
          <w:szCs w:val="20"/>
        </w:rPr>
        <w:t>ompensation expenses in our Investment Management and Research segment due to higher revenues.</w:t>
      </w:r>
    </w:p>
    <w:p w:rsidR="00000000" w:rsidRDefault="005B0BC3">
      <w:pPr>
        <w:ind w:hanging="360"/>
        <w:divId w:val="1135172644"/>
        <w:rPr>
          <w:rFonts w:eastAsia="Times New Roman"/>
        </w:rPr>
      </w:pPr>
      <w:r>
        <w:rPr>
          <w:rFonts w:eastAsia="Times New Roman"/>
          <w:color w:val="000000"/>
          <w:sz w:val="20"/>
          <w:szCs w:val="20"/>
        </w:rPr>
        <w:t>•Commissions and distribution-related payments increased by $311 million mainly due to higher distribution-related payments in our Investment Management and Rese</w:t>
      </w:r>
      <w:r>
        <w:rPr>
          <w:rFonts w:eastAsia="Times New Roman"/>
          <w:color w:val="000000"/>
          <w:sz w:val="20"/>
          <w:szCs w:val="20"/>
        </w:rPr>
        <w:t>arch and Individual Retirement segments based on higher average AUM and Separate Account AV balances, as well as the growth in broker dealer sales.</w:t>
      </w:r>
    </w:p>
    <w:p w:rsidR="00000000" w:rsidRDefault="005B0BC3">
      <w:pPr>
        <w:ind w:hanging="360"/>
        <w:divId w:val="1855991884"/>
        <w:rPr>
          <w:rFonts w:eastAsia="Times New Roman"/>
        </w:rPr>
      </w:pPr>
      <w:r>
        <w:rPr>
          <w:rFonts w:eastAsia="Times New Roman"/>
          <w:color w:val="000000"/>
          <w:sz w:val="20"/>
          <w:szCs w:val="20"/>
        </w:rPr>
        <w:t>•Net income attributable to noncontrolling interest increased by $116 million mainly due to higher AB pre-ta</w:t>
      </w:r>
      <w:r>
        <w:rPr>
          <w:rFonts w:eastAsia="Times New Roman"/>
          <w:color w:val="000000"/>
          <w:sz w:val="20"/>
          <w:szCs w:val="20"/>
        </w:rPr>
        <w:t>x income and higher consolidated VIE income.</w:t>
      </w:r>
    </w:p>
    <w:p w:rsidR="00000000" w:rsidRDefault="005B0BC3">
      <w:pPr>
        <w:ind w:hanging="360"/>
        <w:jc w:val="both"/>
        <w:divId w:val="1957369639"/>
        <w:rPr>
          <w:rFonts w:eastAsia="Times New Roman"/>
        </w:rPr>
      </w:pPr>
      <w:r>
        <w:rPr>
          <w:rFonts w:eastAsia="Times New Roman"/>
          <w:color w:val="000000"/>
          <w:sz w:val="20"/>
          <w:szCs w:val="20"/>
        </w:rPr>
        <w:t>•Income tax benefit decreased by $599 million primarily due to the 2020 audit close and a decrease in pre-tax loss in the year ended December 31, 2021 compared to the year ended December 31, 2020.</w:t>
      </w:r>
    </w:p>
    <w:p w:rsidR="00000000" w:rsidRDefault="005B0BC3">
      <w:pPr>
        <w:ind w:firstLine="360"/>
        <w:divId w:val="838275818"/>
        <w:rPr>
          <w:rFonts w:eastAsia="Times New Roman"/>
        </w:rPr>
      </w:pPr>
      <w:r>
        <w:rPr>
          <w:rFonts w:eastAsia="Times New Roman"/>
          <w:color w:val="000000"/>
          <w:sz w:val="20"/>
          <w:szCs w:val="20"/>
          <w:shd w:val="clear" w:color="auto" w:fill="FFFFFF"/>
        </w:rPr>
        <w:t>See “—Signific</w:t>
      </w:r>
      <w:r>
        <w:rPr>
          <w:rFonts w:eastAsia="Times New Roman"/>
          <w:color w:val="000000"/>
          <w:sz w:val="20"/>
          <w:szCs w:val="20"/>
          <w:shd w:val="clear" w:color="auto" w:fill="FFFFFF"/>
        </w:rPr>
        <w:t xml:space="preserve">ant Factors Impacting Our Results—Assumption Updates and Model Changes” for more information regarding assumption updates. </w:t>
      </w:r>
    </w:p>
    <w:p w:rsidR="00000000" w:rsidRDefault="005B0BC3">
      <w:pPr>
        <w:jc w:val="both"/>
        <w:divId w:val="569966671"/>
        <w:rPr>
          <w:rFonts w:eastAsia="Times New Roman"/>
        </w:rPr>
      </w:pPr>
      <w:r>
        <w:rPr>
          <w:rFonts w:eastAsia="Times New Roman"/>
          <w:b/>
          <w:bCs/>
          <w:i/>
          <w:iCs/>
          <w:color w:val="000000"/>
          <w:sz w:val="20"/>
          <w:szCs w:val="20"/>
          <w:shd w:val="clear" w:color="auto" w:fill="FFFFFF"/>
        </w:rPr>
        <w:t>Non-GAAP Operating Earnings</w:t>
      </w:r>
    </w:p>
    <w:p w:rsidR="00000000" w:rsidRDefault="005B0BC3">
      <w:pPr>
        <w:ind w:firstLine="360"/>
        <w:divId w:val="1818257791"/>
        <w:rPr>
          <w:rFonts w:eastAsia="Times New Roman"/>
        </w:rPr>
      </w:pPr>
      <w:r>
        <w:rPr>
          <w:rFonts w:eastAsia="Times New Roman"/>
          <w:color w:val="000000"/>
          <w:sz w:val="20"/>
          <w:szCs w:val="20"/>
          <w:shd w:val="clear" w:color="auto" w:fill="FFFFFF"/>
        </w:rPr>
        <w:t xml:space="preserve">Non-GAAP Operating Earnings increased by $523 million to $2.8 billion for the </w:t>
      </w:r>
      <w:r>
        <w:rPr>
          <w:rFonts w:eastAsia="Times New Roman"/>
          <w:color w:val="000000"/>
          <w:sz w:val="20"/>
          <w:szCs w:val="20"/>
        </w:rPr>
        <w:t>year ended December 31, 20</w:t>
      </w:r>
      <w:r>
        <w:rPr>
          <w:rFonts w:eastAsia="Times New Roman"/>
          <w:color w:val="000000"/>
          <w:sz w:val="20"/>
          <w:szCs w:val="20"/>
        </w:rPr>
        <w:t>21</w:t>
      </w:r>
      <w:r>
        <w:rPr>
          <w:rFonts w:eastAsia="Times New Roman"/>
          <w:color w:val="000000"/>
          <w:sz w:val="20"/>
          <w:szCs w:val="20"/>
          <w:shd w:val="clear" w:color="auto" w:fill="FFFFFF"/>
        </w:rPr>
        <w:t xml:space="preserve"> from $2.3 billion in the </w:t>
      </w:r>
      <w:r>
        <w:rPr>
          <w:rFonts w:eastAsia="Times New Roman"/>
          <w:color w:val="000000"/>
          <w:sz w:val="20"/>
          <w:szCs w:val="20"/>
        </w:rPr>
        <w:t>year ended December 31, 2020</w:t>
      </w:r>
      <w:r>
        <w:rPr>
          <w:rFonts w:eastAsia="Times New Roman"/>
          <w:color w:val="000000"/>
          <w:sz w:val="20"/>
          <w:szCs w:val="20"/>
          <w:shd w:val="clear" w:color="auto" w:fill="FFFFFF"/>
        </w:rPr>
        <w:t>. The following notable items were the primary drivers for the change in Non-GAAP Operating Earnings.</w:t>
      </w:r>
    </w:p>
    <w:p w:rsidR="00000000" w:rsidRDefault="005B0BC3">
      <w:pPr>
        <w:divId w:val="1495609259"/>
        <w:rPr>
          <w:rFonts w:eastAsia="Times New Roman"/>
        </w:rPr>
      </w:pPr>
      <w:r>
        <w:rPr>
          <w:rFonts w:eastAsia="Times New Roman"/>
          <w:color w:val="000000"/>
          <w:sz w:val="20"/>
          <w:szCs w:val="20"/>
          <w:shd w:val="clear" w:color="auto" w:fill="FFFFFF"/>
        </w:rPr>
        <w:t>Favorable items included:</w:t>
      </w:r>
    </w:p>
    <w:p w:rsidR="00000000" w:rsidRDefault="005B0BC3">
      <w:pPr>
        <w:ind w:hanging="180"/>
        <w:divId w:val="970283388"/>
        <w:rPr>
          <w:rFonts w:eastAsia="Times New Roman"/>
        </w:rPr>
      </w:pPr>
      <w:r>
        <w:rPr>
          <w:rFonts w:eastAsia="Times New Roman"/>
          <w:color w:val="000000"/>
          <w:sz w:val="20"/>
          <w:szCs w:val="20"/>
          <w:shd w:val="clear" w:color="auto" w:fill="FFFFFF"/>
        </w:rPr>
        <w:t>•Fee-type revenue increased by $914 million mainly due to higher base fe</w:t>
      </w:r>
      <w:r>
        <w:rPr>
          <w:rFonts w:eastAsia="Times New Roman"/>
          <w:color w:val="000000"/>
          <w:sz w:val="20"/>
          <w:szCs w:val="20"/>
          <w:shd w:val="clear" w:color="auto" w:fill="FFFFFF"/>
        </w:rPr>
        <w:t>es, performance-based fees and distribution revenues in our Investment Management &amp; Research segment as a result of higher average AUM revenues, and higher fees in our Group Retirement segment as a result of higher average Separate Accounts AV and higher b</w:t>
      </w:r>
      <w:r>
        <w:rPr>
          <w:rFonts w:eastAsia="Times New Roman"/>
          <w:color w:val="000000"/>
          <w:sz w:val="20"/>
          <w:szCs w:val="20"/>
          <w:shd w:val="clear" w:color="auto" w:fill="FFFFFF"/>
        </w:rPr>
        <w:t xml:space="preserve">roker-dealer related revenues. </w:t>
      </w:r>
    </w:p>
    <w:p w:rsidR="00000000" w:rsidRDefault="005B0BC3">
      <w:pPr>
        <w:ind w:hanging="180"/>
        <w:jc w:val="both"/>
        <w:divId w:val="97263776"/>
        <w:rPr>
          <w:rFonts w:eastAsia="Times New Roman"/>
        </w:rPr>
      </w:pPr>
      <w:r>
        <w:rPr>
          <w:rFonts w:eastAsia="Times New Roman"/>
          <w:color w:val="000000"/>
          <w:sz w:val="20"/>
          <w:szCs w:val="20"/>
          <w:shd w:val="clear" w:color="auto" w:fill="FFFFFF"/>
        </w:rPr>
        <w:t xml:space="preserve">•Net investment income increased by $566 million mainly due to higher income from our alternative investment portfolio and higher prepayments, partially offset by lower assets related to the Venerable Transaction. </w:t>
      </w:r>
    </w:p>
    <w:p w:rsidR="00000000" w:rsidRDefault="005B0BC3">
      <w:pPr>
        <w:ind w:hanging="180"/>
        <w:divId w:val="479662984"/>
        <w:rPr>
          <w:rFonts w:eastAsia="Times New Roman"/>
        </w:rPr>
      </w:pPr>
      <w:r>
        <w:rPr>
          <w:rFonts w:eastAsia="Times New Roman"/>
          <w:color w:val="000000"/>
          <w:sz w:val="20"/>
          <w:szCs w:val="20"/>
          <w:shd w:val="clear" w:color="auto" w:fill="FFFFFF"/>
        </w:rPr>
        <w:t>•Policyho</w:t>
      </w:r>
      <w:r>
        <w:rPr>
          <w:rFonts w:eastAsia="Times New Roman"/>
          <w:color w:val="000000"/>
          <w:sz w:val="20"/>
          <w:szCs w:val="20"/>
          <w:shd w:val="clear" w:color="auto" w:fill="FFFFFF"/>
        </w:rPr>
        <w:t xml:space="preserve">lders’ benefits decreased by $545 million mainly due to </w:t>
      </w:r>
      <w:r>
        <w:rPr>
          <w:rFonts w:eastAsia="Times New Roman"/>
          <w:color w:val="000000"/>
          <w:sz w:val="20"/>
          <w:szCs w:val="20"/>
        </w:rPr>
        <w:t xml:space="preserve">equity market appreciation (offset in Net Derivative gains), partially offset by </w:t>
      </w:r>
      <w:r>
        <w:rPr>
          <w:rFonts w:eastAsia="Times New Roman"/>
          <w:color w:val="000000"/>
          <w:sz w:val="20"/>
          <w:szCs w:val="20"/>
          <w:shd w:val="clear" w:color="auto" w:fill="FFFFFF"/>
        </w:rPr>
        <w:t>higher ongoing reserves resulting from assumption updates in 2020 and higher death claims in 2021.</w:t>
      </w:r>
    </w:p>
    <w:p w:rsidR="00000000" w:rsidRDefault="005B0BC3">
      <w:pPr>
        <w:jc w:val="center"/>
        <w:divId w:val="1710181201"/>
        <w:rPr>
          <w:rFonts w:eastAsia="Times New Roman"/>
        </w:rPr>
      </w:pPr>
      <w:r>
        <w:rPr>
          <w:rFonts w:eastAsia="Times New Roman"/>
          <w:color w:val="000000"/>
          <w:sz w:val="20"/>
          <w:szCs w:val="20"/>
        </w:rPr>
        <w:t>87</w:t>
      </w:r>
    </w:p>
    <w:p w:rsidR="00000000" w:rsidRDefault="005B0BC3">
      <w:pPr>
        <w:rPr>
          <w:rFonts w:eastAsia="Times New Roman"/>
        </w:rPr>
      </w:pPr>
      <w:r>
        <w:rPr>
          <w:rFonts w:eastAsia="Times New Roman"/>
        </w:rPr>
        <w:pict>
          <v:rect id="_x0000_i1125" style="width:0;height:1.5pt" o:hralign="center" o:hrstd="t" o:hr="t" fillcolor="#a0a0a0" stroked="f"/>
        </w:pict>
      </w:r>
    </w:p>
    <w:p w:rsidR="00000000" w:rsidRDefault="005B0BC3">
      <w:pPr>
        <w:divId w:val="700134401"/>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ind w:hanging="180"/>
        <w:divId w:val="678967708"/>
        <w:rPr>
          <w:rFonts w:eastAsia="Times New Roman"/>
        </w:rPr>
      </w:pPr>
      <w:r>
        <w:rPr>
          <w:rFonts w:eastAsia="Times New Roman"/>
          <w:color w:val="000000"/>
          <w:sz w:val="20"/>
          <w:szCs w:val="20"/>
          <w:shd w:val="clear" w:color="auto" w:fill="FFFFFF"/>
        </w:rPr>
        <w:t>•Amortization of DAC decreased by $9 million mainly due to</w:t>
      </w:r>
      <w:r>
        <w:rPr>
          <w:rFonts w:eastAsia="Times New Roman"/>
          <w:color w:val="000000"/>
          <w:sz w:val="20"/>
          <w:szCs w:val="20"/>
        </w:rPr>
        <w:t xml:space="preserve"> favorable assumption updates in 2021 compared to 2020, partially offset by higher a</w:t>
      </w:r>
      <w:r>
        <w:rPr>
          <w:rFonts w:eastAsia="Times New Roman"/>
          <w:color w:val="000000"/>
          <w:sz w:val="20"/>
          <w:szCs w:val="20"/>
        </w:rPr>
        <w:t xml:space="preserve">mortization due to growth of SCS. </w:t>
      </w:r>
    </w:p>
    <w:p w:rsidR="00000000" w:rsidRDefault="005B0BC3">
      <w:pPr>
        <w:divId w:val="493840957"/>
        <w:rPr>
          <w:rFonts w:eastAsia="Times New Roman"/>
        </w:rPr>
      </w:pPr>
      <w:r>
        <w:rPr>
          <w:rFonts w:eastAsia="Times New Roman"/>
          <w:color w:val="000000"/>
          <w:sz w:val="20"/>
          <w:szCs w:val="20"/>
          <w:shd w:val="clear" w:color="auto" w:fill="FFFFFF"/>
        </w:rPr>
        <w:t>These were partially offset by the following unfavorable items:</w:t>
      </w:r>
    </w:p>
    <w:p w:rsidR="00000000" w:rsidRDefault="005B0BC3">
      <w:pPr>
        <w:ind w:hanging="180"/>
        <w:divId w:val="1473208566"/>
        <w:rPr>
          <w:rFonts w:eastAsia="Times New Roman"/>
        </w:rPr>
      </w:pPr>
      <w:r>
        <w:rPr>
          <w:rFonts w:eastAsia="Times New Roman"/>
          <w:color w:val="000000"/>
          <w:sz w:val="20"/>
          <w:szCs w:val="20"/>
          <w:shd w:val="clear" w:color="auto" w:fill="FFFFFF"/>
        </w:rPr>
        <w:t>•Net derivative gains decreased by $485 million mainly due to</w:t>
      </w:r>
      <w:r>
        <w:rPr>
          <w:rFonts w:eastAsia="Times New Roman"/>
          <w:color w:val="000000"/>
          <w:sz w:val="20"/>
          <w:szCs w:val="20"/>
        </w:rPr>
        <w:t xml:space="preserve"> equity market appreciation in 2021, which was offset in Policyholder’s benefits, and inflation </w:t>
      </w:r>
      <w:r>
        <w:rPr>
          <w:rFonts w:eastAsia="Times New Roman"/>
          <w:color w:val="000000"/>
          <w:sz w:val="20"/>
          <w:szCs w:val="20"/>
        </w:rPr>
        <w:t>related hedging losses on TIP</w:t>
      </w:r>
      <w:r>
        <w:rPr>
          <w:rFonts w:eastAsia="Times New Roman"/>
          <w:color w:val="000000"/>
          <w:sz w:val="20"/>
          <w:szCs w:val="20"/>
          <w:shd w:val="clear" w:color="auto" w:fill="FFFFFF"/>
        </w:rPr>
        <w:t>S in the General Account.</w:t>
      </w:r>
    </w:p>
    <w:p w:rsidR="00000000" w:rsidRDefault="005B0BC3">
      <w:pPr>
        <w:ind w:hanging="180"/>
        <w:divId w:val="1746107195"/>
        <w:rPr>
          <w:rFonts w:eastAsia="Times New Roman"/>
        </w:rPr>
      </w:pPr>
      <w:r>
        <w:rPr>
          <w:rFonts w:eastAsia="Times New Roman"/>
          <w:color w:val="000000"/>
          <w:sz w:val="20"/>
          <w:szCs w:val="20"/>
          <w:shd w:val="clear" w:color="auto" w:fill="FFFFFF"/>
        </w:rPr>
        <w:t>•Compensation, benefits and other operating costs and expenses increased by $424 million mainly due to higher employee compensation in our Investment Management and Research segment due to higher reven</w:t>
      </w:r>
      <w:r>
        <w:rPr>
          <w:rFonts w:eastAsia="Times New Roman"/>
          <w:color w:val="000000"/>
          <w:sz w:val="20"/>
          <w:szCs w:val="20"/>
          <w:shd w:val="clear" w:color="auto" w:fill="FFFFFF"/>
        </w:rPr>
        <w:t>ues and increased expenses in Corporate and Other related to unfavorable COLI death claims and general incremental compensation increases.</w:t>
      </w:r>
    </w:p>
    <w:p w:rsidR="00000000" w:rsidRDefault="005B0BC3">
      <w:pPr>
        <w:ind w:hanging="180"/>
        <w:divId w:val="627207451"/>
        <w:rPr>
          <w:rFonts w:eastAsia="Times New Roman"/>
        </w:rPr>
      </w:pPr>
      <w:r>
        <w:rPr>
          <w:rFonts w:eastAsia="Times New Roman"/>
          <w:color w:val="000000"/>
          <w:sz w:val="20"/>
          <w:szCs w:val="20"/>
          <w:shd w:val="clear" w:color="auto" w:fill="FFFFFF"/>
        </w:rPr>
        <w:t>•Commissions and distribution-related payments increased by $311 million mainly due to higher distribution-related pa</w:t>
      </w:r>
      <w:r>
        <w:rPr>
          <w:rFonts w:eastAsia="Times New Roman"/>
          <w:color w:val="000000"/>
          <w:sz w:val="20"/>
          <w:szCs w:val="20"/>
          <w:shd w:val="clear" w:color="auto" w:fill="FFFFFF"/>
        </w:rPr>
        <w:t>yments in our Investment Management and Research and Individual Retirement segments based on higher average AUM and Separate Account AV balances, as well as the growth in broker dealer sales.</w:t>
      </w:r>
    </w:p>
    <w:p w:rsidR="00000000" w:rsidRDefault="005B0BC3">
      <w:pPr>
        <w:ind w:hanging="180"/>
        <w:divId w:val="1534419786"/>
        <w:rPr>
          <w:rFonts w:eastAsia="Times New Roman"/>
        </w:rPr>
      </w:pPr>
      <w:r>
        <w:rPr>
          <w:rFonts w:eastAsia="Times New Roman"/>
          <w:color w:val="000000"/>
          <w:sz w:val="20"/>
          <w:szCs w:val="20"/>
          <w:shd w:val="clear" w:color="auto" w:fill="FFFFFF"/>
        </w:rPr>
        <w:t xml:space="preserve">•Earnings attributable to the noncontrolling interest increased </w:t>
      </w:r>
      <w:r>
        <w:rPr>
          <w:rFonts w:eastAsia="Times New Roman"/>
          <w:color w:val="000000"/>
          <w:sz w:val="20"/>
          <w:szCs w:val="20"/>
          <w:shd w:val="clear" w:color="auto" w:fill="FFFFFF"/>
        </w:rPr>
        <w:t>by $114 million mainly due to higher AB Operating earnings in our Investment Management and Research segment.</w:t>
      </w:r>
    </w:p>
    <w:p w:rsidR="00000000" w:rsidRDefault="005B0BC3">
      <w:pPr>
        <w:ind w:hanging="180"/>
        <w:jc w:val="both"/>
        <w:divId w:val="615257018"/>
        <w:rPr>
          <w:rFonts w:eastAsia="Times New Roman"/>
        </w:rPr>
      </w:pPr>
      <w:r>
        <w:rPr>
          <w:rFonts w:eastAsia="Times New Roman"/>
          <w:color w:val="000000"/>
          <w:sz w:val="20"/>
          <w:szCs w:val="20"/>
          <w:shd w:val="clear" w:color="auto" w:fill="FFFFFF"/>
        </w:rPr>
        <w:t>•Income tax expense increased by $164 million primarily due to higher pre-tax earnings.</w:t>
      </w:r>
    </w:p>
    <w:p w:rsidR="00000000" w:rsidRDefault="005B0BC3">
      <w:pPr>
        <w:divId w:val="1277709571"/>
        <w:rPr>
          <w:rFonts w:eastAsia="Times New Roman"/>
        </w:rPr>
      </w:pPr>
      <w:r>
        <w:rPr>
          <w:rFonts w:eastAsia="Times New Roman"/>
          <w:b/>
          <w:bCs/>
          <w:color w:val="000000"/>
          <w:sz w:val="20"/>
          <w:szCs w:val="20"/>
        </w:rPr>
        <w:t>Year Ended December 31, 2020 Compared to the Year Ended De</w:t>
      </w:r>
      <w:r>
        <w:rPr>
          <w:rFonts w:eastAsia="Times New Roman"/>
          <w:b/>
          <w:bCs/>
          <w:color w:val="000000"/>
          <w:sz w:val="20"/>
          <w:szCs w:val="20"/>
        </w:rPr>
        <w:t>cember 31, 2019</w:t>
      </w:r>
    </w:p>
    <w:p w:rsidR="00000000" w:rsidRDefault="005B0BC3">
      <w:pPr>
        <w:jc w:val="both"/>
        <w:divId w:val="2124377456"/>
        <w:rPr>
          <w:rFonts w:eastAsia="Times New Roman"/>
        </w:rPr>
      </w:pPr>
      <w:r>
        <w:rPr>
          <w:rFonts w:eastAsia="Times New Roman"/>
          <w:b/>
          <w:bCs/>
          <w:i/>
          <w:iCs/>
          <w:color w:val="000000"/>
          <w:sz w:val="20"/>
          <w:szCs w:val="20"/>
        </w:rPr>
        <w:t>Net Income Attributable to Holdings</w:t>
      </w:r>
    </w:p>
    <w:p w:rsidR="00000000" w:rsidRDefault="005B0BC3">
      <w:pPr>
        <w:ind w:firstLine="360"/>
        <w:divId w:val="664023"/>
        <w:rPr>
          <w:rFonts w:eastAsia="Times New Roman"/>
        </w:rPr>
      </w:pPr>
      <w:r>
        <w:rPr>
          <w:rFonts w:eastAsia="Times New Roman"/>
          <w:color w:val="000000"/>
          <w:sz w:val="20"/>
          <w:szCs w:val="20"/>
        </w:rPr>
        <w:t>For discussion that compares results for the year ended December 31, 2020 to the year ended December 31, 2019 refer to the MD&amp;A section in our Annual Report on Form 10-K for the year ended December 31, 20</w:t>
      </w:r>
      <w:r>
        <w:rPr>
          <w:rFonts w:eastAsia="Times New Roman"/>
          <w:color w:val="000000"/>
          <w:sz w:val="20"/>
          <w:szCs w:val="20"/>
        </w:rPr>
        <w:t>20 (“2020 Form 10-K”).</w:t>
      </w:r>
    </w:p>
    <w:p w:rsidR="00000000" w:rsidRDefault="005B0BC3">
      <w:pPr>
        <w:jc w:val="both"/>
        <w:divId w:val="1393117627"/>
        <w:rPr>
          <w:rFonts w:eastAsia="Times New Roman"/>
        </w:rPr>
      </w:pPr>
      <w:r>
        <w:rPr>
          <w:rFonts w:eastAsia="Times New Roman"/>
          <w:b/>
          <w:bCs/>
          <w:i/>
          <w:iCs/>
          <w:color w:val="000000"/>
          <w:sz w:val="20"/>
          <w:szCs w:val="20"/>
        </w:rPr>
        <w:t>Non-GAAP Operating Earnings</w:t>
      </w:r>
    </w:p>
    <w:p w:rsidR="00000000" w:rsidRDefault="005B0BC3">
      <w:pPr>
        <w:ind w:firstLine="360"/>
        <w:divId w:val="569390435"/>
        <w:rPr>
          <w:rFonts w:eastAsia="Times New Roman"/>
        </w:rPr>
      </w:pPr>
      <w:r>
        <w:rPr>
          <w:rFonts w:eastAsia="Times New Roman"/>
          <w:color w:val="000000"/>
          <w:sz w:val="20"/>
          <w:szCs w:val="20"/>
        </w:rPr>
        <w:t xml:space="preserve">For discussion that compares results for the year ended December 31, 2020 to the year ended December 31, 2019 refer to the MD&amp;A section in our 2020 Form 10-K. </w:t>
      </w:r>
    </w:p>
    <w:p w:rsidR="00000000" w:rsidRDefault="005B0BC3">
      <w:pPr>
        <w:divId w:val="1098216513"/>
        <w:rPr>
          <w:rFonts w:eastAsia="Times New Roman"/>
        </w:rPr>
      </w:pPr>
      <w:r>
        <w:rPr>
          <w:rFonts w:eastAsia="Times New Roman"/>
          <w:b/>
          <w:bCs/>
          <w:color w:val="000000"/>
          <w:sz w:val="20"/>
          <w:szCs w:val="20"/>
        </w:rPr>
        <w:t>Results of Operations by Segment</w:t>
      </w:r>
    </w:p>
    <w:p w:rsidR="00000000" w:rsidRDefault="005B0BC3">
      <w:pPr>
        <w:ind w:firstLine="360"/>
        <w:divId w:val="299499807"/>
        <w:rPr>
          <w:rFonts w:eastAsia="Times New Roman"/>
        </w:rPr>
      </w:pPr>
      <w:r>
        <w:rPr>
          <w:rFonts w:eastAsia="Times New Roman"/>
          <w:color w:val="000000"/>
          <w:sz w:val="20"/>
          <w:szCs w:val="20"/>
        </w:rPr>
        <w:t>We manage ou</w:t>
      </w:r>
      <w:r>
        <w:rPr>
          <w:rFonts w:eastAsia="Times New Roman"/>
          <w:color w:val="000000"/>
          <w:sz w:val="20"/>
          <w:szCs w:val="20"/>
        </w:rPr>
        <w:t>r business through the following four segments: Individual Retirement, Group Retirement, Investment Management and Research, and Protection Solutions. We report certain activities and items that are not included in our four segments in Corporate and Other.</w:t>
      </w:r>
      <w:r>
        <w:rPr>
          <w:rFonts w:eastAsia="Times New Roman"/>
          <w:color w:val="000000"/>
          <w:sz w:val="20"/>
          <w:szCs w:val="20"/>
        </w:rPr>
        <w:t xml:space="preserve"> The following section presents our discussion of operating earnings (loss) by segment and AUM, AV and Protection Solutions Reserves by segment, as applicable. Consistent with U.S. GAAP guidance for segment reporting, operating earnings (loss) is our U.S. </w:t>
      </w:r>
      <w:r>
        <w:rPr>
          <w:rFonts w:eastAsia="Times New Roman"/>
          <w:color w:val="000000"/>
          <w:sz w:val="20"/>
          <w:szCs w:val="20"/>
        </w:rPr>
        <w:t>GAAP measure of segment performance. See Note 19 of the Notes to these Consolidated Financial Statements for further information on our segments.</w:t>
      </w:r>
    </w:p>
    <w:p w:rsidR="00000000" w:rsidRDefault="005B0BC3">
      <w:pPr>
        <w:ind w:firstLine="360"/>
        <w:divId w:val="2037538474"/>
        <w:rPr>
          <w:rFonts w:eastAsia="Times New Roman"/>
        </w:rPr>
      </w:pPr>
      <w:r>
        <w:rPr>
          <w:rFonts w:eastAsia="Times New Roman"/>
          <w:color w:val="000000"/>
          <w:sz w:val="20"/>
          <w:szCs w:val="20"/>
        </w:rPr>
        <w:t>The following table summarizes operating earnings (loss) on our segments and Corporate and Other for the years</w:t>
      </w:r>
      <w:r>
        <w:rPr>
          <w:rFonts w:eastAsia="Times New Roman"/>
          <w:color w:val="000000"/>
          <w:sz w:val="20"/>
          <w:szCs w:val="20"/>
        </w:rPr>
        <w:t xml:space="preserve"> ended December 31, 2021, 2020 and 2019:</w:t>
      </w:r>
    </w:p>
    <w:tbl>
      <w:tblPr>
        <w:tblW w:w="5000" w:type="pct"/>
        <w:tblCellMar>
          <w:top w:w="15" w:type="dxa"/>
          <w:left w:w="15" w:type="dxa"/>
          <w:bottom w:w="15" w:type="dxa"/>
          <w:right w:w="15" w:type="dxa"/>
        </w:tblCellMar>
        <w:tblLook w:val="04A0" w:firstRow="1" w:lastRow="0" w:firstColumn="1" w:lastColumn="0" w:noHBand="0" w:noVBand="1"/>
      </w:tblPr>
      <w:tblGrid>
        <w:gridCol w:w="39"/>
        <w:gridCol w:w="5142"/>
        <w:gridCol w:w="38"/>
        <w:gridCol w:w="36"/>
        <w:gridCol w:w="36"/>
        <w:gridCol w:w="36"/>
        <w:gridCol w:w="36"/>
        <w:gridCol w:w="120"/>
        <w:gridCol w:w="720"/>
        <w:gridCol w:w="36"/>
        <w:gridCol w:w="36"/>
        <w:gridCol w:w="36"/>
        <w:gridCol w:w="36"/>
        <w:gridCol w:w="120"/>
        <w:gridCol w:w="679"/>
        <w:gridCol w:w="36"/>
        <w:gridCol w:w="36"/>
        <w:gridCol w:w="36"/>
        <w:gridCol w:w="36"/>
        <w:gridCol w:w="120"/>
        <w:gridCol w:w="860"/>
        <w:gridCol w:w="36"/>
      </w:tblGrid>
      <w:tr w:rsidR="00000000">
        <w:trPr>
          <w:divId w:val="1468158613"/>
        </w:trPr>
        <w:tc>
          <w:tcPr>
            <w:tcW w:w="50" w:type="pct"/>
            <w:vAlign w:val="center"/>
            <w:hideMark/>
          </w:tcPr>
          <w:p w:rsidR="00000000" w:rsidRDefault="005B0BC3">
            <w:pPr>
              <w:ind w:firstLine="360"/>
              <w:rPr>
                <w:rFonts w:eastAsia="Times New Roman"/>
              </w:rPr>
            </w:pPr>
          </w:p>
        </w:tc>
        <w:tc>
          <w:tcPr>
            <w:tcW w:w="318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7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7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8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468158613"/>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468158613"/>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1468158613"/>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1468158613"/>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Operating earnings (loss) by segment:</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468158613"/>
        </w:trPr>
        <w:tc>
          <w:tcPr>
            <w:tcW w:w="0" w:type="auto"/>
            <w:gridSpan w:val="3"/>
            <w:shd w:val="clear" w:color="auto" w:fill="CCEE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Individual Retirement</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1,536 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1,598 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468158613"/>
        </w:trPr>
        <w:tc>
          <w:tcPr>
            <w:tcW w:w="0" w:type="auto"/>
            <w:gridSpan w:val="3"/>
            <w:shd w:val="clear" w:color="auto" w:fill="FFFF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Group Retirement</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491 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390 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468158613"/>
        </w:trPr>
        <w:tc>
          <w:tcPr>
            <w:tcW w:w="0" w:type="auto"/>
            <w:gridSpan w:val="3"/>
            <w:shd w:val="clear" w:color="auto" w:fill="CCEE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Investment Management and Research</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564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432 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381 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468158613"/>
        </w:trPr>
        <w:tc>
          <w:tcPr>
            <w:tcW w:w="0" w:type="auto"/>
            <w:gridSpan w:val="3"/>
            <w:shd w:val="clear" w:color="auto" w:fill="FFFF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Protection Solutions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336 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468158613"/>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Corporate and Other</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(131)</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(303)</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(348)</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468158613"/>
        </w:trPr>
        <w:tc>
          <w:tcPr>
            <w:tcW w:w="0" w:type="auto"/>
            <w:gridSpan w:val="3"/>
            <w:shd w:val="clear" w:color="auto" w:fill="FFFF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Non-GAAP Operating Earnings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2,825</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2,302 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2,357 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jc w:val="center"/>
        <w:divId w:val="1032924397"/>
        <w:rPr>
          <w:rFonts w:eastAsia="Times New Roman"/>
        </w:rPr>
      </w:pPr>
      <w:r>
        <w:rPr>
          <w:rFonts w:eastAsia="Times New Roman"/>
          <w:color w:val="000000"/>
          <w:sz w:val="20"/>
          <w:szCs w:val="20"/>
        </w:rPr>
        <w:t>88</w:t>
      </w:r>
    </w:p>
    <w:p w:rsidR="00000000" w:rsidRDefault="005B0BC3">
      <w:pPr>
        <w:rPr>
          <w:rFonts w:eastAsia="Times New Roman"/>
        </w:rPr>
      </w:pPr>
      <w:r>
        <w:rPr>
          <w:rFonts w:eastAsia="Times New Roman"/>
        </w:rPr>
        <w:pict>
          <v:rect id="_x0000_i1126" style="width:0;height:1.5pt" o:hralign="center" o:hrstd="t" o:hr="t" fillcolor="#a0a0a0" stroked="f"/>
        </w:pict>
      </w:r>
    </w:p>
    <w:p w:rsidR="00000000" w:rsidRDefault="005B0BC3">
      <w:pPr>
        <w:divId w:val="1344281043"/>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jc w:val="both"/>
        <w:divId w:val="354426115"/>
        <w:rPr>
          <w:rFonts w:eastAsia="Times New Roman"/>
        </w:rPr>
      </w:pPr>
      <w:r>
        <w:rPr>
          <w:rFonts w:eastAsia="Times New Roman"/>
          <w:b/>
          <w:bCs/>
          <w:i/>
          <w:iCs/>
          <w:color w:val="000000"/>
          <w:sz w:val="20"/>
          <w:szCs w:val="20"/>
        </w:rPr>
        <w:t xml:space="preserve">Effective Tax Rates by Segment </w:t>
      </w:r>
    </w:p>
    <w:p w:rsidR="00000000" w:rsidRDefault="005B0BC3">
      <w:pPr>
        <w:ind w:firstLine="360"/>
        <w:divId w:val="35665320"/>
        <w:rPr>
          <w:rFonts w:eastAsia="Times New Roman"/>
        </w:rPr>
      </w:pPr>
      <w:r>
        <w:rPr>
          <w:rFonts w:eastAsia="Times New Roman"/>
          <w:color w:val="000000"/>
          <w:sz w:val="20"/>
          <w:szCs w:val="20"/>
        </w:rPr>
        <w:t>For 2021, 2020 and 2019 Income tax expense was allocated to the Company’s business segments using a 17%, 16% a</w:t>
      </w:r>
      <w:r>
        <w:rPr>
          <w:rFonts w:eastAsia="Times New Roman"/>
          <w:color w:val="000000"/>
          <w:sz w:val="20"/>
          <w:szCs w:val="20"/>
        </w:rPr>
        <w:t>nd 17%</w:t>
      </w:r>
      <w:r>
        <w:rPr>
          <w:rFonts w:eastAsia="Times New Roman"/>
          <w:color w:val="000000"/>
        </w:rPr>
        <w:t xml:space="preserve"> </w:t>
      </w:r>
      <w:r>
        <w:rPr>
          <w:rFonts w:eastAsia="Times New Roman"/>
          <w:color w:val="000000"/>
          <w:sz w:val="20"/>
          <w:szCs w:val="20"/>
        </w:rPr>
        <w:t>effective tax rate (“ETR”), respectively, for our retirement and protection businesses (Individual Retirement, Group Retirement, and Protection Solutions) and a 27%, 27% and 28% ETR for Investment Management and Research.</w:t>
      </w:r>
    </w:p>
    <w:p w:rsidR="00000000" w:rsidRDefault="005B0BC3">
      <w:pPr>
        <w:divId w:val="167673536"/>
        <w:rPr>
          <w:rFonts w:eastAsia="Times New Roman"/>
        </w:rPr>
      </w:pPr>
    </w:p>
    <w:p w:rsidR="00000000" w:rsidRDefault="005B0BC3">
      <w:pPr>
        <w:divId w:val="745418783"/>
        <w:rPr>
          <w:rFonts w:eastAsia="Times New Roman"/>
        </w:rPr>
      </w:pPr>
      <w:r>
        <w:rPr>
          <w:rFonts w:eastAsia="Times New Roman"/>
          <w:b/>
          <w:bCs/>
          <w:color w:val="000000"/>
          <w:sz w:val="20"/>
          <w:szCs w:val="20"/>
        </w:rPr>
        <w:t>Individual Retirement</w:t>
      </w:r>
    </w:p>
    <w:p w:rsidR="00000000" w:rsidRDefault="005B0BC3">
      <w:pPr>
        <w:ind w:firstLine="360"/>
        <w:divId w:val="983971045"/>
        <w:rPr>
          <w:rFonts w:eastAsia="Times New Roman"/>
        </w:rPr>
      </w:pPr>
      <w:r>
        <w:rPr>
          <w:rFonts w:eastAsia="Times New Roman"/>
          <w:color w:val="000000"/>
          <w:sz w:val="20"/>
          <w:szCs w:val="20"/>
        </w:rPr>
        <w:t>The</w:t>
      </w:r>
      <w:r>
        <w:rPr>
          <w:rFonts w:eastAsia="Times New Roman"/>
          <w:color w:val="000000"/>
          <w:sz w:val="20"/>
          <w:szCs w:val="20"/>
        </w:rPr>
        <w:t xml:space="preserve"> Individual Retirement segment includes our variable annuity products which primarily meet the needs of individuals saving for retirement or seeking retirement income.</w:t>
      </w:r>
    </w:p>
    <w:p w:rsidR="00000000" w:rsidRDefault="005B0BC3">
      <w:pPr>
        <w:ind w:firstLine="360"/>
        <w:divId w:val="1008599675"/>
        <w:rPr>
          <w:rFonts w:eastAsia="Times New Roman"/>
        </w:rPr>
      </w:pPr>
      <w:r>
        <w:rPr>
          <w:rFonts w:eastAsia="Times New Roman"/>
          <w:color w:val="000000"/>
          <w:sz w:val="20"/>
          <w:szCs w:val="20"/>
        </w:rPr>
        <w:t>The following table summarizes operating earnings of our Individual Retirement segment f</w:t>
      </w:r>
      <w:r>
        <w:rPr>
          <w:rFonts w:eastAsia="Times New Roman"/>
          <w:color w:val="000000"/>
          <w:sz w:val="20"/>
          <w:szCs w:val="20"/>
        </w:rPr>
        <w:t>or the periods presented:</w:t>
      </w:r>
    </w:p>
    <w:tbl>
      <w:tblPr>
        <w:tblW w:w="5000" w:type="pct"/>
        <w:tblCellMar>
          <w:top w:w="15" w:type="dxa"/>
          <w:left w:w="15" w:type="dxa"/>
          <w:bottom w:w="15" w:type="dxa"/>
          <w:right w:w="15" w:type="dxa"/>
        </w:tblCellMar>
        <w:tblLook w:val="04A0" w:firstRow="1" w:lastRow="0" w:firstColumn="1" w:lastColumn="0" w:noHBand="0" w:noVBand="1"/>
      </w:tblPr>
      <w:tblGrid>
        <w:gridCol w:w="37"/>
        <w:gridCol w:w="5040"/>
        <w:gridCol w:w="36"/>
        <w:gridCol w:w="36"/>
        <w:gridCol w:w="36"/>
        <w:gridCol w:w="36"/>
        <w:gridCol w:w="120"/>
        <w:gridCol w:w="662"/>
        <w:gridCol w:w="36"/>
        <w:gridCol w:w="36"/>
        <w:gridCol w:w="36"/>
        <w:gridCol w:w="36"/>
        <w:gridCol w:w="120"/>
        <w:gridCol w:w="593"/>
        <w:gridCol w:w="36"/>
        <w:gridCol w:w="36"/>
        <w:gridCol w:w="36"/>
        <w:gridCol w:w="36"/>
        <w:gridCol w:w="480"/>
        <w:gridCol w:w="786"/>
        <w:gridCol w:w="36"/>
      </w:tblGrid>
      <w:tr w:rsidR="00000000">
        <w:trPr>
          <w:divId w:val="1149787799"/>
        </w:trPr>
        <w:tc>
          <w:tcPr>
            <w:tcW w:w="50" w:type="pct"/>
            <w:vAlign w:val="center"/>
            <w:hideMark/>
          </w:tcPr>
          <w:p w:rsidR="00000000" w:rsidRDefault="005B0BC3">
            <w:pPr>
              <w:ind w:firstLine="360"/>
              <w:rPr>
                <w:rFonts w:eastAsia="Times New Roman"/>
              </w:rPr>
            </w:pPr>
          </w:p>
        </w:tc>
        <w:tc>
          <w:tcPr>
            <w:tcW w:w="316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6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4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6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4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8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149787799"/>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149787799"/>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1149787799"/>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1149787799"/>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Operating earnings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1,444</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1,536 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ind w:firstLine="36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1,598 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divId w:val="1746608601"/>
        <w:rPr>
          <w:rFonts w:eastAsia="Times New Roman"/>
        </w:rPr>
      </w:pPr>
    </w:p>
    <w:p w:rsidR="00000000" w:rsidRDefault="005B0BC3">
      <w:pPr>
        <w:divId w:val="348988263"/>
        <w:rPr>
          <w:rFonts w:eastAsia="Times New Roman"/>
        </w:rPr>
      </w:pPr>
    </w:p>
    <w:p w:rsidR="00000000" w:rsidRDefault="005B0BC3">
      <w:pPr>
        <w:ind w:firstLine="360"/>
        <w:divId w:val="800851662"/>
        <w:rPr>
          <w:rFonts w:eastAsia="Times New Roman"/>
        </w:rPr>
      </w:pPr>
      <w:r>
        <w:rPr>
          <w:rFonts w:eastAsia="Times New Roman"/>
          <w:color w:val="000000"/>
          <w:sz w:val="20"/>
          <w:szCs w:val="20"/>
        </w:rPr>
        <w:t>Key components of operating earnings are:</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357"/>
        <w:gridCol w:w="37"/>
        <w:gridCol w:w="36"/>
        <w:gridCol w:w="36"/>
        <w:gridCol w:w="36"/>
        <w:gridCol w:w="36"/>
        <w:gridCol w:w="120"/>
        <w:gridCol w:w="709"/>
        <w:gridCol w:w="36"/>
        <w:gridCol w:w="36"/>
        <w:gridCol w:w="36"/>
        <w:gridCol w:w="36"/>
        <w:gridCol w:w="120"/>
        <w:gridCol w:w="668"/>
        <w:gridCol w:w="36"/>
        <w:gridCol w:w="36"/>
        <w:gridCol w:w="36"/>
        <w:gridCol w:w="36"/>
        <w:gridCol w:w="120"/>
        <w:gridCol w:w="669"/>
        <w:gridCol w:w="36"/>
      </w:tblGrid>
      <w:tr w:rsidR="00000000">
        <w:trPr>
          <w:divId w:val="1425423154"/>
          <w:jc w:val="center"/>
        </w:trPr>
        <w:tc>
          <w:tcPr>
            <w:tcW w:w="50" w:type="pct"/>
            <w:vAlign w:val="center"/>
            <w:hideMark/>
          </w:tcPr>
          <w:p w:rsidR="00000000" w:rsidRDefault="005B0BC3">
            <w:pPr>
              <w:ind w:firstLine="360"/>
              <w:rPr>
                <w:rFonts w:eastAsia="Times New Roman"/>
              </w:rPr>
            </w:pPr>
          </w:p>
        </w:tc>
        <w:tc>
          <w:tcPr>
            <w:tcW w:w="331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6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6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6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425423154"/>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425423154"/>
          <w:jc w:val="center"/>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1425423154"/>
          <w:jc w:val="center"/>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1425423154"/>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REVENUES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425423154"/>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Policy charges, fee income and premiums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1,867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2,034 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2,085 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425423154"/>
          <w:jc w:val="center"/>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Net investment income</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1,246 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1,148 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425423154"/>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Net derivative gains (losses)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(128)</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331 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362 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425423154"/>
          <w:jc w:val="center"/>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Investment management, service fees and other income</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700 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730 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425423154"/>
          <w:jc w:val="center"/>
        </w:trPr>
        <w:tc>
          <w:tcPr>
            <w:tcW w:w="0" w:type="auto"/>
            <w:gridSpan w:val="3"/>
            <w:shd w:val="clear" w:color="auto" w:fill="CCEEFF"/>
            <w:tcMar>
              <w:top w:w="30" w:type="dxa"/>
              <w:left w:w="245"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Segment revenues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3,785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4,311 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4,325 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425423154"/>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425423154"/>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BENEFITS AND OTHER DEDUCTIONS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425423154"/>
          <w:jc w:val="center"/>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Policyholders’ benefits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1,207 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1,184 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425423154"/>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Interest credited to policyholders’ account balances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312 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310 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425423154"/>
          <w:jc w:val="center"/>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Commissions and distribution-related payments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281 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281 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425423154"/>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Amortization of deferred policy acquisition costs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299 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181 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425423154"/>
          <w:jc w:val="center"/>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Compensation, benefits and other operating costs and expenses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382 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435 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425423154"/>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Interest expense</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425423154"/>
          <w:jc w:val="center"/>
        </w:trPr>
        <w:tc>
          <w:tcPr>
            <w:tcW w:w="0" w:type="auto"/>
            <w:gridSpan w:val="3"/>
            <w:shd w:val="clear" w:color="auto" w:fill="FFFFFF"/>
            <w:tcMar>
              <w:top w:w="30" w:type="dxa"/>
              <w:left w:w="245"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Segment benefits and other deductions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2,038</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2,481 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2,391 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divId w:val="390152378"/>
        <w:rPr>
          <w:rFonts w:eastAsia="Times New Roman"/>
        </w:rPr>
      </w:pPr>
    </w:p>
    <w:p w:rsidR="00000000" w:rsidRDefault="005B0BC3">
      <w:pPr>
        <w:ind w:firstLine="360"/>
        <w:divId w:val="946960744"/>
        <w:rPr>
          <w:rFonts w:eastAsia="Times New Roman"/>
        </w:rPr>
      </w:pPr>
      <w:r>
        <w:rPr>
          <w:rFonts w:eastAsia="Times New Roman"/>
          <w:color w:val="000000"/>
          <w:sz w:val="20"/>
          <w:szCs w:val="20"/>
        </w:rPr>
        <w:t>The following table summarizes AV for</w:t>
      </w:r>
      <w:r>
        <w:rPr>
          <w:rFonts w:eastAsia="Times New Roman"/>
          <w:color w:val="000000"/>
          <w:sz w:val="20"/>
          <w:szCs w:val="20"/>
        </w:rPr>
        <w:t xml:space="preserve"> our Individual Retirement segment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555"/>
        <w:gridCol w:w="38"/>
        <w:gridCol w:w="120"/>
        <w:gridCol w:w="1037"/>
        <w:gridCol w:w="36"/>
        <w:gridCol w:w="36"/>
        <w:gridCol w:w="36"/>
        <w:gridCol w:w="36"/>
        <w:gridCol w:w="120"/>
        <w:gridCol w:w="1000"/>
        <w:gridCol w:w="36"/>
        <w:gridCol w:w="36"/>
        <w:gridCol w:w="36"/>
        <w:gridCol w:w="36"/>
        <w:gridCol w:w="36"/>
        <w:gridCol w:w="36"/>
        <w:gridCol w:w="36"/>
      </w:tblGrid>
      <w:tr w:rsidR="00000000">
        <w:trPr>
          <w:divId w:val="1537740616"/>
          <w:jc w:val="center"/>
        </w:trPr>
        <w:tc>
          <w:tcPr>
            <w:tcW w:w="50" w:type="pct"/>
            <w:vAlign w:val="center"/>
            <w:hideMark/>
          </w:tcPr>
          <w:p w:rsidR="00000000" w:rsidRDefault="005B0BC3">
            <w:pPr>
              <w:ind w:firstLine="360"/>
              <w:rPr>
                <w:rFonts w:eastAsia="Times New Roman"/>
              </w:rPr>
            </w:pPr>
          </w:p>
        </w:tc>
        <w:tc>
          <w:tcPr>
            <w:tcW w:w="346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6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6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537740616"/>
          <w:jc w:val="center"/>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537740616"/>
          <w:jc w:val="center"/>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537740616"/>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December 31,</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537740616"/>
          <w:jc w:val="center"/>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5B0BC3">
            <w:pPr>
              <w:spacing w:after="100"/>
              <w:jc w:val="center"/>
              <w:rPr>
                <w:rFonts w:eastAsia="Times New Roman"/>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537740616"/>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537740616"/>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AV (1)</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537740616"/>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General Account</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37,698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30,783 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537740616"/>
          <w:jc w:val="center"/>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Separate Accounts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74,206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86,607 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537740616"/>
          <w:jc w:val="center"/>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     Total AV</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111,904</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117,390 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bl>
    <w:p w:rsidR="00000000" w:rsidRDefault="005B0BC3">
      <w:pPr>
        <w:ind w:hanging="360"/>
        <w:divId w:val="1077358090"/>
        <w:rPr>
          <w:rFonts w:eastAsia="Times New Roman"/>
        </w:rPr>
      </w:pPr>
      <w:r>
        <w:rPr>
          <w:rFonts w:eastAsia="Times New Roman"/>
          <w:color w:val="000000"/>
          <w:sz w:val="18"/>
          <w:szCs w:val="18"/>
        </w:rPr>
        <w:t>(1) AV pres</w:t>
      </w:r>
      <w:r>
        <w:rPr>
          <w:rFonts w:eastAsia="Times New Roman"/>
          <w:color w:val="000000"/>
          <w:sz w:val="18"/>
          <w:szCs w:val="18"/>
        </w:rPr>
        <w:t>ented are net of reinsurance</w:t>
      </w:r>
    </w:p>
    <w:p w:rsidR="00000000" w:rsidRDefault="005B0BC3">
      <w:pPr>
        <w:jc w:val="center"/>
        <w:divId w:val="1421759146"/>
        <w:rPr>
          <w:rFonts w:eastAsia="Times New Roman"/>
        </w:rPr>
      </w:pPr>
      <w:r>
        <w:rPr>
          <w:rFonts w:eastAsia="Times New Roman"/>
          <w:color w:val="000000"/>
          <w:sz w:val="20"/>
          <w:szCs w:val="20"/>
        </w:rPr>
        <w:t>89</w:t>
      </w:r>
    </w:p>
    <w:p w:rsidR="00000000" w:rsidRDefault="005B0BC3">
      <w:pPr>
        <w:rPr>
          <w:rFonts w:eastAsia="Times New Roman"/>
        </w:rPr>
      </w:pPr>
      <w:r>
        <w:rPr>
          <w:rFonts w:eastAsia="Times New Roman"/>
        </w:rPr>
        <w:pict>
          <v:rect id="_x0000_i1127" style="width:0;height:1.5pt" o:hralign="center" o:hrstd="t" o:hr="t" fillcolor="#a0a0a0" stroked="f"/>
        </w:pict>
      </w:r>
    </w:p>
    <w:p w:rsidR="00000000" w:rsidRDefault="005B0BC3">
      <w:pPr>
        <w:divId w:val="806168239"/>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ind w:firstLine="360"/>
        <w:divId w:val="750202672"/>
        <w:rPr>
          <w:rFonts w:eastAsia="Times New Roman"/>
        </w:rPr>
      </w:pPr>
      <w:r>
        <w:rPr>
          <w:rFonts w:eastAsia="Times New Roman"/>
          <w:color w:val="000000"/>
          <w:sz w:val="20"/>
          <w:szCs w:val="20"/>
        </w:rPr>
        <w:t>The following table summarizes a roll-forward of AV for our Individual Retirement segment for the periods presented: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5003"/>
        <w:gridCol w:w="38"/>
        <w:gridCol w:w="36"/>
        <w:gridCol w:w="36"/>
        <w:gridCol w:w="36"/>
        <w:gridCol w:w="36"/>
        <w:gridCol w:w="120"/>
        <w:gridCol w:w="700"/>
        <w:gridCol w:w="36"/>
        <w:gridCol w:w="36"/>
        <w:gridCol w:w="36"/>
        <w:gridCol w:w="36"/>
        <w:gridCol w:w="120"/>
        <w:gridCol w:w="700"/>
        <w:gridCol w:w="36"/>
        <w:gridCol w:w="120"/>
        <w:gridCol w:w="250"/>
        <w:gridCol w:w="36"/>
        <w:gridCol w:w="120"/>
        <w:gridCol w:w="700"/>
        <w:gridCol w:w="36"/>
      </w:tblGrid>
      <w:tr w:rsidR="00000000">
        <w:trPr>
          <w:jc w:val="center"/>
        </w:trPr>
        <w:tc>
          <w:tcPr>
            <w:tcW w:w="50" w:type="pct"/>
            <w:vAlign w:val="center"/>
            <w:hideMark/>
          </w:tcPr>
          <w:p w:rsidR="00000000" w:rsidRDefault="005B0BC3">
            <w:pPr>
              <w:ind w:firstLine="360"/>
              <w:rPr>
                <w:rFonts w:eastAsia="Times New Roman"/>
              </w:rPr>
            </w:pPr>
          </w:p>
        </w:tc>
        <w:tc>
          <w:tcPr>
            <w:tcW w:w="321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7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7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4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jc w:val="center"/>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Balance as of beginning of period</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117,390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108,922 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94,589 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Gross premiums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11,249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7,493 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8,572 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Surrenders, withdrawals and benefits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(12,143)</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(8,622)</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(9,071)</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    Net flows (1)</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(894)</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(1,129)</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(499)</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Investment performance, interest credited and policy charges (3)</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12,316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9,606 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15,290 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Ceded to Venerable (2)</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(16,927)</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Reclassified to Liabilities held for sale</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Other (3) (4) (5) (6)</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(458)</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Balance as of end of period</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111,904</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117,390 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108,922 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ind w:hanging="360"/>
        <w:divId w:val="648091666"/>
        <w:rPr>
          <w:rFonts w:eastAsia="Times New Roman"/>
        </w:rPr>
      </w:pPr>
      <w:r>
        <w:rPr>
          <w:rFonts w:eastAsia="Times New Roman"/>
          <w:color w:val="000000"/>
          <w:sz w:val="18"/>
          <w:szCs w:val="18"/>
        </w:rPr>
        <w:t>______________</w:t>
      </w:r>
    </w:p>
    <w:p w:rsidR="00000000" w:rsidRDefault="005B0BC3">
      <w:pPr>
        <w:ind w:hanging="360"/>
        <w:divId w:val="1892572542"/>
        <w:rPr>
          <w:rFonts w:eastAsia="Times New Roman"/>
        </w:rPr>
      </w:pPr>
    </w:p>
    <w:p w:rsidR="00000000" w:rsidRDefault="005B0BC3">
      <w:pPr>
        <w:ind w:hanging="360"/>
        <w:divId w:val="1452744622"/>
        <w:rPr>
          <w:rFonts w:eastAsia="Times New Roman"/>
        </w:rPr>
      </w:pPr>
      <w:r>
        <w:rPr>
          <w:rFonts w:eastAsia="Times New Roman"/>
          <w:color w:val="000000"/>
          <w:sz w:val="18"/>
          <w:szCs w:val="18"/>
        </w:rPr>
        <w:t xml:space="preserve">(1) For the </w:t>
      </w:r>
      <w:r>
        <w:rPr>
          <w:rFonts w:eastAsia="Times New Roman"/>
          <w:color w:val="000000"/>
          <w:sz w:val="20"/>
          <w:szCs w:val="20"/>
        </w:rPr>
        <w:t>year ended December 31, 2021</w:t>
      </w:r>
      <w:r>
        <w:rPr>
          <w:rFonts w:eastAsia="Times New Roman"/>
          <w:color w:val="000000"/>
          <w:sz w:val="18"/>
          <w:szCs w:val="18"/>
        </w:rPr>
        <w:t>, net flows of $(830) million and investment performance, interest credited and policy charges of $589 million, respectively, are excluded as these amounts are related to ceded AV to Venerab</w:t>
      </w:r>
      <w:r>
        <w:rPr>
          <w:rFonts w:eastAsia="Times New Roman"/>
          <w:color w:val="000000"/>
          <w:sz w:val="18"/>
          <w:szCs w:val="18"/>
        </w:rPr>
        <w:t xml:space="preserve">le. </w:t>
      </w:r>
    </w:p>
    <w:p w:rsidR="00000000" w:rsidRDefault="005B0BC3">
      <w:pPr>
        <w:ind w:hanging="360"/>
        <w:divId w:val="1701662104"/>
        <w:rPr>
          <w:rFonts w:eastAsia="Times New Roman"/>
        </w:rPr>
      </w:pPr>
      <w:r>
        <w:rPr>
          <w:rFonts w:eastAsia="Times New Roman"/>
          <w:color w:val="000000"/>
          <w:sz w:val="18"/>
          <w:szCs w:val="18"/>
        </w:rPr>
        <w:t>(2) Effective June 1, 2021, AV excludes activity related to ceded AV to Venerable. In addition, the roll-forward reflects the AV ceded to Venerable as of the transaction date. For additional information on the Venerable Transaction see Note 1 of the N</w:t>
      </w:r>
      <w:r>
        <w:rPr>
          <w:rFonts w:eastAsia="Times New Roman"/>
          <w:color w:val="000000"/>
          <w:sz w:val="18"/>
          <w:szCs w:val="18"/>
        </w:rPr>
        <w:t>otes to these Consolidated Financial Statements.</w:t>
      </w:r>
    </w:p>
    <w:p w:rsidR="00000000" w:rsidRDefault="005B0BC3">
      <w:pPr>
        <w:ind w:hanging="360"/>
        <w:divId w:val="1467820413"/>
        <w:rPr>
          <w:rFonts w:eastAsia="Times New Roman"/>
        </w:rPr>
      </w:pPr>
      <w:r>
        <w:rPr>
          <w:rFonts w:eastAsia="Times New Roman"/>
          <w:color w:val="000000"/>
          <w:sz w:val="18"/>
          <w:szCs w:val="18"/>
        </w:rPr>
        <w:t xml:space="preserve">(3) For the </w:t>
      </w:r>
      <w:r>
        <w:rPr>
          <w:rFonts w:eastAsia="Times New Roman"/>
          <w:color w:val="000000"/>
          <w:sz w:val="20"/>
          <w:szCs w:val="20"/>
        </w:rPr>
        <w:t>year ended December 31, 2021,</w:t>
      </w:r>
      <w:r>
        <w:rPr>
          <w:rFonts w:eastAsia="Times New Roman"/>
          <w:color w:val="000000"/>
          <w:sz w:val="18"/>
          <w:szCs w:val="18"/>
        </w:rPr>
        <w:t xml:space="preserve"> amounts reflect $(38) million transfer of policyholders account balances to future policyholder benefits and other policyholders liabilities related to structured se</w:t>
      </w:r>
      <w:r>
        <w:rPr>
          <w:rFonts w:eastAsia="Times New Roman"/>
          <w:color w:val="000000"/>
          <w:sz w:val="18"/>
          <w:szCs w:val="18"/>
        </w:rPr>
        <w:t xml:space="preserve">ttlement contracts. </w:t>
      </w:r>
    </w:p>
    <w:p w:rsidR="00000000" w:rsidRDefault="005B0BC3">
      <w:pPr>
        <w:ind w:hanging="360"/>
        <w:divId w:val="1065495872"/>
        <w:rPr>
          <w:rFonts w:eastAsia="Times New Roman"/>
        </w:rPr>
      </w:pPr>
      <w:r>
        <w:rPr>
          <w:rFonts w:eastAsia="Times New Roman"/>
          <w:color w:val="000000"/>
          <w:sz w:val="18"/>
          <w:szCs w:val="18"/>
        </w:rPr>
        <w:t xml:space="preserve">(4) For the year ended December 31, 2021 </w:t>
      </w:r>
      <w:r>
        <w:rPr>
          <w:rFonts w:eastAsia="Times New Roman"/>
          <w:color w:val="000000"/>
          <w:sz w:val="20"/>
          <w:szCs w:val="20"/>
        </w:rPr>
        <w:t>amounts reflect $</w:t>
      </w:r>
      <w:r>
        <w:rPr>
          <w:rFonts w:eastAsia="Times New Roman"/>
          <w:color w:val="000000"/>
          <w:sz w:val="18"/>
          <w:szCs w:val="18"/>
        </w:rPr>
        <w:t>57 million</w:t>
      </w:r>
      <w:r>
        <w:rPr>
          <w:rFonts w:eastAsia="Times New Roman"/>
          <w:color w:val="000000"/>
          <w:sz w:val="20"/>
          <w:szCs w:val="20"/>
        </w:rPr>
        <w:t xml:space="preserve"> of AV transfer of a closed block of GMxB business from GR to IR.</w:t>
      </w:r>
    </w:p>
    <w:p w:rsidR="00000000" w:rsidRDefault="005B0BC3">
      <w:pPr>
        <w:ind w:hanging="360"/>
        <w:divId w:val="281885545"/>
        <w:rPr>
          <w:rFonts w:eastAsia="Times New Roman"/>
        </w:rPr>
      </w:pPr>
      <w:r>
        <w:rPr>
          <w:rFonts w:eastAsia="Times New Roman"/>
          <w:color w:val="000000"/>
          <w:sz w:val="18"/>
          <w:szCs w:val="18"/>
        </w:rPr>
        <w:t xml:space="preserve">(5) </w:t>
      </w:r>
      <w:r>
        <w:rPr>
          <w:rFonts w:eastAsia="Times New Roman"/>
          <w:color w:val="000000"/>
          <w:sz w:val="18"/>
          <w:szCs w:val="18"/>
        </w:rPr>
        <w:t xml:space="preserve">For the year ended December 31, 2020, amounts are primarily related to our fixed income annuity (“FIA”) contracts which were previously reported as Policyholders’ account balances in the consolidated balance sheets and therefore included in our definition </w:t>
      </w:r>
      <w:r>
        <w:rPr>
          <w:rFonts w:eastAsia="Times New Roman"/>
          <w:color w:val="000000"/>
          <w:sz w:val="18"/>
          <w:szCs w:val="18"/>
        </w:rPr>
        <w:t>of “Account Value”. Effective January 1, 2020, FIAs are reported as future policy benefits and other policyholders’ liabilities in the consolidated balance sheets and accordingly were excluded from Account Value.</w:t>
      </w:r>
    </w:p>
    <w:p w:rsidR="00000000" w:rsidRDefault="005B0BC3">
      <w:pPr>
        <w:ind w:hanging="360"/>
        <w:divId w:val="1233470255"/>
        <w:rPr>
          <w:rFonts w:eastAsia="Times New Roman"/>
        </w:rPr>
      </w:pPr>
      <w:r>
        <w:rPr>
          <w:rFonts w:eastAsia="Times New Roman"/>
          <w:color w:val="000000"/>
          <w:sz w:val="18"/>
          <w:szCs w:val="18"/>
        </w:rPr>
        <w:t>(6) Transfer to Corporate and Other represe</w:t>
      </w:r>
      <w:r>
        <w:rPr>
          <w:rFonts w:eastAsia="Times New Roman"/>
          <w:color w:val="000000"/>
          <w:sz w:val="18"/>
          <w:szCs w:val="18"/>
        </w:rPr>
        <w:t>nts the placement of an Individual Retirement product in run-off effective for the second quarter of 2019.</w:t>
      </w:r>
    </w:p>
    <w:p w:rsidR="00000000" w:rsidRDefault="005B0BC3">
      <w:pPr>
        <w:divId w:val="2044211158"/>
        <w:rPr>
          <w:rFonts w:eastAsia="Times New Roman"/>
        </w:rPr>
      </w:pPr>
    </w:p>
    <w:p w:rsidR="00000000" w:rsidRDefault="005B0BC3">
      <w:pPr>
        <w:divId w:val="916011805"/>
        <w:rPr>
          <w:rFonts w:eastAsia="Times New Roman"/>
        </w:rPr>
      </w:pPr>
      <w:r>
        <w:rPr>
          <w:rFonts w:eastAsia="Times New Roman"/>
          <w:b/>
          <w:bCs/>
          <w:color w:val="000000"/>
          <w:sz w:val="20"/>
          <w:szCs w:val="20"/>
          <w:shd w:val="clear" w:color="auto" w:fill="FFFFFF"/>
        </w:rPr>
        <w:t>Year Ended December 31, 2021 Compared to the Year Ended December 31, 2020 for the Individual Retirement Segment</w:t>
      </w:r>
    </w:p>
    <w:p w:rsidR="00000000" w:rsidRDefault="005B0BC3">
      <w:pPr>
        <w:jc w:val="both"/>
        <w:divId w:val="1450858152"/>
        <w:rPr>
          <w:rFonts w:eastAsia="Times New Roman"/>
        </w:rPr>
      </w:pPr>
      <w:r>
        <w:rPr>
          <w:rFonts w:eastAsia="Times New Roman"/>
          <w:b/>
          <w:bCs/>
          <w:i/>
          <w:iCs/>
          <w:color w:val="000000"/>
          <w:sz w:val="20"/>
          <w:szCs w:val="20"/>
          <w:shd w:val="clear" w:color="auto" w:fill="FFFFFF"/>
        </w:rPr>
        <w:t>Operating earnings</w:t>
      </w:r>
    </w:p>
    <w:p w:rsidR="00000000" w:rsidRDefault="005B0BC3">
      <w:pPr>
        <w:ind w:firstLine="360"/>
        <w:divId w:val="456606777"/>
        <w:rPr>
          <w:rFonts w:eastAsia="Times New Roman"/>
        </w:rPr>
      </w:pPr>
      <w:r>
        <w:rPr>
          <w:rFonts w:eastAsia="Times New Roman"/>
          <w:color w:val="000000"/>
          <w:sz w:val="20"/>
          <w:szCs w:val="20"/>
          <w:shd w:val="clear" w:color="auto" w:fill="FFFFFF"/>
        </w:rPr>
        <w:t>Operating earnin</w:t>
      </w:r>
      <w:r>
        <w:rPr>
          <w:rFonts w:eastAsia="Times New Roman"/>
          <w:color w:val="000000"/>
          <w:sz w:val="20"/>
          <w:szCs w:val="20"/>
          <w:shd w:val="clear" w:color="auto" w:fill="FFFFFF"/>
        </w:rPr>
        <w:t>gs decreased $92 million to $1.4 billion during the year ended December 31, 2021 from $1.5 billion in the year ended December 31, 2020. The following notable items were the primary drivers of the change in operating earnings:</w:t>
      </w:r>
    </w:p>
    <w:p w:rsidR="00000000" w:rsidRDefault="005B0BC3">
      <w:pPr>
        <w:divId w:val="1640912939"/>
        <w:rPr>
          <w:rFonts w:eastAsia="Times New Roman"/>
        </w:rPr>
      </w:pPr>
    </w:p>
    <w:p w:rsidR="00000000" w:rsidRDefault="005B0BC3">
      <w:pPr>
        <w:divId w:val="2106877110"/>
        <w:rPr>
          <w:rFonts w:eastAsia="Times New Roman"/>
        </w:rPr>
      </w:pPr>
      <w:r>
        <w:rPr>
          <w:rFonts w:eastAsia="Times New Roman"/>
          <w:color w:val="000000"/>
          <w:sz w:val="20"/>
          <w:szCs w:val="20"/>
          <w:shd w:val="clear" w:color="auto" w:fill="FFFFFF"/>
        </w:rPr>
        <w:t>Unfavorable items included:</w:t>
      </w:r>
    </w:p>
    <w:p w:rsidR="00000000" w:rsidRDefault="005B0BC3">
      <w:pPr>
        <w:divId w:val="1362124612"/>
        <w:rPr>
          <w:rFonts w:eastAsia="Times New Roman"/>
        </w:rPr>
      </w:pPr>
    </w:p>
    <w:p w:rsidR="00000000" w:rsidRDefault="005B0BC3">
      <w:pPr>
        <w:ind w:hanging="180"/>
        <w:divId w:val="1223980580"/>
        <w:rPr>
          <w:rFonts w:eastAsia="Times New Roman"/>
        </w:rPr>
      </w:pPr>
      <w:r>
        <w:rPr>
          <w:rFonts w:eastAsia="Times New Roman"/>
          <w:color w:val="000000"/>
          <w:sz w:val="20"/>
          <w:szCs w:val="20"/>
        </w:rPr>
        <w:t>•Net GMxB results decreased by $86 million primarily due to ongoing higher reserve accruals resulting from assumption updates in 2020 and higher claims, partially offset by higher fees and the impact of the Venerable Transaction.</w:t>
      </w:r>
    </w:p>
    <w:p w:rsidR="00000000" w:rsidRDefault="005B0BC3">
      <w:pPr>
        <w:ind w:hanging="180"/>
        <w:divId w:val="1846895968"/>
        <w:rPr>
          <w:rFonts w:eastAsia="Times New Roman"/>
        </w:rPr>
      </w:pPr>
      <w:r>
        <w:rPr>
          <w:rFonts w:eastAsia="Times New Roman"/>
          <w:color w:val="000000"/>
          <w:sz w:val="20"/>
          <w:szCs w:val="20"/>
        </w:rPr>
        <w:t>•Commissions and distrib</w:t>
      </w:r>
      <w:r>
        <w:rPr>
          <w:rFonts w:eastAsia="Times New Roman"/>
          <w:color w:val="000000"/>
          <w:sz w:val="20"/>
          <w:szCs w:val="20"/>
        </w:rPr>
        <w:t>ution-related payments increased by $47 million mainly due to higher average asset balances, gross of Venerable, offset by an increase in commission reimbursements in Fee-type revenue.</w:t>
      </w:r>
    </w:p>
    <w:p w:rsidR="00000000" w:rsidRDefault="005B0BC3">
      <w:pPr>
        <w:ind w:hanging="180"/>
        <w:jc w:val="both"/>
        <w:divId w:val="1139566486"/>
        <w:rPr>
          <w:rFonts w:eastAsia="Times New Roman"/>
        </w:rPr>
      </w:pPr>
      <w:r>
        <w:rPr>
          <w:rFonts w:eastAsia="Times New Roman"/>
          <w:color w:val="000000"/>
          <w:sz w:val="20"/>
          <w:szCs w:val="20"/>
        </w:rPr>
        <w:t>•Compensation, benefits and other operating costs and expenses increase</w:t>
      </w:r>
      <w:r>
        <w:rPr>
          <w:rFonts w:eastAsia="Times New Roman"/>
          <w:color w:val="000000"/>
          <w:sz w:val="20"/>
          <w:szCs w:val="20"/>
        </w:rPr>
        <w:t>d by $29 million primarily due to higher incremental compensation expense and higher investment management sub-advisory fees, partially off set by higher SA fees.</w:t>
      </w:r>
    </w:p>
    <w:p w:rsidR="00000000" w:rsidRDefault="005B0BC3">
      <w:pPr>
        <w:divId w:val="213271777"/>
        <w:rPr>
          <w:rFonts w:eastAsia="Times New Roman"/>
        </w:rPr>
      </w:pPr>
      <w:r>
        <w:rPr>
          <w:rFonts w:eastAsia="Times New Roman"/>
          <w:color w:val="000000"/>
          <w:sz w:val="20"/>
          <w:szCs w:val="20"/>
          <w:shd w:val="clear" w:color="auto" w:fill="FFFFFF"/>
        </w:rPr>
        <w:t>These were partially offset by the following favorable items:</w:t>
      </w:r>
    </w:p>
    <w:p w:rsidR="00000000" w:rsidRDefault="005B0BC3">
      <w:pPr>
        <w:ind w:hanging="180"/>
        <w:divId w:val="1965621468"/>
        <w:rPr>
          <w:rFonts w:eastAsia="Times New Roman"/>
        </w:rPr>
      </w:pPr>
      <w:r>
        <w:rPr>
          <w:rFonts w:eastAsia="Times New Roman"/>
          <w:color w:val="000000"/>
          <w:sz w:val="20"/>
          <w:szCs w:val="20"/>
        </w:rPr>
        <w:t>•Net investment income increase</w:t>
      </w:r>
      <w:r>
        <w:rPr>
          <w:rFonts w:eastAsia="Times New Roman"/>
          <w:color w:val="000000"/>
          <w:sz w:val="20"/>
          <w:szCs w:val="20"/>
        </w:rPr>
        <w:t>d by $41 million mainly due to higher income from our alternative investment portfolio, higher average asset balances, prepayments and General Account portfolio optimization.</w:t>
      </w:r>
    </w:p>
    <w:p w:rsidR="00000000" w:rsidRDefault="005B0BC3">
      <w:pPr>
        <w:jc w:val="center"/>
        <w:divId w:val="95757009"/>
        <w:rPr>
          <w:rFonts w:eastAsia="Times New Roman"/>
        </w:rPr>
      </w:pPr>
      <w:r>
        <w:rPr>
          <w:rFonts w:eastAsia="Times New Roman"/>
          <w:color w:val="000000"/>
          <w:sz w:val="20"/>
          <w:szCs w:val="20"/>
        </w:rPr>
        <w:t>90</w:t>
      </w:r>
    </w:p>
    <w:p w:rsidR="00000000" w:rsidRDefault="005B0BC3">
      <w:pPr>
        <w:rPr>
          <w:rFonts w:eastAsia="Times New Roman"/>
        </w:rPr>
      </w:pPr>
      <w:r>
        <w:rPr>
          <w:rFonts w:eastAsia="Times New Roman"/>
        </w:rPr>
        <w:pict>
          <v:rect id="_x0000_i1128" style="width:0;height:1.5pt" o:hralign="center" o:hrstd="t" o:hr="t" fillcolor="#a0a0a0" stroked="f"/>
        </w:pict>
      </w:r>
    </w:p>
    <w:p w:rsidR="00000000" w:rsidRDefault="005B0BC3">
      <w:pPr>
        <w:divId w:val="1399129694"/>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ind w:hanging="180"/>
        <w:divId w:val="510142947"/>
        <w:rPr>
          <w:rFonts w:eastAsia="Times New Roman"/>
        </w:rPr>
      </w:pPr>
      <w:r>
        <w:rPr>
          <w:rFonts w:eastAsia="Times New Roman"/>
          <w:color w:val="000000"/>
          <w:sz w:val="20"/>
          <w:szCs w:val="20"/>
        </w:rPr>
        <w:t xml:space="preserve">•Interest credited to policyholders’ </w:t>
      </w:r>
      <w:r>
        <w:rPr>
          <w:rFonts w:eastAsia="Times New Roman"/>
          <w:color w:val="000000"/>
          <w:sz w:val="20"/>
          <w:szCs w:val="20"/>
        </w:rPr>
        <w:t>account balances decreased by $36 million mainly due to the impact of equity market appreciation on our SCS product features.</w:t>
      </w:r>
    </w:p>
    <w:p w:rsidR="00000000" w:rsidRDefault="005B0BC3">
      <w:pPr>
        <w:ind w:hanging="180"/>
        <w:divId w:val="60715662"/>
        <w:rPr>
          <w:rFonts w:eastAsia="Times New Roman"/>
        </w:rPr>
      </w:pPr>
      <w:r>
        <w:rPr>
          <w:rFonts w:eastAsia="Times New Roman"/>
          <w:color w:val="000000"/>
          <w:sz w:val="20"/>
          <w:szCs w:val="20"/>
        </w:rPr>
        <w:t>•Fee-type revenue increased by $19 million mainly due to higher average Separate Accounts AV as a result of equity market apprecia</w:t>
      </w:r>
      <w:r>
        <w:rPr>
          <w:rFonts w:eastAsia="Times New Roman"/>
          <w:color w:val="000000"/>
          <w:sz w:val="20"/>
          <w:szCs w:val="20"/>
        </w:rPr>
        <w:t>tion in 2021 from market lows in 2020, and inflows from our current product offering. The increase in Fee-type revenue was partially offset by the impacts of fee-income ceded to Venerable, partially offset by commission reimbursements in Commissions and di</w:t>
      </w:r>
      <w:r>
        <w:rPr>
          <w:rFonts w:eastAsia="Times New Roman"/>
          <w:color w:val="000000"/>
          <w:sz w:val="20"/>
          <w:szCs w:val="20"/>
        </w:rPr>
        <w:t xml:space="preserve">stributions-related payments. </w:t>
      </w:r>
    </w:p>
    <w:p w:rsidR="00000000" w:rsidRDefault="005B0BC3">
      <w:pPr>
        <w:ind w:firstLine="360"/>
        <w:jc w:val="both"/>
        <w:divId w:val="1676423640"/>
        <w:rPr>
          <w:rFonts w:eastAsia="Times New Roman"/>
        </w:rPr>
      </w:pPr>
      <w:r>
        <w:rPr>
          <w:rFonts w:eastAsia="Times New Roman"/>
          <w:b/>
          <w:bCs/>
          <w:i/>
          <w:iCs/>
          <w:color w:val="000000"/>
          <w:sz w:val="20"/>
          <w:szCs w:val="20"/>
          <w:shd w:val="clear" w:color="auto" w:fill="FFFFFF"/>
        </w:rPr>
        <w:t>Net Flows and AV</w:t>
      </w:r>
    </w:p>
    <w:p w:rsidR="00000000" w:rsidRDefault="005B0BC3">
      <w:pPr>
        <w:ind w:hanging="180"/>
        <w:divId w:val="931082413"/>
        <w:rPr>
          <w:rFonts w:eastAsia="Times New Roman"/>
        </w:rPr>
      </w:pPr>
      <w:r>
        <w:rPr>
          <w:rFonts w:eastAsia="Times New Roman"/>
          <w:color w:val="000000"/>
          <w:sz w:val="20"/>
          <w:szCs w:val="20"/>
          <w:shd w:val="clear" w:color="auto" w:fill="FFFFFF"/>
        </w:rPr>
        <w:t>•The decline in AV of $5.5 billion in the year ended December 31, 2021 was driven by $16.9 billion of AV ceded to Venerable and net outflows of $894 million partially offset by an increase in investments perf</w:t>
      </w:r>
      <w:r>
        <w:rPr>
          <w:rFonts w:eastAsia="Times New Roman"/>
          <w:color w:val="000000"/>
          <w:sz w:val="20"/>
          <w:szCs w:val="20"/>
          <w:shd w:val="clear" w:color="auto" w:fill="FFFFFF"/>
        </w:rPr>
        <w:t>ormance and interest credited to account balances, net of policy charges of $12.3 billion as a result of equity market appreciation in 2021.</w:t>
      </w:r>
    </w:p>
    <w:p w:rsidR="00000000" w:rsidRDefault="005B0BC3">
      <w:pPr>
        <w:ind w:hanging="180"/>
        <w:jc w:val="both"/>
        <w:divId w:val="2065565092"/>
        <w:rPr>
          <w:rFonts w:eastAsia="Times New Roman"/>
        </w:rPr>
      </w:pPr>
      <w:r>
        <w:rPr>
          <w:rFonts w:eastAsia="Times New Roman"/>
          <w:color w:val="000000"/>
          <w:sz w:val="20"/>
          <w:szCs w:val="20"/>
          <w:shd w:val="clear" w:color="auto" w:fill="FFFFFF"/>
        </w:rPr>
        <w:t>•Net outflows of $894 million were $235 million higher than in the year ended December 31, 2020, mainly driven by $</w:t>
      </w:r>
      <w:r>
        <w:rPr>
          <w:rFonts w:eastAsia="Times New Roman"/>
          <w:color w:val="000000"/>
          <w:sz w:val="20"/>
          <w:szCs w:val="20"/>
          <w:shd w:val="clear" w:color="auto" w:fill="FFFFFF"/>
        </w:rPr>
        <w:t>3.5 billion of outflows on our older fixed-rate GMxB block, partially offset by $2.6 billion of inflows on our newer, less capital-intensive products.</w:t>
      </w:r>
    </w:p>
    <w:p w:rsidR="00000000" w:rsidRDefault="005B0BC3">
      <w:pPr>
        <w:ind w:firstLine="360"/>
        <w:divId w:val="1843354959"/>
        <w:rPr>
          <w:rFonts w:eastAsia="Times New Roman"/>
        </w:rPr>
      </w:pPr>
      <w:r>
        <w:rPr>
          <w:rFonts w:eastAsia="Times New Roman"/>
          <w:b/>
          <w:bCs/>
          <w:color w:val="000000"/>
          <w:sz w:val="20"/>
          <w:szCs w:val="20"/>
        </w:rPr>
        <w:t>Year Ended December 31, 2020 Compared to the Year Ended December 31, 2019 for the Individual Retirement S</w:t>
      </w:r>
      <w:r>
        <w:rPr>
          <w:rFonts w:eastAsia="Times New Roman"/>
          <w:b/>
          <w:bCs/>
          <w:color w:val="000000"/>
          <w:sz w:val="20"/>
          <w:szCs w:val="20"/>
        </w:rPr>
        <w:t>egment</w:t>
      </w:r>
    </w:p>
    <w:p w:rsidR="00000000" w:rsidRDefault="005B0BC3">
      <w:pPr>
        <w:jc w:val="both"/>
        <w:divId w:val="1427767515"/>
        <w:rPr>
          <w:rFonts w:eastAsia="Times New Roman"/>
        </w:rPr>
      </w:pPr>
      <w:r>
        <w:rPr>
          <w:rFonts w:eastAsia="Times New Roman"/>
          <w:b/>
          <w:bCs/>
          <w:i/>
          <w:iCs/>
          <w:color w:val="000000"/>
          <w:sz w:val="20"/>
          <w:szCs w:val="20"/>
        </w:rPr>
        <w:t>Operating earnings</w:t>
      </w:r>
    </w:p>
    <w:p w:rsidR="00000000" w:rsidRDefault="005B0BC3">
      <w:pPr>
        <w:ind w:firstLine="360"/>
        <w:divId w:val="1588885192"/>
        <w:rPr>
          <w:rFonts w:eastAsia="Times New Roman"/>
        </w:rPr>
      </w:pPr>
      <w:r>
        <w:rPr>
          <w:rFonts w:eastAsia="Times New Roman"/>
          <w:color w:val="000000"/>
          <w:sz w:val="20"/>
          <w:szCs w:val="20"/>
        </w:rPr>
        <w:t>For discussion that compares results for the year ended December 31, 2020 to the year ended December 31, 2019 refer to the MD&amp;A section in our 2020 Form 10-K.</w:t>
      </w:r>
    </w:p>
    <w:p w:rsidR="00000000" w:rsidRDefault="005B0BC3">
      <w:pPr>
        <w:jc w:val="both"/>
        <w:divId w:val="2030832759"/>
        <w:rPr>
          <w:rFonts w:eastAsia="Times New Roman"/>
        </w:rPr>
      </w:pPr>
      <w:r>
        <w:rPr>
          <w:rFonts w:eastAsia="Times New Roman"/>
          <w:b/>
          <w:bCs/>
          <w:i/>
          <w:iCs/>
          <w:color w:val="000000"/>
          <w:sz w:val="20"/>
          <w:szCs w:val="20"/>
        </w:rPr>
        <w:t>Net Flows and AV</w:t>
      </w:r>
    </w:p>
    <w:p w:rsidR="00000000" w:rsidRDefault="005B0BC3">
      <w:pPr>
        <w:ind w:firstLine="360"/>
        <w:divId w:val="1074208764"/>
        <w:rPr>
          <w:rFonts w:eastAsia="Times New Roman"/>
        </w:rPr>
      </w:pPr>
      <w:r>
        <w:rPr>
          <w:rFonts w:eastAsia="Times New Roman"/>
          <w:color w:val="000000"/>
          <w:sz w:val="20"/>
          <w:szCs w:val="20"/>
        </w:rPr>
        <w:t>For discussion on net flows and AV comparative results for the year ended December 31, 2020 to the year ended December 31, 2019 refer to the MD&amp;A section in our 2020 Form 10-K.</w:t>
      </w:r>
    </w:p>
    <w:p w:rsidR="00000000" w:rsidRDefault="005B0BC3">
      <w:pPr>
        <w:divId w:val="256791837"/>
        <w:rPr>
          <w:rFonts w:eastAsia="Times New Roman"/>
        </w:rPr>
      </w:pPr>
      <w:r>
        <w:rPr>
          <w:rFonts w:eastAsia="Times New Roman"/>
          <w:b/>
          <w:bCs/>
          <w:color w:val="000000"/>
          <w:sz w:val="20"/>
          <w:szCs w:val="20"/>
        </w:rPr>
        <w:t>Group Retirement</w:t>
      </w:r>
    </w:p>
    <w:p w:rsidR="00000000" w:rsidRDefault="005B0BC3">
      <w:pPr>
        <w:ind w:firstLine="360"/>
        <w:divId w:val="1532643090"/>
        <w:rPr>
          <w:rFonts w:eastAsia="Times New Roman"/>
        </w:rPr>
      </w:pPr>
      <w:r>
        <w:rPr>
          <w:rFonts w:eastAsia="Times New Roman"/>
          <w:color w:val="000000"/>
          <w:sz w:val="20"/>
          <w:szCs w:val="20"/>
        </w:rPr>
        <w:t>The Group Retirement segment offers tax-deferred investment an</w:t>
      </w:r>
      <w:r>
        <w:rPr>
          <w:rFonts w:eastAsia="Times New Roman"/>
          <w:color w:val="000000"/>
          <w:sz w:val="20"/>
          <w:szCs w:val="20"/>
        </w:rPr>
        <w:t>d retirement services or products to plans sponsored by educational entities, municipalities and not-for-profit entities, as well as small and medium-sized businesses.</w:t>
      </w:r>
    </w:p>
    <w:p w:rsidR="00000000" w:rsidRDefault="005B0BC3">
      <w:pPr>
        <w:ind w:firstLine="360"/>
        <w:divId w:val="563565719"/>
        <w:rPr>
          <w:rFonts w:eastAsia="Times New Roman"/>
        </w:rPr>
      </w:pPr>
      <w:r>
        <w:rPr>
          <w:rFonts w:eastAsia="Times New Roman"/>
          <w:color w:val="000000"/>
          <w:sz w:val="20"/>
          <w:szCs w:val="20"/>
        </w:rPr>
        <w:t>The following table summarizes operating earnings of our Group Retirement segment for th</w:t>
      </w:r>
      <w:r>
        <w:rPr>
          <w:rFonts w:eastAsia="Times New Roman"/>
          <w:color w:val="000000"/>
          <w:sz w:val="20"/>
          <w:szCs w:val="20"/>
        </w:rPr>
        <w:t>e periods presented:</w:t>
      </w:r>
    </w:p>
    <w:tbl>
      <w:tblPr>
        <w:tblW w:w="5000" w:type="pct"/>
        <w:tblCellMar>
          <w:top w:w="15" w:type="dxa"/>
          <w:left w:w="15" w:type="dxa"/>
          <w:bottom w:w="15" w:type="dxa"/>
          <w:right w:w="15" w:type="dxa"/>
        </w:tblCellMar>
        <w:tblLook w:val="04A0" w:firstRow="1" w:lastRow="0" w:firstColumn="1" w:lastColumn="0" w:noHBand="0" w:noVBand="1"/>
      </w:tblPr>
      <w:tblGrid>
        <w:gridCol w:w="37"/>
        <w:gridCol w:w="5191"/>
        <w:gridCol w:w="36"/>
        <w:gridCol w:w="36"/>
        <w:gridCol w:w="36"/>
        <w:gridCol w:w="36"/>
        <w:gridCol w:w="120"/>
        <w:gridCol w:w="713"/>
        <w:gridCol w:w="36"/>
        <w:gridCol w:w="36"/>
        <w:gridCol w:w="36"/>
        <w:gridCol w:w="36"/>
        <w:gridCol w:w="120"/>
        <w:gridCol w:w="672"/>
        <w:gridCol w:w="36"/>
        <w:gridCol w:w="36"/>
        <w:gridCol w:w="36"/>
        <w:gridCol w:w="36"/>
        <w:gridCol w:w="120"/>
        <w:gridCol w:w="865"/>
        <w:gridCol w:w="36"/>
      </w:tblGrid>
      <w:tr w:rsidR="00000000">
        <w:trPr>
          <w:divId w:val="941575450"/>
        </w:trPr>
        <w:tc>
          <w:tcPr>
            <w:tcW w:w="50" w:type="pct"/>
            <w:vAlign w:val="center"/>
            <w:hideMark/>
          </w:tcPr>
          <w:p w:rsidR="00000000" w:rsidRDefault="005B0BC3">
            <w:pPr>
              <w:ind w:firstLine="360"/>
              <w:rPr>
                <w:rFonts w:eastAsia="Times New Roman"/>
              </w:rPr>
            </w:pPr>
          </w:p>
        </w:tc>
        <w:tc>
          <w:tcPr>
            <w:tcW w:w="319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6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6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8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941575450"/>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941575450"/>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941575450"/>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941575450"/>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Operating earnings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631</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491 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390 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ind w:firstLine="360"/>
        <w:divId w:val="74859376"/>
        <w:rPr>
          <w:rFonts w:eastAsia="Times New Roman"/>
        </w:rPr>
      </w:pPr>
      <w:r>
        <w:rPr>
          <w:rFonts w:eastAsia="Times New Roman"/>
          <w:color w:val="000000"/>
          <w:sz w:val="20"/>
          <w:szCs w:val="20"/>
        </w:rPr>
        <w:t>Key components of operating earnings are:</w:t>
      </w:r>
    </w:p>
    <w:tbl>
      <w:tblPr>
        <w:tblW w:w="5000" w:type="pct"/>
        <w:tblCellMar>
          <w:top w:w="15" w:type="dxa"/>
          <w:left w:w="15" w:type="dxa"/>
          <w:bottom w:w="15" w:type="dxa"/>
          <w:right w:w="15" w:type="dxa"/>
        </w:tblCellMar>
        <w:tblLook w:val="04A0" w:firstRow="1" w:lastRow="0" w:firstColumn="1" w:lastColumn="0" w:noHBand="0" w:noVBand="1"/>
      </w:tblPr>
      <w:tblGrid>
        <w:gridCol w:w="37"/>
        <w:gridCol w:w="5169"/>
        <w:gridCol w:w="36"/>
        <w:gridCol w:w="36"/>
        <w:gridCol w:w="36"/>
        <w:gridCol w:w="36"/>
        <w:gridCol w:w="120"/>
        <w:gridCol w:w="724"/>
        <w:gridCol w:w="36"/>
        <w:gridCol w:w="36"/>
        <w:gridCol w:w="36"/>
        <w:gridCol w:w="36"/>
        <w:gridCol w:w="120"/>
        <w:gridCol w:w="683"/>
        <w:gridCol w:w="36"/>
        <w:gridCol w:w="36"/>
        <w:gridCol w:w="36"/>
        <w:gridCol w:w="36"/>
        <w:gridCol w:w="120"/>
        <w:gridCol w:w="865"/>
        <w:gridCol w:w="36"/>
      </w:tblGrid>
      <w:tr w:rsidR="00000000">
        <w:trPr>
          <w:divId w:val="1273828831"/>
        </w:trPr>
        <w:tc>
          <w:tcPr>
            <w:tcW w:w="50" w:type="pct"/>
            <w:vAlign w:val="center"/>
            <w:hideMark/>
          </w:tcPr>
          <w:p w:rsidR="00000000" w:rsidRDefault="005B0BC3">
            <w:pPr>
              <w:ind w:firstLine="360"/>
              <w:rPr>
                <w:rFonts w:eastAsia="Times New Roman"/>
              </w:rPr>
            </w:pPr>
          </w:p>
        </w:tc>
        <w:tc>
          <w:tcPr>
            <w:tcW w:w="318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7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7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8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273828831"/>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273828831"/>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1273828831"/>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5"/>
            <w:tcBorders>
              <w:top w:val="single" w:sz="4" w:space="0" w:color="000000"/>
            </w:tcBorders>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1273828831"/>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REVENUES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273828831"/>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Policy charges, fee income and premiums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295 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279 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273828831"/>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Net investment income</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641 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590 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273828831"/>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Net derivative gains (losses)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(19)</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273828831"/>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Investment management, service fees and other income</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268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204 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273828831"/>
        </w:trPr>
        <w:tc>
          <w:tcPr>
            <w:tcW w:w="0" w:type="auto"/>
            <w:gridSpan w:val="3"/>
            <w:shd w:val="clear" w:color="auto" w:fill="CCEEFF"/>
            <w:tcMar>
              <w:top w:w="30" w:type="dxa"/>
              <w:left w:w="245"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Segment revenues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1,372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1,148 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1,077 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273828831"/>
          <w:trHeight w:val="280"/>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bl>
    <w:p w:rsidR="00000000" w:rsidRDefault="005B0BC3">
      <w:pPr>
        <w:jc w:val="center"/>
        <w:divId w:val="153419981"/>
        <w:rPr>
          <w:rFonts w:eastAsia="Times New Roman"/>
        </w:rPr>
      </w:pPr>
      <w:r>
        <w:rPr>
          <w:rFonts w:eastAsia="Times New Roman"/>
          <w:color w:val="000000"/>
          <w:sz w:val="20"/>
          <w:szCs w:val="20"/>
        </w:rPr>
        <w:t>91</w:t>
      </w:r>
    </w:p>
    <w:p w:rsidR="00000000" w:rsidRDefault="005B0BC3">
      <w:pPr>
        <w:rPr>
          <w:rFonts w:eastAsia="Times New Roman"/>
        </w:rPr>
      </w:pPr>
      <w:r>
        <w:rPr>
          <w:rFonts w:eastAsia="Times New Roman"/>
        </w:rPr>
        <w:pict>
          <v:rect id="_x0000_i1129" style="width:0;height:1.5pt" o:hralign="center" o:hrstd="t" o:hr="t" fillcolor="#a0a0a0" stroked="f"/>
        </w:pict>
      </w:r>
    </w:p>
    <w:p w:rsidR="00000000" w:rsidRDefault="005B0BC3">
      <w:pPr>
        <w:divId w:val="277831862"/>
        <w:rPr>
          <w:rFonts w:eastAsia="Times New Roman"/>
        </w:rPr>
      </w:pPr>
      <w:hyperlink w:anchor="i2ac35847634046b3a89f93d9b422e8f5_421" w:history="1">
        <w:r>
          <w:rPr>
            <w:rStyle w:val="a3"/>
            <w:rFonts w:eastAsia="Times New Roman"/>
            <w:b/>
            <w:bCs/>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7"/>
        <w:gridCol w:w="5169"/>
        <w:gridCol w:w="36"/>
        <w:gridCol w:w="36"/>
        <w:gridCol w:w="36"/>
        <w:gridCol w:w="36"/>
        <w:gridCol w:w="120"/>
        <w:gridCol w:w="724"/>
        <w:gridCol w:w="36"/>
        <w:gridCol w:w="36"/>
        <w:gridCol w:w="36"/>
        <w:gridCol w:w="36"/>
        <w:gridCol w:w="120"/>
        <w:gridCol w:w="683"/>
        <w:gridCol w:w="36"/>
        <w:gridCol w:w="36"/>
        <w:gridCol w:w="36"/>
        <w:gridCol w:w="36"/>
        <w:gridCol w:w="120"/>
        <w:gridCol w:w="865"/>
        <w:gridCol w:w="36"/>
      </w:tblGrid>
      <w:tr w:rsidR="00000000">
        <w:trPr>
          <w:divId w:val="1179924423"/>
        </w:trPr>
        <w:tc>
          <w:tcPr>
            <w:tcW w:w="50" w:type="pct"/>
            <w:vAlign w:val="center"/>
            <w:hideMark/>
          </w:tcPr>
          <w:p w:rsidR="00000000" w:rsidRDefault="005B0BC3">
            <w:pPr>
              <w:rPr>
                <w:rFonts w:eastAsia="Times New Roman"/>
              </w:rPr>
            </w:pPr>
          </w:p>
        </w:tc>
        <w:tc>
          <w:tcPr>
            <w:tcW w:w="318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7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7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8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179924423"/>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179924423"/>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1179924423"/>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5"/>
            <w:tcBorders>
              <w:top w:val="single" w:sz="4" w:space="0" w:color="000000"/>
            </w:tcBorders>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1179924423"/>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BENEFITS AND OTHER DEDUCTIONS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179924423"/>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Policyholders’ benefits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179924423"/>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Interest credited to policyholders’ account balances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303 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302 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179924423"/>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Commissions and distribution-related payments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179924423"/>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Amortization of deferred policy acquisition costs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179924423"/>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Compensation, benefits and other operating costs and expenses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192 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224 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179924423"/>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Interest expense</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179924423"/>
        </w:trPr>
        <w:tc>
          <w:tcPr>
            <w:tcW w:w="0" w:type="auto"/>
            <w:gridSpan w:val="3"/>
            <w:shd w:val="clear" w:color="auto" w:fill="FFFFFF"/>
            <w:tcMar>
              <w:top w:w="30" w:type="dxa"/>
              <w:left w:w="245"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Segment benefits and other deductions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607</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563 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605 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ind w:firstLine="360"/>
        <w:divId w:val="1555504001"/>
        <w:rPr>
          <w:rFonts w:eastAsia="Times New Roman"/>
        </w:rPr>
      </w:pPr>
      <w:r>
        <w:rPr>
          <w:rFonts w:eastAsia="Times New Roman"/>
          <w:color w:val="000000"/>
          <w:sz w:val="20"/>
          <w:szCs w:val="20"/>
        </w:rPr>
        <w:t>The following table summarizes AV for our Group Retirement segment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6193"/>
        <w:gridCol w:w="37"/>
        <w:gridCol w:w="120"/>
        <w:gridCol w:w="719"/>
        <w:gridCol w:w="36"/>
        <w:gridCol w:w="36"/>
        <w:gridCol w:w="36"/>
        <w:gridCol w:w="36"/>
        <w:gridCol w:w="120"/>
        <w:gridCol w:w="682"/>
        <w:gridCol w:w="36"/>
        <w:gridCol w:w="36"/>
        <w:gridCol w:w="36"/>
        <w:gridCol w:w="36"/>
        <w:gridCol w:w="36"/>
        <w:gridCol w:w="36"/>
        <w:gridCol w:w="36"/>
      </w:tblGrid>
      <w:tr w:rsidR="00000000">
        <w:trPr>
          <w:divId w:val="51735476"/>
        </w:trPr>
        <w:tc>
          <w:tcPr>
            <w:tcW w:w="50" w:type="pct"/>
            <w:vAlign w:val="center"/>
            <w:hideMark/>
          </w:tcPr>
          <w:p w:rsidR="00000000" w:rsidRDefault="005B0BC3">
            <w:pPr>
              <w:ind w:firstLine="360"/>
              <w:rPr>
                <w:rFonts w:eastAsia="Times New Roman"/>
              </w:rPr>
            </w:pPr>
          </w:p>
        </w:tc>
        <w:tc>
          <w:tcPr>
            <w:tcW w:w="385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7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7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51735476"/>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51735476"/>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December 31,</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51735476"/>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5B0BC3">
            <w:pPr>
              <w:spacing w:after="100"/>
              <w:jc w:val="center"/>
              <w:rPr>
                <w:rFonts w:eastAsia="Times New Roman"/>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51735476"/>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51735476"/>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AV</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51735476"/>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General Account</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13,046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12,826 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51735476"/>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Separate Accounts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34,307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29,633 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51735476"/>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Total AV</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47,353</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42,459 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bl>
    <w:p w:rsidR="00000000" w:rsidRDefault="005B0BC3">
      <w:pPr>
        <w:ind w:firstLine="360"/>
        <w:divId w:val="280231946"/>
        <w:rPr>
          <w:rFonts w:eastAsia="Times New Roman"/>
        </w:rPr>
      </w:pPr>
      <w:r>
        <w:rPr>
          <w:rFonts w:eastAsia="Times New Roman"/>
          <w:color w:val="000000"/>
          <w:sz w:val="20"/>
          <w:szCs w:val="20"/>
        </w:rPr>
        <w:t>The following table summarizes a roll-forward of AV for our Group Retirement segment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5164"/>
        <w:gridCol w:w="39"/>
        <w:gridCol w:w="36"/>
        <w:gridCol w:w="36"/>
        <w:gridCol w:w="36"/>
        <w:gridCol w:w="120"/>
        <w:gridCol w:w="723"/>
        <w:gridCol w:w="36"/>
        <w:gridCol w:w="36"/>
        <w:gridCol w:w="36"/>
        <w:gridCol w:w="36"/>
        <w:gridCol w:w="120"/>
        <w:gridCol w:w="683"/>
        <w:gridCol w:w="36"/>
        <w:gridCol w:w="36"/>
        <w:gridCol w:w="36"/>
        <w:gridCol w:w="36"/>
        <w:gridCol w:w="120"/>
        <w:gridCol w:w="865"/>
        <w:gridCol w:w="36"/>
      </w:tblGrid>
      <w:tr w:rsidR="00000000">
        <w:trPr>
          <w:divId w:val="676425002"/>
        </w:trPr>
        <w:tc>
          <w:tcPr>
            <w:tcW w:w="50" w:type="pct"/>
            <w:vAlign w:val="center"/>
            <w:hideMark/>
          </w:tcPr>
          <w:p w:rsidR="00000000" w:rsidRDefault="005B0BC3">
            <w:pPr>
              <w:ind w:firstLine="360"/>
              <w:rPr>
                <w:rFonts w:eastAsia="Times New Roman"/>
              </w:rPr>
            </w:pPr>
          </w:p>
        </w:tc>
        <w:tc>
          <w:tcPr>
            <w:tcW w:w="318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7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7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8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676425002"/>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676425002"/>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676425002"/>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5"/>
            <w:tcBorders>
              <w:top w:val="single" w:sz="4" w:space="0" w:color="000000"/>
            </w:tcBorders>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676425002"/>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Balance as of beginning of period</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42,459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37,880 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32,401 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76425002"/>
        </w:trPr>
        <w:tc>
          <w:tcPr>
            <w:tcW w:w="0" w:type="auto"/>
            <w:gridSpan w:val="3"/>
            <w:shd w:val="clear" w:color="auto" w:fill="FFFF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Gross premiums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3,623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3,343 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3,533 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76425002"/>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Surrenders, withdrawals and benefits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(3,929)</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(3,047)</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(3,266)</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76425002"/>
        </w:trPr>
        <w:tc>
          <w:tcPr>
            <w:tcW w:w="0" w:type="auto"/>
            <w:gridSpan w:val="3"/>
            <w:shd w:val="clear" w:color="auto" w:fill="FFFF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Net flows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(306)</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296 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267 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76425002"/>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Investment performance, interest credited and policy charges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5,257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4,283 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5,212 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76425002"/>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 xml:space="preserve">Other (1) </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(57)</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76425002"/>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Balance as of end of period</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47,353</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42,459 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37,880 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ind w:hanging="360"/>
        <w:divId w:val="2048144107"/>
        <w:rPr>
          <w:rFonts w:eastAsia="Times New Roman"/>
        </w:rPr>
      </w:pPr>
      <w:r>
        <w:rPr>
          <w:rFonts w:eastAsia="Times New Roman"/>
          <w:color w:val="000000"/>
          <w:sz w:val="18"/>
          <w:szCs w:val="18"/>
        </w:rPr>
        <w:t>____________</w:t>
      </w:r>
    </w:p>
    <w:p w:rsidR="00000000" w:rsidRDefault="005B0BC3">
      <w:pPr>
        <w:ind w:hanging="360"/>
        <w:divId w:val="1713648532"/>
        <w:rPr>
          <w:rFonts w:eastAsia="Times New Roman"/>
        </w:rPr>
      </w:pPr>
      <w:r>
        <w:rPr>
          <w:rFonts w:eastAsia="Times New Roman"/>
          <w:color w:val="000000"/>
          <w:sz w:val="18"/>
          <w:szCs w:val="18"/>
        </w:rPr>
        <w:t xml:space="preserve">(1)For the </w:t>
      </w:r>
      <w:r>
        <w:rPr>
          <w:rFonts w:eastAsia="Times New Roman"/>
          <w:color w:val="000000"/>
          <w:sz w:val="20"/>
          <w:szCs w:val="20"/>
        </w:rPr>
        <w:t xml:space="preserve">year ended December 31, </w:t>
      </w:r>
      <w:r>
        <w:rPr>
          <w:rFonts w:eastAsia="Times New Roman"/>
          <w:color w:val="000000"/>
          <w:sz w:val="20"/>
          <w:szCs w:val="20"/>
        </w:rPr>
        <w:t>2021</w:t>
      </w:r>
      <w:r>
        <w:rPr>
          <w:rFonts w:eastAsia="Times New Roman"/>
          <w:color w:val="000000"/>
          <w:sz w:val="18"/>
          <w:szCs w:val="18"/>
        </w:rPr>
        <w:t>, amounts reflect AV transfer of GMxB closed block business from GR to IR.</w:t>
      </w:r>
    </w:p>
    <w:p w:rsidR="00000000" w:rsidRDefault="005B0BC3">
      <w:pPr>
        <w:divId w:val="1020670300"/>
        <w:rPr>
          <w:rFonts w:eastAsia="Times New Roman"/>
        </w:rPr>
      </w:pPr>
      <w:r>
        <w:rPr>
          <w:rFonts w:eastAsia="Times New Roman"/>
          <w:b/>
          <w:bCs/>
          <w:color w:val="000000"/>
          <w:sz w:val="20"/>
          <w:szCs w:val="20"/>
        </w:rPr>
        <w:t>Year Ended December 31, 2021 Compared to the Year Ended December 31, 2020 for the Group Retirement Segment</w:t>
      </w:r>
    </w:p>
    <w:p w:rsidR="00000000" w:rsidRDefault="005B0BC3">
      <w:pPr>
        <w:jc w:val="both"/>
        <w:divId w:val="784420677"/>
        <w:rPr>
          <w:rFonts w:eastAsia="Times New Roman"/>
        </w:rPr>
      </w:pPr>
      <w:r>
        <w:rPr>
          <w:rFonts w:eastAsia="Times New Roman"/>
          <w:b/>
          <w:bCs/>
          <w:i/>
          <w:iCs/>
          <w:color w:val="000000"/>
          <w:sz w:val="20"/>
          <w:szCs w:val="20"/>
        </w:rPr>
        <w:t>Operating earnings</w:t>
      </w:r>
    </w:p>
    <w:p w:rsidR="00000000" w:rsidRDefault="005B0BC3">
      <w:pPr>
        <w:ind w:firstLine="360"/>
        <w:divId w:val="681248582"/>
        <w:rPr>
          <w:rFonts w:eastAsia="Times New Roman"/>
        </w:rPr>
      </w:pPr>
      <w:r>
        <w:rPr>
          <w:rFonts w:eastAsia="Times New Roman"/>
          <w:color w:val="000000"/>
          <w:sz w:val="20"/>
          <w:szCs w:val="20"/>
          <w:shd w:val="clear" w:color="auto" w:fill="FFFFFF"/>
        </w:rPr>
        <w:t>Operating earnings increased by $140 million to $631 million during the year ended December 31, 2021 from $491 million during the year ended December 31, 2020. The following notable items were the primary drivers of the change in operating earnings:</w:t>
      </w:r>
    </w:p>
    <w:p w:rsidR="00000000" w:rsidRDefault="005B0BC3">
      <w:pPr>
        <w:ind w:firstLine="360"/>
        <w:jc w:val="both"/>
        <w:divId w:val="56826694"/>
        <w:rPr>
          <w:rFonts w:eastAsia="Times New Roman"/>
        </w:rPr>
      </w:pPr>
      <w:r>
        <w:rPr>
          <w:rFonts w:eastAsia="Times New Roman"/>
          <w:color w:val="000000"/>
          <w:sz w:val="20"/>
          <w:szCs w:val="20"/>
          <w:shd w:val="clear" w:color="auto" w:fill="FFFFFF"/>
        </w:rPr>
        <w:t>Favorable items included:</w:t>
      </w:r>
    </w:p>
    <w:p w:rsidR="00000000" w:rsidRDefault="005B0BC3">
      <w:pPr>
        <w:ind w:hanging="360"/>
        <w:divId w:val="1751466190"/>
        <w:rPr>
          <w:rFonts w:eastAsia="Times New Roman"/>
        </w:rPr>
      </w:pPr>
      <w:r>
        <w:rPr>
          <w:rFonts w:eastAsia="Times New Roman"/>
          <w:color w:val="000000"/>
          <w:sz w:val="20"/>
          <w:szCs w:val="20"/>
          <w:shd w:val="clear" w:color="auto" w:fill="FFFFFF"/>
        </w:rPr>
        <w:t>•Fee-type revenue increased by $133 million due to higher average Separate Accounts AV, driven by equity market appreciation.</w:t>
      </w:r>
    </w:p>
    <w:p w:rsidR="00000000" w:rsidRDefault="005B0BC3">
      <w:pPr>
        <w:ind w:hanging="360"/>
        <w:divId w:val="1178809656"/>
        <w:rPr>
          <w:rFonts w:eastAsia="Times New Roman"/>
        </w:rPr>
      </w:pPr>
      <w:r>
        <w:rPr>
          <w:rFonts w:eastAsia="Times New Roman"/>
          <w:color w:val="000000"/>
          <w:sz w:val="20"/>
          <w:szCs w:val="20"/>
          <w:shd w:val="clear" w:color="auto" w:fill="FFFFFF"/>
        </w:rPr>
        <w:t>•Net investment income increased by $111 million due to higher income from our alternative investment po</w:t>
      </w:r>
      <w:r>
        <w:rPr>
          <w:rFonts w:eastAsia="Times New Roman"/>
          <w:color w:val="000000"/>
          <w:sz w:val="20"/>
          <w:szCs w:val="20"/>
          <w:shd w:val="clear" w:color="auto" w:fill="FFFFFF"/>
        </w:rPr>
        <w:t xml:space="preserve">rtfolio, higher average assets balances, prepayments and General Account portfolio optimization. </w:t>
      </w:r>
    </w:p>
    <w:p w:rsidR="00000000" w:rsidRDefault="005B0BC3">
      <w:pPr>
        <w:jc w:val="center"/>
        <w:divId w:val="1168980655"/>
        <w:rPr>
          <w:rFonts w:eastAsia="Times New Roman"/>
        </w:rPr>
      </w:pPr>
      <w:r>
        <w:rPr>
          <w:rFonts w:eastAsia="Times New Roman"/>
          <w:color w:val="000000"/>
          <w:sz w:val="20"/>
          <w:szCs w:val="20"/>
        </w:rPr>
        <w:t>92</w:t>
      </w:r>
    </w:p>
    <w:p w:rsidR="00000000" w:rsidRDefault="005B0BC3">
      <w:pPr>
        <w:rPr>
          <w:rFonts w:eastAsia="Times New Roman"/>
        </w:rPr>
      </w:pPr>
      <w:r>
        <w:rPr>
          <w:rFonts w:eastAsia="Times New Roman"/>
        </w:rPr>
        <w:pict>
          <v:rect id="_x0000_i1130" style="width:0;height:1.5pt" o:hralign="center" o:hrstd="t" o:hr="t" fillcolor="#a0a0a0" stroked="f"/>
        </w:pict>
      </w:r>
    </w:p>
    <w:p w:rsidR="00000000" w:rsidRDefault="005B0BC3">
      <w:pPr>
        <w:divId w:val="1922255621"/>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ind w:hanging="360"/>
        <w:divId w:val="56365462"/>
        <w:rPr>
          <w:rFonts w:eastAsia="Times New Roman"/>
        </w:rPr>
      </w:pPr>
      <w:r>
        <w:rPr>
          <w:rFonts w:eastAsia="Times New Roman"/>
          <w:color w:val="000000"/>
          <w:sz w:val="20"/>
          <w:szCs w:val="20"/>
          <w:shd w:val="clear" w:color="auto" w:fill="FFFFFF"/>
        </w:rPr>
        <w:t>•Amortization of DAC decreased by $21 mi</w:t>
      </w:r>
      <w:r>
        <w:rPr>
          <w:rFonts w:eastAsia="Times New Roman"/>
          <w:color w:val="000000"/>
          <w:sz w:val="20"/>
          <w:szCs w:val="20"/>
          <w:shd w:val="clear" w:color="auto" w:fill="FFFFFF"/>
        </w:rPr>
        <w:t>llion mainly due to the favorable impact of assumption updates in 2021, partially offset by higher amortization from higher revenue.</w:t>
      </w:r>
    </w:p>
    <w:p w:rsidR="00000000" w:rsidRDefault="005B0BC3">
      <w:pPr>
        <w:divId w:val="667513296"/>
        <w:rPr>
          <w:rFonts w:eastAsia="Times New Roman"/>
        </w:rPr>
      </w:pPr>
    </w:p>
    <w:p w:rsidR="00000000" w:rsidRDefault="005B0BC3">
      <w:pPr>
        <w:ind w:firstLine="360"/>
        <w:jc w:val="both"/>
        <w:divId w:val="1793671414"/>
        <w:rPr>
          <w:rFonts w:eastAsia="Times New Roman"/>
        </w:rPr>
      </w:pPr>
      <w:r>
        <w:rPr>
          <w:rFonts w:eastAsia="Times New Roman"/>
          <w:color w:val="000000"/>
          <w:sz w:val="20"/>
          <w:szCs w:val="20"/>
          <w:shd w:val="clear" w:color="auto" w:fill="FFFFFF"/>
        </w:rPr>
        <w:t>These were partially offset by the following unfavorable items:</w:t>
      </w:r>
    </w:p>
    <w:p w:rsidR="00000000" w:rsidRDefault="005B0BC3">
      <w:pPr>
        <w:ind w:hanging="360"/>
        <w:divId w:val="1236479078"/>
        <w:rPr>
          <w:rFonts w:eastAsia="Times New Roman"/>
        </w:rPr>
      </w:pPr>
      <w:r>
        <w:rPr>
          <w:rFonts w:eastAsia="Times New Roman"/>
          <w:color w:val="000000"/>
          <w:sz w:val="20"/>
          <w:szCs w:val="20"/>
        </w:rPr>
        <w:t>•Compensation, benefits and other operating costs and exp</w:t>
      </w:r>
      <w:r>
        <w:rPr>
          <w:rFonts w:eastAsia="Times New Roman"/>
          <w:color w:val="000000"/>
          <w:sz w:val="20"/>
          <w:szCs w:val="20"/>
        </w:rPr>
        <w:t>enses increased by $56 million mainly due to a litigation expense related to the 403(b) business.</w:t>
      </w:r>
    </w:p>
    <w:p w:rsidR="00000000" w:rsidRDefault="005B0BC3">
      <w:pPr>
        <w:ind w:hanging="360"/>
        <w:divId w:val="1278176621"/>
        <w:rPr>
          <w:rFonts w:eastAsia="Times New Roman"/>
        </w:rPr>
      </w:pPr>
      <w:r>
        <w:rPr>
          <w:rFonts w:eastAsia="Times New Roman"/>
          <w:color w:val="000000"/>
          <w:sz w:val="20"/>
          <w:szCs w:val="20"/>
          <w:shd w:val="clear" w:color="auto" w:fill="FFFFFF"/>
        </w:rPr>
        <w:t>•Net derivative gains decreased by $20 million due to inflation related hedging loss offset on TIPS in the General Account.</w:t>
      </w:r>
    </w:p>
    <w:p w:rsidR="00000000" w:rsidRDefault="005B0BC3">
      <w:pPr>
        <w:ind w:hanging="360"/>
        <w:divId w:val="316878800"/>
        <w:rPr>
          <w:rFonts w:eastAsia="Times New Roman"/>
        </w:rPr>
      </w:pPr>
      <w:r>
        <w:rPr>
          <w:rFonts w:eastAsia="Times New Roman"/>
          <w:color w:val="000000"/>
          <w:sz w:val="20"/>
          <w:szCs w:val="20"/>
          <w:shd w:val="clear" w:color="auto" w:fill="FFFFFF"/>
        </w:rPr>
        <w:t>•Commissions and distribution-rela</w:t>
      </w:r>
      <w:r>
        <w:rPr>
          <w:rFonts w:eastAsia="Times New Roman"/>
          <w:color w:val="000000"/>
          <w:sz w:val="20"/>
          <w:szCs w:val="20"/>
          <w:shd w:val="clear" w:color="auto" w:fill="FFFFFF"/>
        </w:rPr>
        <w:t>ted payments increased by $11 million mainly due to a higher asset base.</w:t>
      </w:r>
    </w:p>
    <w:p w:rsidR="00000000" w:rsidRDefault="005B0BC3">
      <w:pPr>
        <w:ind w:hanging="360"/>
        <w:jc w:val="both"/>
        <w:divId w:val="1568344023"/>
        <w:rPr>
          <w:rFonts w:eastAsia="Times New Roman"/>
        </w:rPr>
      </w:pPr>
      <w:r>
        <w:rPr>
          <w:rFonts w:eastAsia="Times New Roman"/>
          <w:color w:val="000000"/>
          <w:sz w:val="20"/>
          <w:szCs w:val="20"/>
        </w:rPr>
        <w:t>•Income tax expense increased by $40 million primarily due to higher pre-tax earnings.</w:t>
      </w:r>
    </w:p>
    <w:p w:rsidR="00000000" w:rsidRDefault="005B0BC3">
      <w:pPr>
        <w:ind w:firstLine="180"/>
        <w:jc w:val="both"/>
        <w:divId w:val="1169903841"/>
        <w:rPr>
          <w:rFonts w:eastAsia="Times New Roman"/>
        </w:rPr>
      </w:pPr>
      <w:r>
        <w:rPr>
          <w:rFonts w:eastAsia="Times New Roman"/>
          <w:b/>
          <w:bCs/>
          <w:i/>
          <w:iCs/>
          <w:color w:val="000000"/>
          <w:sz w:val="20"/>
          <w:szCs w:val="20"/>
          <w:shd w:val="clear" w:color="auto" w:fill="FFFFFF"/>
        </w:rPr>
        <w:t>Net Flows and AV</w:t>
      </w:r>
    </w:p>
    <w:p w:rsidR="00000000" w:rsidRDefault="005B0BC3">
      <w:pPr>
        <w:ind w:hanging="360"/>
        <w:divId w:val="1976911143"/>
        <w:rPr>
          <w:rFonts w:eastAsia="Times New Roman"/>
        </w:rPr>
      </w:pPr>
      <w:r>
        <w:rPr>
          <w:rFonts w:eastAsia="Times New Roman"/>
          <w:color w:val="000000"/>
          <w:sz w:val="20"/>
          <w:szCs w:val="20"/>
          <w:shd w:val="clear" w:color="auto" w:fill="FFFFFF"/>
        </w:rPr>
        <w:t>•The increase in AV of $4.9 billion in the year ended December 31, 2021 was pri</w:t>
      </w:r>
      <w:r>
        <w:rPr>
          <w:rFonts w:eastAsia="Times New Roman"/>
          <w:color w:val="000000"/>
          <w:sz w:val="20"/>
          <w:szCs w:val="20"/>
          <w:shd w:val="clear" w:color="auto" w:fill="FFFFFF"/>
        </w:rPr>
        <w:t>marily due to strong equity markets partially offset by net outflows of $306 million.</w:t>
      </w:r>
    </w:p>
    <w:p w:rsidR="00000000" w:rsidRDefault="005B0BC3">
      <w:pPr>
        <w:ind w:hanging="360"/>
        <w:jc w:val="both"/>
        <w:divId w:val="60298166"/>
        <w:rPr>
          <w:rFonts w:eastAsia="Times New Roman"/>
        </w:rPr>
      </w:pPr>
      <w:r>
        <w:rPr>
          <w:rFonts w:eastAsia="Times New Roman"/>
          <w:color w:val="000000"/>
          <w:sz w:val="20"/>
          <w:szCs w:val="20"/>
          <w:shd w:val="clear" w:color="auto" w:fill="FFFFFF"/>
        </w:rPr>
        <w:t>•Net inflows decreased $602 million to outflows of $306 million due to higher surrender from higher AV, partially offset by higher sales and renewals.</w:t>
      </w:r>
    </w:p>
    <w:p w:rsidR="00000000" w:rsidRDefault="005B0BC3">
      <w:pPr>
        <w:ind w:firstLine="360"/>
        <w:divId w:val="942106091"/>
        <w:rPr>
          <w:rFonts w:eastAsia="Times New Roman"/>
        </w:rPr>
      </w:pPr>
      <w:r>
        <w:rPr>
          <w:rFonts w:eastAsia="Times New Roman"/>
          <w:b/>
          <w:bCs/>
          <w:color w:val="000000"/>
          <w:sz w:val="20"/>
          <w:szCs w:val="20"/>
        </w:rPr>
        <w:t>Year Ended December</w:t>
      </w:r>
      <w:r>
        <w:rPr>
          <w:rFonts w:eastAsia="Times New Roman"/>
          <w:b/>
          <w:bCs/>
          <w:color w:val="000000"/>
          <w:sz w:val="20"/>
          <w:szCs w:val="20"/>
        </w:rPr>
        <w:t> 31, 2020 Compared to the Year Ended December 31, 2019 for the Group Retirement Segment</w:t>
      </w:r>
    </w:p>
    <w:p w:rsidR="00000000" w:rsidRDefault="005B0BC3">
      <w:pPr>
        <w:jc w:val="both"/>
        <w:divId w:val="535194082"/>
        <w:rPr>
          <w:rFonts w:eastAsia="Times New Roman"/>
        </w:rPr>
      </w:pPr>
      <w:r>
        <w:rPr>
          <w:rFonts w:eastAsia="Times New Roman"/>
          <w:b/>
          <w:bCs/>
          <w:i/>
          <w:iCs/>
          <w:color w:val="000000"/>
          <w:sz w:val="20"/>
          <w:szCs w:val="20"/>
        </w:rPr>
        <w:t>Operating earnings</w:t>
      </w:r>
    </w:p>
    <w:p w:rsidR="00000000" w:rsidRDefault="005B0BC3">
      <w:pPr>
        <w:ind w:firstLine="360"/>
        <w:divId w:val="952903573"/>
        <w:rPr>
          <w:rFonts w:eastAsia="Times New Roman"/>
        </w:rPr>
      </w:pPr>
      <w:r>
        <w:rPr>
          <w:rFonts w:eastAsia="Times New Roman"/>
          <w:color w:val="000000"/>
          <w:sz w:val="20"/>
          <w:szCs w:val="20"/>
        </w:rPr>
        <w:t>For discussion that compares results for the year ended December 31, 2020 to the year ended December 31, 2019 refer to the MD&amp;A section in our 2020 F</w:t>
      </w:r>
      <w:r>
        <w:rPr>
          <w:rFonts w:eastAsia="Times New Roman"/>
          <w:color w:val="000000"/>
          <w:sz w:val="20"/>
          <w:szCs w:val="20"/>
        </w:rPr>
        <w:t xml:space="preserve">orm 10-K. </w:t>
      </w:r>
    </w:p>
    <w:p w:rsidR="00000000" w:rsidRDefault="005B0BC3">
      <w:pPr>
        <w:jc w:val="both"/>
        <w:divId w:val="632366464"/>
        <w:rPr>
          <w:rFonts w:eastAsia="Times New Roman"/>
        </w:rPr>
      </w:pPr>
      <w:r>
        <w:rPr>
          <w:rFonts w:eastAsia="Times New Roman"/>
          <w:b/>
          <w:bCs/>
          <w:i/>
          <w:iCs/>
          <w:color w:val="000000"/>
          <w:sz w:val="20"/>
          <w:szCs w:val="20"/>
        </w:rPr>
        <w:t>Net Flows and AV</w:t>
      </w:r>
    </w:p>
    <w:p w:rsidR="00000000" w:rsidRDefault="005B0BC3">
      <w:pPr>
        <w:ind w:firstLine="360"/>
        <w:divId w:val="1138764128"/>
        <w:rPr>
          <w:rFonts w:eastAsia="Times New Roman"/>
        </w:rPr>
      </w:pPr>
      <w:r>
        <w:rPr>
          <w:rFonts w:eastAsia="Times New Roman"/>
          <w:color w:val="000000"/>
          <w:sz w:val="20"/>
          <w:szCs w:val="20"/>
        </w:rPr>
        <w:t>For discussion on net flows and AV comparative results for the year ended December 31, 2020 to the year ended December 31, 2019 refer to the MD&amp;A section in our 2020 Form 10-K.</w:t>
      </w:r>
    </w:p>
    <w:p w:rsidR="00000000" w:rsidRDefault="005B0BC3">
      <w:pPr>
        <w:jc w:val="center"/>
        <w:divId w:val="1469592835"/>
        <w:rPr>
          <w:rFonts w:eastAsia="Times New Roman"/>
        </w:rPr>
      </w:pPr>
      <w:r>
        <w:rPr>
          <w:rFonts w:eastAsia="Times New Roman"/>
          <w:color w:val="000000"/>
          <w:sz w:val="20"/>
          <w:szCs w:val="20"/>
        </w:rPr>
        <w:t>93</w:t>
      </w:r>
    </w:p>
    <w:p w:rsidR="00000000" w:rsidRDefault="005B0BC3">
      <w:pPr>
        <w:rPr>
          <w:rFonts w:eastAsia="Times New Roman"/>
        </w:rPr>
      </w:pPr>
      <w:r>
        <w:rPr>
          <w:rFonts w:eastAsia="Times New Roman"/>
        </w:rPr>
        <w:pict>
          <v:rect id="_x0000_i1131" style="width:0;height:1.5pt" o:hralign="center" o:hrstd="t" o:hr="t" fillcolor="#a0a0a0" stroked="f"/>
        </w:pict>
      </w:r>
    </w:p>
    <w:p w:rsidR="00000000" w:rsidRDefault="005B0BC3">
      <w:pPr>
        <w:divId w:val="891624746"/>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divId w:val="1938630875"/>
        <w:rPr>
          <w:rFonts w:eastAsia="Times New Roman"/>
        </w:rPr>
      </w:pPr>
    </w:p>
    <w:p w:rsidR="00000000" w:rsidRDefault="005B0BC3">
      <w:pPr>
        <w:divId w:val="1540893710"/>
        <w:rPr>
          <w:rFonts w:eastAsia="Times New Roman"/>
        </w:rPr>
      </w:pPr>
      <w:r>
        <w:rPr>
          <w:rFonts w:eastAsia="Times New Roman"/>
          <w:b/>
          <w:bCs/>
          <w:color w:val="000000"/>
          <w:sz w:val="20"/>
          <w:szCs w:val="20"/>
        </w:rPr>
        <w:t>Investment Management and Research</w:t>
      </w:r>
    </w:p>
    <w:p w:rsidR="00000000" w:rsidRDefault="005B0BC3">
      <w:pPr>
        <w:ind w:firstLine="360"/>
        <w:divId w:val="1016345460"/>
        <w:rPr>
          <w:rFonts w:eastAsia="Times New Roman"/>
        </w:rPr>
      </w:pPr>
      <w:r>
        <w:rPr>
          <w:rFonts w:eastAsia="Times New Roman"/>
          <w:color w:val="000000"/>
          <w:sz w:val="20"/>
          <w:szCs w:val="20"/>
        </w:rPr>
        <w:t>The Investment Management and Research segment provides diversified investment management, research and r</w:t>
      </w:r>
      <w:r>
        <w:rPr>
          <w:rFonts w:eastAsia="Times New Roman"/>
          <w:color w:val="000000"/>
          <w:sz w:val="20"/>
          <w:szCs w:val="20"/>
        </w:rPr>
        <w:t>elated services to a broad range of clients around the world. Operating earnings (loss), net of tax, presented here represents our economic interest in AB of approximately 65% during the years ended December 31, 2021, 2020 and 2019.</w:t>
      </w:r>
    </w:p>
    <w:tbl>
      <w:tblPr>
        <w:tblW w:w="5000" w:type="pct"/>
        <w:tblCellMar>
          <w:top w:w="15" w:type="dxa"/>
          <w:left w:w="15" w:type="dxa"/>
          <w:bottom w:w="15" w:type="dxa"/>
          <w:right w:w="15" w:type="dxa"/>
        </w:tblCellMar>
        <w:tblLook w:val="04A0" w:firstRow="1" w:lastRow="0" w:firstColumn="1" w:lastColumn="0" w:noHBand="0" w:noVBand="1"/>
      </w:tblPr>
      <w:tblGrid>
        <w:gridCol w:w="37"/>
        <w:gridCol w:w="5144"/>
        <w:gridCol w:w="36"/>
        <w:gridCol w:w="36"/>
        <w:gridCol w:w="36"/>
        <w:gridCol w:w="36"/>
        <w:gridCol w:w="120"/>
        <w:gridCol w:w="724"/>
        <w:gridCol w:w="36"/>
        <w:gridCol w:w="36"/>
        <w:gridCol w:w="36"/>
        <w:gridCol w:w="36"/>
        <w:gridCol w:w="120"/>
        <w:gridCol w:w="683"/>
        <w:gridCol w:w="36"/>
        <w:gridCol w:w="36"/>
        <w:gridCol w:w="36"/>
        <w:gridCol w:w="36"/>
        <w:gridCol w:w="120"/>
        <w:gridCol w:w="890"/>
        <w:gridCol w:w="36"/>
      </w:tblGrid>
      <w:tr w:rsidR="00000000">
        <w:trPr>
          <w:divId w:val="1543246998"/>
        </w:trPr>
        <w:tc>
          <w:tcPr>
            <w:tcW w:w="50" w:type="pct"/>
            <w:vAlign w:val="center"/>
            <w:hideMark/>
          </w:tcPr>
          <w:p w:rsidR="00000000" w:rsidRDefault="005B0BC3">
            <w:pPr>
              <w:ind w:firstLine="360"/>
              <w:rPr>
                <w:rFonts w:eastAsia="Times New Roman"/>
              </w:rPr>
            </w:pPr>
          </w:p>
        </w:tc>
        <w:tc>
          <w:tcPr>
            <w:tcW w:w="316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7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7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4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8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543246998"/>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543246998"/>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1543246998"/>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1543246998"/>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Operating earnings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564</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432 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381 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divId w:val="1280991412"/>
        <w:rPr>
          <w:rFonts w:eastAsia="Times New Roman"/>
        </w:rPr>
      </w:pPr>
    </w:p>
    <w:p w:rsidR="00000000" w:rsidRDefault="005B0BC3">
      <w:pPr>
        <w:ind w:firstLine="360"/>
        <w:divId w:val="144854455"/>
        <w:rPr>
          <w:rFonts w:eastAsia="Times New Roman"/>
        </w:rPr>
      </w:pPr>
      <w:r>
        <w:rPr>
          <w:rFonts w:eastAsia="Times New Roman"/>
          <w:color w:val="000000"/>
          <w:sz w:val="20"/>
          <w:szCs w:val="20"/>
        </w:rPr>
        <w:t>Key components of operating earnings are:</w:t>
      </w:r>
    </w:p>
    <w:tbl>
      <w:tblPr>
        <w:tblW w:w="5000" w:type="pct"/>
        <w:tblCellMar>
          <w:top w:w="15" w:type="dxa"/>
          <w:left w:w="15" w:type="dxa"/>
          <w:bottom w:w="15" w:type="dxa"/>
          <w:right w:w="15" w:type="dxa"/>
        </w:tblCellMar>
        <w:tblLook w:val="04A0" w:firstRow="1" w:lastRow="0" w:firstColumn="1" w:lastColumn="0" w:noHBand="0" w:noVBand="1"/>
      </w:tblPr>
      <w:tblGrid>
        <w:gridCol w:w="38"/>
        <w:gridCol w:w="5143"/>
        <w:gridCol w:w="37"/>
        <w:gridCol w:w="36"/>
        <w:gridCol w:w="36"/>
        <w:gridCol w:w="36"/>
        <w:gridCol w:w="120"/>
        <w:gridCol w:w="724"/>
        <w:gridCol w:w="36"/>
        <w:gridCol w:w="36"/>
        <w:gridCol w:w="36"/>
        <w:gridCol w:w="36"/>
        <w:gridCol w:w="120"/>
        <w:gridCol w:w="683"/>
        <w:gridCol w:w="36"/>
        <w:gridCol w:w="36"/>
        <w:gridCol w:w="36"/>
        <w:gridCol w:w="36"/>
        <w:gridCol w:w="120"/>
        <w:gridCol w:w="889"/>
        <w:gridCol w:w="36"/>
      </w:tblGrid>
      <w:tr w:rsidR="00000000">
        <w:trPr>
          <w:divId w:val="1641616233"/>
        </w:trPr>
        <w:tc>
          <w:tcPr>
            <w:tcW w:w="50" w:type="pct"/>
            <w:vAlign w:val="center"/>
            <w:hideMark/>
          </w:tcPr>
          <w:p w:rsidR="00000000" w:rsidRDefault="005B0BC3">
            <w:pPr>
              <w:ind w:firstLine="360"/>
              <w:rPr>
                <w:rFonts w:eastAsia="Times New Roman"/>
              </w:rPr>
            </w:pPr>
          </w:p>
        </w:tc>
        <w:tc>
          <w:tcPr>
            <w:tcW w:w="316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7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7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4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8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641616233"/>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641616233"/>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1641616233"/>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1641616233"/>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REVENUES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641616233"/>
        </w:trPr>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641616233"/>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Net investment income</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641616233"/>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Net derivative gains (losses)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(13)</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(36)</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(38)</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641616233"/>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Investment management, service fees and other income</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4,430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3,708 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3,460 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641616233"/>
        </w:trPr>
        <w:tc>
          <w:tcPr>
            <w:tcW w:w="0" w:type="auto"/>
            <w:gridSpan w:val="3"/>
            <w:shd w:val="clear" w:color="auto" w:fill="FFFFFF"/>
            <w:tcMar>
              <w:top w:w="30" w:type="dxa"/>
              <w:left w:w="245"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Segment revenues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4,430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3,703 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3,479 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641616233"/>
          <w:trHeight w:val="280"/>
        </w:trPr>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641616233"/>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BENEFITS AND OTHER DEDUCTIONS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641616233"/>
        </w:trPr>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641616233"/>
        </w:trPr>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641616233"/>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Commissions and distribution related payments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569 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488 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641616233"/>
        </w:trPr>
        <w:tc>
          <w:tcPr>
            <w:tcW w:w="0" w:type="auto"/>
            <w:gridSpan w:val="3"/>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641616233"/>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Compensation, benefits and other operating costs and expenses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2,507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2,211 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2,174 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641616233"/>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Interest expense</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641616233"/>
        </w:trPr>
        <w:tc>
          <w:tcPr>
            <w:tcW w:w="0" w:type="auto"/>
            <w:gridSpan w:val="3"/>
            <w:shd w:val="clear" w:color="auto" w:fill="FFFFFF"/>
            <w:tcMar>
              <w:top w:w="30" w:type="dxa"/>
              <w:left w:w="245"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Segment benefits and other deductions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3,220</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2,786 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2,672 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divId w:val="575940183"/>
        <w:rPr>
          <w:rFonts w:eastAsia="Times New Roman"/>
        </w:rPr>
      </w:pPr>
    </w:p>
    <w:p w:rsidR="00000000" w:rsidRDefault="005B0BC3">
      <w:pPr>
        <w:ind w:firstLine="360"/>
        <w:divId w:val="2106227485"/>
        <w:rPr>
          <w:rFonts w:eastAsia="Times New Roman"/>
        </w:rPr>
      </w:pPr>
      <w:r>
        <w:rPr>
          <w:rFonts w:eastAsia="Times New Roman"/>
          <w:color w:val="000000"/>
          <w:sz w:val="20"/>
          <w:szCs w:val="20"/>
        </w:rPr>
        <w:t>Changes in AUM in the Investment Management and Research segment for the periods presented were as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5142"/>
        <w:gridCol w:w="38"/>
        <w:gridCol w:w="36"/>
        <w:gridCol w:w="36"/>
        <w:gridCol w:w="36"/>
        <w:gridCol w:w="36"/>
        <w:gridCol w:w="120"/>
        <w:gridCol w:w="720"/>
        <w:gridCol w:w="36"/>
        <w:gridCol w:w="36"/>
        <w:gridCol w:w="36"/>
        <w:gridCol w:w="36"/>
        <w:gridCol w:w="120"/>
        <w:gridCol w:w="679"/>
        <w:gridCol w:w="36"/>
        <w:gridCol w:w="36"/>
        <w:gridCol w:w="36"/>
        <w:gridCol w:w="36"/>
        <w:gridCol w:w="120"/>
        <w:gridCol w:w="860"/>
        <w:gridCol w:w="36"/>
      </w:tblGrid>
      <w:tr w:rsidR="00000000">
        <w:trPr>
          <w:divId w:val="1632664272"/>
          <w:jc w:val="center"/>
        </w:trPr>
        <w:tc>
          <w:tcPr>
            <w:tcW w:w="50" w:type="pct"/>
            <w:vAlign w:val="center"/>
            <w:hideMark/>
          </w:tcPr>
          <w:p w:rsidR="00000000" w:rsidRDefault="005B0BC3">
            <w:pPr>
              <w:ind w:firstLine="360"/>
              <w:rPr>
                <w:rFonts w:eastAsia="Times New Roman"/>
              </w:rPr>
            </w:pPr>
          </w:p>
        </w:tc>
        <w:tc>
          <w:tcPr>
            <w:tcW w:w="318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7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7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8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632664272"/>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632664272"/>
          <w:jc w:val="center"/>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1632664272"/>
          <w:jc w:val="center"/>
        </w:trPr>
        <w:tc>
          <w:tcPr>
            <w:tcW w:w="0" w:type="auto"/>
            <w:gridSpan w:val="3"/>
            <w:tcMar>
              <w:top w:w="30" w:type="dxa"/>
              <w:left w:w="20" w:type="dxa"/>
              <w:bottom w:w="30" w:type="dxa"/>
              <w:right w:w="20" w:type="dxa"/>
            </w:tcMar>
            <w:vAlign w:val="bottom"/>
            <w:hideMark/>
          </w:tcPr>
          <w:p w:rsidR="00000000" w:rsidRDefault="005B0BC3">
            <w:pPr>
              <w:spacing w:after="100"/>
              <w:divId w:val="634140304"/>
              <w:rPr>
                <w:rFonts w:eastAsia="Times New Roman"/>
              </w:rPr>
            </w:pPr>
            <w:r>
              <w:rPr>
                <w:rFonts w:eastAsia="Times New Roman"/>
                <w:b/>
                <w:bCs/>
                <w:color w:val="000000"/>
                <w:sz w:val="16"/>
                <w:szCs w:val="16"/>
              </w:rPr>
              <w:t> </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billions)</w:t>
            </w:r>
          </w:p>
        </w:tc>
      </w:tr>
      <w:tr w:rsidR="00000000">
        <w:trPr>
          <w:divId w:val="1632664272"/>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Balance as of beginning of period</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685.9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622.9 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516.4 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632664272"/>
          <w:jc w:val="center"/>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Long-term flows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632664272"/>
          <w:jc w:val="center"/>
        </w:trPr>
        <w:tc>
          <w:tcPr>
            <w:tcW w:w="0" w:type="auto"/>
            <w:gridSpan w:val="3"/>
            <w:shd w:val="clear" w:color="auto" w:fill="CCEEFF"/>
            <w:tcMar>
              <w:top w:w="30" w:type="dxa"/>
              <w:left w:w="380" w:type="dxa"/>
              <w:bottom w:w="30" w:type="dxa"/>
              <w:right w:w="20" w:type="dxa"/>
            </w:tcMar>
            <w:hideMark/>
          </w:tcPr>
          <w:p w:rsidR="00000000" w:rsidRDefault="005B0BC3">
            <w:pPr>
              <w:spacing w:after="100"/>
              <w:rPr>
                <w:rFonts w:eastAsia="Times New Roman"/>
              </w:rPr>
            </w:pPr>
            <w:r>
              <w:rPr>
                <w:rFonts w:eastAsia="Times New Roman"/>
                <w:color w:val="000000"/>
                <w:sz w:val="20"/>
                <w:szCs w:val="20"/>
              </w:rPr>
              <w:t>Sales/new accounts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150.0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124.1 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103.7 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632664272"/>
          <w:jc w:val="center"/>
        </w:trPr>
        <w:tc>
          <w:tcPr>
            <w:tcW w:w="0" w:type="auto"/>
            <w:gridSpan w:val="3"/>
            <w:shd w:val="clear" w:color="auto" w:fill="FFFFFF"/>
            <w:tcMar>
              <w:top w:w="30" w:type="dxa"/>
              <w:left w:w="380" w:type="dxa"/>
              <w:bottom w:w="30" w:type="dxa"/>
              <w:right w:w="20" w:type="dxa"/>
            </w:tcMar>
            <w:hideMark/>
          </w:tcPr>
          <w:p w:rsidR="00000000" w:rsidRDefault="005B0BC3">
            <w:pPr>
              <w:spacing w:after="100"/>
              <w:rPr>
                <w:rFonts w:eastAsia="Times New Roman"/>
              </w:rPr>
            </w:pPr>
            <w:r>
              <w:rPr>
                <w:rFonts w:eastAsia="Times New Roman"/>
                <w:color w:val="000000"/>
                <w:sz w:val="20"/>
                <w:szCs w:val="20"/>
              </w:rPr>
              <w:t>Redemptions/terminations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(103.8)</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(109.3)</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(68.4)</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632664272"/>
          <w:jc w:val="center"/>
        </w:trPr>
        <w:tc>
          <w:tcPr>
            <w:tcW w:w="0" w:type="auto"/>
            <w:gridSpan w:val="3"/>
            <w:shd w:val="clear" w:color="auto" w:fill="CCEEFF"/>
            <w:tcMar>
              <w:top w:w="30" w:type="dxa"/>
              <w:left w:w="38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Cash flow/unreinvested dividends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(20.1)</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(17.4)</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(10.1)</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632664272"/>
          <w:jc w:val="center"/>
        </w:trPr>
        <w:tc>
          <w:tcPr>
            <w:tcW w:w="0" w:type="auto"/>
            <w:gridSpan w:val="3"/>
            <w:shd w:val="clear" w:color="auto" w:fill="FFFFFF"/>
            <w:tcMar>
              <w:top w:w="30" w:type="dxa"/>
              <w:left w:w="38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Net long-term inflows (outflows) (1)</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26.1</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(2.6)</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25.2 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632664272"/>
          <w:jc w:val="center"/>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Acquisition</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0.2 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632664272"/>
          <w:jc w:val="center"/>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AUM adjustment (2)</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(0.9)</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632664272"/>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Market appreciation (depreciation)</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65.4 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82.2 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632664272"/>
          <w:jc w:val="center"/>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Net change</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92.7</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63.0 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106.5 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632664272"/>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Balance as of end of period</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778.6</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685.9 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622.9 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divId w:val="515538344"/>
        <w:rPr>
          <w:rFonts w:eastAsia="Times New Roman"/>
        </w:rPr>
      </w:pPr>
      <w:r>
        <w:rPr>
          <w:rFonts w:eastAsia="Times New Roman"/>
          <w:color w:val="000000"/>
          <w:sz w:val="18"/>
          <w:szCs w:val="18"/>
        </w:rPr>
        <w:t>______________</w:t>
      </w:r>
    </w:p>
    <w:p w:rsidR="00000000" w:rsidRDefault="005B0BC3">
      <w:pPr>
        <w:ind w:hanging="360"/>
        <w:divId w:val="1305701403"/>
        <w:rPr>
          <w:rFonts w:eastAsia="Times New Roman"/>
        </w:rPr>
      </w:pPr>
      <w:r>
        <w:rPr>
          <w:rFonts w:eastAsia="Times New Roman"/>
          <w:color w:val="000000"/>
          <w:sz w:val="18"/>
          <w:szCs w:val="18"/>
        </w:rPr>
        <w:t>(1) Institutiona</w:t>
      </w:r>
      <w:r>
        <w:rPr>
          <w:rFonts w:eastAsia="Times New Roman"/>
          <w:color w:val="000000"/>
          <w:sz w:val="18"/>
          <w:szCs w:val="18"/>
        </w:rPr>
        <w:t>l net flows include $1.3 billion and $11.8 billion of AXA redemptions of certain low-fee fixed income mandates for 2021 and 2020, respectively.</w:t>
      </w:r>
    </w:p>
    <w:p w:rsidR="00000000" w:rsidRDefault="005B0BC3">
      <w:pPr>
        <w:ind w:hanging="360"/>
        <w:divId w:val="1840196594"/>
        <w:rPr>
          <w:rFonts w:eastAsia="Times New Roman"/>
        </w:rPr>
      </w:pPr>
      <w:r>
        <w:rPr>
          <w:rFonts w:eastAsia="Times New Roman"/>
          <w:color w:val="000000"/>
          <w:sz w:val="18"/>
          <w:szCs w:val="18"/>
        </w:rPr>
        <w:t>(2)Approximately $900 million of non-investment management fee earning taxable and tax-exempt money market asset</w:t>
      </w:r>
      <w:r>
        <w:rPr>
          <w:rFonts w:eastAsia="Times New Roman"/>
          <w:color w:val="000000"/>
          <w:sz w:val="18"/>
          <w:szCs w:val="18"/>
        </w:rPr>
        <w:t>s were removed from assets under management during the second quarter of 2019.</w:t>
      </w:r>
    </w:p>
    <w:p w:rsidR="00000000" w:rsidRDefault="005B0BC3">
      <w:pPr>
        <w:jc w:val="center"/>
        <w:divId w:val="1921283880"/>
        <w:rPr>
          <w:rFonts w:eastAsia="Times New Roman"/>
        </w:rPr>
      </w:pPr>
      <w:r>
        <w:rPr>
          <w:rFonts w:eastAsia="Times New Roman"/>
          <w:color w:val="000000"/>
          <w:sz w:val="20"/>
          <w:szCs w:val="20"/>
        </w:rPr>
        <w:t>94</w:t>
      </w:r>
    </w:p>
    <w:p w:rsidR="00000000" w:rsidRDefault="005B0BC3">
      <w:pPr>
        <w:rPr>
          <w:rFonts w:eastAsia="Times New Roman"/>
        </w:rPr>
      </w:pPr>
      <w:r>
        <w:rPr>
          <w:rFonts w:eastAsia="Times New Roman"/>
        </w:rPr>
        <w:pict>
          <v:rect id="_x0000_i1132" style="width:0;height:1.5pt" o:hralign="center" o:hrstd="t" o:hr="t" fillcolor="#a0a0a0" stroked="f"/>
        </w:pict>
      </w:r>
    </w:p>
    <w:p w:rsidR="00000000" w:rsidRDefault="005B0BC3">
      <w:pPr>
        <w:divId w:val="2089762629"/>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ind w:firstLine="360"/>
        <w:divId w:val="1692337769"/>
        <w:rPr>
          <w:rFonts w:eastAsia="Times New Roman"/>
        </w:rPr>
      </w:pPr>
      <w:r>
        <w:rPr>
          <w:rFonts w:eastAsia="Times New Roman"/>
          <w:color w:val="000000"/>
          <w:sz w:val="20"/>
          <w:szCs w:val="20"/>
        </w:rPr>
        <w:t>Average AUM in the Investment Management and Research segment for the periods presented by distribution channel and investment services were a</w:t>
      </w:r>
      <w:r>
        <w:rPr>
          <w:rFonts w:eastAsia="Times New Roman"/>
          <w:color w:val="000000"/>
          <w:sz w:val="20"/>
          <w:szCs w:val="20"/>
        </w:rPr>
        <w:t>s follows:</w:t>
      </w:r>
    </w:p>
    <w:tbl>
      <w:tblPr>
        <w:tblW w:w="4992" w:type="pct"/>
        <w:tblCellMar>
          <w:top w:w="15" w:type="dxa"/>
          <w:left w:w="15" w:type="dxa"/>
          <w:bottom w:w="15" w:type="dxa"/>
          <w:right w:w="15" w:type="dxa"/>
        </w:tblCellMar>
        <w:tblLook w:val="04A0" w:firstRow="1" w:lastRow="0" w:firstColumn="1" w:lastColumn="0" w:noHBand="0" w:noVBand="1"/>
      </w:tblPr>
      <w:tblGrid>
        <w:gridCol w:w="38"/>
        <w:gridCol w:w="4396"/>
        <w:gridCol w:w="37"/>
        <w:gridCol w:w="36"/>
        <w:gridCol w:w="36"/>
        <w:gridCol w:w="36"/>
        <w:gridCol w:w="36"/>
        <w:gridCol w:w="120"/>
        <w:gridCol w:w="998"/>
        <w:gridCol w:w="36"/>
        <w:gridCol w:w="36"/>
        <w:gridCol w:w="36"/>
        <w:gridCol w:w="36"/>
        <w:gridCol w:w="120"/>
        <w:gridCol w:w="998"/>
        <w:gridCol w:w="36"/>
        <w:gridCol w:w="36"/>
        <w:gridCol w:w="36"/>
        <w:gridCol w:w="36"/>
        <w:gridCol w:w="120"/>
        <w:gridCol w:w="998"/>
        <w:gridCol w:w="36"/>
      </w:tblGrid>
      <w:tr w:rsidR="00000000">
        <w:trPr>
          <w:divId w:val="2033189922"/>
        </w:trPr>
        <w:tc>
          <w:tcPr>
            <w:tcW w:w="50" w:type="pct"/>
            <w:vAlign w:val="center"/>
            <w:hideMark/>
          </w:tcPr>
          <w:p w:rsidR="00000000" w:rsidRDefault="005B0BC3">
            <w:pPr>
              <w:ind w:firstLine="360"/>
              <w:rPr>
                <w:rFonts w:eastAsia="Times New Roman"/>
              </w:rPr>
            </w:pPr>
          </w:p>
        </w:tc>
        <w:tc>
          <w:tcPr>
            <w:tcW w:w="275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5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5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5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2033189922"/>
        </w:trPr>
        <w:tc>
          <w:tcPr>
            <w:tcW w:w="0" w:type="auto"/>
            <w:gridSpan w:val="3"/>
            <w:tcMar>
              <w:top w:w="30" w:type="dxa"/>
              <w:left w:w="20" w:type="dxa"/>
              <w:bottom w:w="30" w:type="dxa"/>
              <w:right w:w="20" w:type="dxa"/>
            </w:tcMar>
            <w:vAlign w:val="bottom"/>
            <w:hideMark/>
          </w:tcPr>
          <w:p w:rsidR="00000000" w:rsidRDefault="005B0BC3">
            <w:pPr>
              <w:spacing w:after="100"/>
              <w:divId w:val="1872843014"/>
              <w:rPr>
                <w:rFonts w:eastAsia="Times New Roman"/>
              </w:rPr>
            </w:pPr>
            <w:r>
              <w:rPr>
                <w:rFonts w:eastAsia="Times New Roman"/>
                <w:b/>
                <w:bCs/>
                <w:color w:val="000000"/>
                <w:sz w:val="16"/>
                <w:szCs w:val="16"/>
              </w:rPr>
              <w:t> </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2033189922"/>
        </w:trPr>
        <w:tc>
          <w:tcPr>
            <w:tcW w:w="0" w:type="auto"/>
            <w:gridSpan w:val="3"/>
            <w:tcMar>
              <w:top w:w="30" w:type="dxa"/>
              <w:left w:w="20" w:type="dxa"/>
              <w:bottom w:w="30" w:type="dxa"/>
              <w:right w:w="20" w:type="dxa"/>
            </w:tcMar>
            <w:vAlign w:val="bottom"/>
            <w:hideMark/>
          </w:tcPr>
          <w:p w:rsidR="00000000" w:rsidRDefault="005B0BC3">
            <w:pPr>
              <w:spacing w:after="100"/>
              <w:divId w:val="2069262036"/>
              <w:rPr>
                <w:rFonts w:eastAsia="Times New Roman"/>
              </w:rPr>
            </w:pPr>
            <w:r>
              <w:rPr>
                <w:rFonts w:eastAsia="Times New Roman"/>
                <w:b/>
                <w:bCs/>
                <w:color w:val="000000"/>
                <w:sz w:val="16"/>
                <w:szCs w:val="16"/>
              </w:rPr>
              <w:t> </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2033189922"/>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billions)</w:t>
            </w:r>
          </w:p>
        </w:tc>
      </w:tr>
      <w:tr w:rsidR="00000000">
        <w:trPr>
          <w:divId w:val="2033189922"/>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b/>
                <w:bCs/>
                <w:i/>
                <w:iCs/>
                <w:color w:val="000000"/>
                <w:sz w:val="20"/>
                <w:szCs w:val="20"/>
              </w:rPr>
              <w:t>Distribution Channel:</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2033189922"/>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Institutions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325.7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285.9 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265.4 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033189922"/>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Retail</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291.0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236.5 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212.3 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033189922"/>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Private Wealth Management</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114.1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97.1 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96.5 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033189922"/>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Total</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730.8</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619.5 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574.2 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033189922"/>
          <w:trHeight w:val="240"/>
        </w:trPr>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2033189922"/>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b/>
                <w:bCs/>
                <w:i/>
                <w:iCs/>
                <w:color w:val="000000"/>
                <w:sz w:val="20"/>
                <w:szCs w:val="20"/>
              </w:rPr>
              <w:t>Investment Service:</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2033189922"/>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Equity Actively Managed</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252.2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179.8 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158.4 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033189922"/>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Equity Passively Managed (1)</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68.7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57.1 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56.4 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033189922"/>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Fixed Income Actively Managed – Taxable</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253.1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254.4 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239.7 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033189922"/>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Fixed Income Actively Managed – Tax-exempt</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53.8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47.9 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44.6 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033189922"/>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Fixed Income Passively Managed (1)</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9.6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033189922"/>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Alternatives/Multi-Asset Solutions (2)</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93.4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70.9 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65.7 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033189922"/>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Total</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730.8</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619.5 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574.2 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divId w:val="155650883"/>
        <w:rPr>
          <w:rFonts w:eastAsia="Times New Roman"/>
        </w:rPr>
      </w:pPr>
      <w:r>
        <w:rPr>
          <w:rFonts w:eastAsia="Times New Roman"/>
          <w:color w:val="000000"/>
          <w:sz w:val="18"/>
          <w:szCs w:val="18"/>
        </w:rPr>
        <w:t>____________</w:t>
      </w:r>
    </w:p>
    <w:p w:rsidR="00000000" w:rsidRDefault="005B0BC3">
      <w:pPr>
        <w:ind w:hanging="360"/>
        <w:divId w:val="388501047"/>
        <w:rPr>
          <w:rFonts w:eastAsia="Times New Roman"/>
        </w:rPr>
      </w:pPr>
      <w:r>
        <w:rPr>
          <w:rFonts w:eastAsia="Times New Roman"/>
          <w:color w:val="000000"/>
          <w:sz w:val="18"/>
          <w:szCs w:val="18"/>
        </w:rPr>
        <w:t>(1)</w:t>
      </w:r>
      <w:r>
        <w:rPr>
          <w:rFonts w:eastAsia="Times New Roman"/>
          <w:color w:val="000000"/>
          <w:sz w:val="18"/>
          <w:szCs w:val="18"/>
        </w:rPr>
        <w:t>Includes index and enhanced index services.</w:t>
      </w:r>
    </w:p>
    <w:p w:rsidR="00000000" w:rsidRDefault="005B0BC3">
      <w:pPr>
        <w:ind w:hanging="360"/>
        <w:divId w:val="1464889210"/>
        <w:rPr>
          <w:rFonts w:eastAsia="Times New Roman"/>
        </w:rPr>
      </w:pPr>
      <w:r>
        <w:rPr>
          <w:rFonts w:eastAsia="Times New Roman"/>
          <w:color w:val="000000"/>
          <w:sz w:val="18"/>
          <w:szCs w:val="18"/>
        </w:rPr>
        <w:t>(2)</w:t>
      </w:r>
      <w:r>
        <w:rPr>
          <w:rFonts w:eastAsia="Times New Roman"/>
          <w:color w:val="000000"/>
          <w:sz w:val="18"/>
          <w:szCs w:val="18"/>
        </w:rPr>
        <w:t>Includes multi-asset solutions and services not included in equity or fixed income services. Prior to December 31, 2020, this investment service line was disclosed as “Other.” In order to reflect the increasing significance of our Alternatives and Multi-As</w:t>
      </w:r>
      <w:r>
        <w:rPr>
          <w:rFonts w:eastAsia="Times New Roman"/>
          <w:color w:val="000000"/>
          <w:sz w:val="18"/>
          <w:szCs w:val="18"/>
        </w:rPr>
        <w:t>set Solutions services, we updated the investment service line to “Alternatives and Multi-Asset Solutions."</w:t>
      </w:r>
    </w:p>
    <w:p w:rsidR="00000000" w:rsidRDefault="005B0BC3">
      <w:pPr>
        <w:jc w:val="center"/>
        <w:divId w:val="1002664070"/>
        <w:rPr>
          <w:rFonts w:eastAsia="Times New Roman"/>
        </w:rPr>
      </w:pPr>
      <w:r>
        <w:rPr>
          <w:rFonts w:eastAsia="Times New Roman"/>
          <w:color w:val="000000"/>
          <w:sz w:val="20"/>
          <w:szCs w:val="20"/>
        </w:rPr>
        <w:t>95</w:t>
      </w:r>
    </w:p>
    <w:p w:rsidR="00000000" w:rsidRDefault="005B0BC3">
      <w:pPr>
        <w:rPr>
          <w:rFonts w:eastAsia="Times New Roman"/>
        </w:rPr>
      </w:pPr>
      <w:r>
        <w:rPr>
          <w:rFonts w:eastAsia="Times New Roman"/>
        </w:rPr>
        <w:pict>
          <v:rect id="_x0000_i1133" style="width:0;height:1.5pt" o:hralign="center" o:hrstd="t" o:hr="t" fillcolor="#a0a0a0" stroked="f"/>
        </w:pict>
      </w:r>
    </w:p>
    <w:p w:rsidR="00000000" w:rsidRDefault="005B0BC3">
      <w:pPr>
        <w:divId w:val="483593652"/>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divId w:val="307705190"/>
        <w:rPr>
          <w:rFonts w:eastAsia="Times New Roman"/>
        </w:rPr>
      </w:pPr>
      <w:r>
        <w:rPr>
          <w:rFonts w:eastAsia="Times New Roman"/>
          <w:b/>
          <w:bCs/>
          <w:color w:val="000000"/>
          <w:sz w:val="20"/>
          <w:szCs w:val="20"/>
        </w:rPr>
        <w:t>Year Ended December 31, 2021 C</w:t>
      </w:r>
      <w:r>
        <w:rPr>
          <w:rFonts w:eastAsia="Times New Roman"/>
          <w:b/>
          <w:bCs/>
          <w:color w:val="000000"/>
          <w:sz w:val="20"/>
          <w:szCs w:val="20"/>
        </w:rPr>
        <w:t>ompared to the Year Ended December 31, 2020 for the Investment Management and Research Segment</w:t>
      </w:r>
    </w:p>
    <w:p w:rsidR="00000000" w:rsidRDefault="005B0BC3">
      <w:pPr>
        <w:jc w:val="both"/>
        <w:divId w:val="719209634"/>
        <w:rPr>
          <w:rFonts w:eastAsia="Times New Roman"/>
        </w:rPr>
      </w:pPr>
      <w:r>
        <w:rPr>
          <w:rFonts w:eastAsia="Times New Roman"/>
          <w:b/>
          <w:bCs/>
          <w:i/>
          <w:iCs/>
          <w:color w:val="000000"/>
          <w:sz w:val="20"/>
          <w:szCs w:val="20"/>
          <w:shd w:val="clear" w:color="auto" w:fill="FFFFFF"/>
        </w:rPr>
        <w:t>Operating earnings</w:t>
      </w:r>
    </w:p>
    <w:p w:rsidR="00000000" w:rsidRDefault="005B0BC3">
      <w:pPr>
        <w:ind w:firstLine="360"/>
        <w:divId w:val="334069741"/>
        <w:rPr>
          <w:rFonts w:eastAsia="Times New Roman"/>
        </w:rPr>
      </w:pPr>
      <w:r>
        <w:rPr>
          <w:rFonts w:eastAsia="Times New Roman"/>
          <w:color w:val="000000"/>
          <w:sz w:val="20"/>
          <w:szCs w:val="20"/>
          <w:shd w:val="clear" w:color="auto" w:fill="FFFFFF"/>
        </w:rPr>
        <w:t>Operating earnings increased $132 million to $564 million during the year ended December 31, 2021 from $432 million in the year ended December</w:t>
      </w:r>
      <w:r>
        <w:rPr>
          <w:rFonts w:eastAsia="Times New Roman"/>
          <w:color w:val="000000"/>
          <w:sz w:val="20"/>
          <w:szCs w:val="20"/>
          <w:shd w:val="clear" w:color="auto" w:fill="FFFFFF"/>
        </w:rPr>
        <w:t xml:space="preserve"> 31, 2020. The following notable items were the primary drivers of the change in operating earnings:</w:t>
      </w:r>
    </w:p>
    <w:p w:rsidR="00000000" w:rsidRDefault="005B0BC3">
      <w:pPr>
        <w:divId w:val="1434932592"/>
        <w:rPr>
          <w:rFonts w:eastAsia="Times New Roman"/>
        </w:rPr>
      </w:pPr>
      <w:r>
        <w:rPr>
          <w:rFonts w:eastAsia="Times New Roman"/>
          <w:color w:val="000000"/>
          <w:sz w:val="20"/>
          <w:szCs w:val="20"/>
          <w:shd w:val="clear" w:color="auto" w:fill="FFFFFF"/>
        </w:rPr>
        <w:t>Favorable items included:</w:t>
      </w:r>
    </w:p>
    <w:p w:rsidR="00000000" w:rsidRDefault="005B0BC3">
      <w:pPr>
        <w:ind w:hanging="180"/>
        <w:divId w:val="1047146076"/>
        <w:rPr>
          <w:rFonts w:eastAsia="Times New Roman"/>
        </w:rPr>
      </w:pPr>
      <w:r>
        <w:rPr>
          <w:rFonts w:eastAsia="Times New Roman"/>
          <w:color w:val="000000"/>
          <w:sz w:val="20"/>
          <w:szCs w:val="20"/>
          <w:shd w:val="clear" w:color="auto" w:fill="FFFFFF"/>
        </w:rPr>
        <w:t>•Fee-type revenue increased by $722 million primarily due to higher investment advisory base fees, performance based fees and dis</w:t>
      </w:r>
      <w:r>
        <w:rPr>
          <w:rFonts w:eastAsia="Times New Roman"/>
          <w:color w:val="000000"/>
          <w:sz w:val="20"/>
          <w:szCs w:val="20"/>
          <w:shd w:val="clear" w:color="auto" w:fill="FFFFFF"/>
        </w:rPr>
        <w:t>tribution revenues, driven by higher average AUM due to market appreciation and net inflows. This is partially offset by lower Bernstein Research Services revenues due to lower trading activity driven by lower global market volatility as compared to the CO</w:t>
      </w:r>
      <w:r>
        <w:rPr>
          <w:rFonts w:eastAsia="Times New Roman"/>
          <w:color w:val="000000"/>
          <w:sz w:val="20"/>
          <w:szCs w:val="20"/>
          <w:shd w:val="clear" w:color="auto" w:fill="FFFFFF"/>
        </w:rPr>
        <w:t xml:space="preserve">VID-19 related volatility in the year ended December 31, 2020. </w:t>
      </w:r>
    </w:p>
    <w:p w:rsidR="00000000" w:rsidRDefault="005B0BC3">
      <w:pPr>
        <w:ind w:hanging="180"/>
        <w:jc w:val="both"/>
        <w:divId w:val="89352448"/>
        <w:rPr>
          <w:rFonts w:eastAsia="Times New Roman"/>
        </w:rPr>
      </w:pPr>
      <w:r>
        <w:rPr>
          <w:rFonts w:eastAsia="Times New Roman"/>
          <w:color w:val="000000"/>
          <w:sz w:val="20"/>
          <w:szCs w:val="20"/>
          <w:shd w:val="clear" w:color="auto" w:fill="FFFFFF"/>
        </w:rPr>
        <w:t>•Net investment income, net of derivative gains, was favorable by $5 million. Net investment income decreased by $18 million mainly due to lower gains on the seed capital investments subject t</w:t>
      </w:r>
      <w:r>
        <w:rPr>
          <w:rFonts w:eastAsia="Times New Roman"/>
          <w:color w:val="000000"/>
          <w:sz w:val="20"/>
          <w:szCs w:val="20"/>
          <w:shd w:val="clear" w:color="auto" w:fill="FFFFFF"/>
        </w:rPr>
        <w:t>o market risk, offset by an increase in Net derivative gains of $23 million mainly due to lower losses from economically hedging the seed capital investments.</w:t>
      </w:r>
    </w:p>
    <w:p w:rsidR="00000000" w:rsidRDefault="005B0BC3">
      <w:pPr>
        <w:divId w:val="1525482176"/>
        <w:rPr>
          <w:rFonts w:eastAsia="Times New Roman"/>
        </w:rPr>
      </w:pPr>
      <w:r>
        <w:rPr>
          <w:rFonts w:eastAsia="Times New Roman"/>
          <w:color w:val="000000"/>
          <w:sz w:val="20"/>
          <w:szCs w:val="20"/>
          <w:shd w:val="clear" w:color="auto" w:fill="FFFFFF"/>
        </w:rPr>
        <w:t>These were partially offset by the following unfavorable items:</w:t>
      </w:r>
    </w:p>
    <w:p w:rsidR="00000000" w:rsidRDefault="005B0BC3">
      <w:pPr>
        <w:ind w:hanging="180"/>
        <w:divId w:val="68969851"/>
        <w:rPr>
          <w:rFonts w:eastAsia="Times New Roman"/>
        </w:rPr>
      </w:pPr>
      <w:r>
        <w:rPr>
          <w:rFonts w:eastAsia="Times New Roman"/>
          <w:color w:val="000000"/>
          <w:sz w:val="20"/>
          <w:szCs w:val="20"/>
          <w:shd w:val="clear" w:color="auto" w:fill="FFFFFF"/>
        </w:rPr>
        <w:t>•Compensation, benefits, interest</w:t>
      </w:r>
      <w:r>
        <w:rPr>
          <w:rFonts w:eastAsia="Times New Roman"/>
          <w:color w:val="000000"/>
          <w:sz w:val="20"/>
          <w:szCs w:val="20"/>
          <w:shd w:val="clear" w:color="auto" w:fill="FFFFFF"/>
        </w:rPr>
        <w:t xml:space="preserve"> expense and other operating costs increased by $295 million mainly due to higher employee compensation attributed to higher revenues.</w:t>
      </w:r>
    </w:p>
    <w:p w:rsidR="00000000" w:rsidRDefault="005B0BC3">
      <w:pPr>
        <w:ind w:hanging="180"/>
        <w:divId w:val="929658174"/>
        <w:rPr>
          <w:rFonts w:eastAsia="Times New Roman"/>
        </w:rPr>
      </w:pPr>
      <w:r>
        <w:rPr>
          <w:rFonts w:eastAsia="Times New Roman"/>
          <w:color w:val="000000"/>
          <w:sz w:val="20"/>
          <w:szCs w:val="20"/>
          <w:shd w:val="clear" w:color="auto" w:fill="FFFFFF"/>
        </w:rPr>
        <w:t>•Commissions and distribution-related payments increased by $139 million mainly due to higher payments to financial inter</w:t>
      </w:r>
      <w:r>
        <w:rPr>
          <w:rFonts w:eastAsia="Times New Roman"/>
          <w:color w:val="000000"/>
          <w:sz w:val="20"/>
          <w:szCs w:val="20"/>
          <w:shd w:val="clear" w:color="auto" w:fill="FFFFFF"/>
        </w:rPr>
        <w:t xml:space="preserve">mediaries for the distribution of AB mutual funds, primarily resulting from increased average AUM of these mutual funds. </w:t>
      </w:r>
    </w:p>
    <w:p w:rsidR="00000000" w:rsidRDefault="005B0BC3">
      <w:pPr>
        <w:ind w:hanging="180"/>
        <w:divId w:val="2041736338"/>
        <w:rPr>
          <w:rFonts w:eastAsia="Times New Roman"/>
        </w:rPr>
      </w:pPr>
      <w:r>
        <w:rPr>
          <w:rFonts w:eastAsia="Times New Roman"/>
          <w:color w:val="000000"/>
          <w:sz w:val="20"/>
          <w:szCs w:val="20"/>
          <w:shd w:val="clear" w:color="auto" w:fill="FFFFFF"/>
        </w:rPr>
        <w:t>•Earnings attributable to noncontrolling interest increased by $114 million due to higher pre-tax earnings.</w:t>
      </w:r>
    </w:p>
    <w:p w:rsidR="00000000" w:rsidRDefault="005B0BC3">
      <w:pPr>
        <w:ind w:hanging="180"/>
        <w:jc w:val="both"/>
        <w:divId w:val="917178738"/>
        <w:rPr>
          <w:rFonts w:eastAsia="Times New Roman"/>
        </w:rPr>
      </w:pPr>
      <w:r>
        <w:rPr>
          <w:rFonts w:eastAsia="Times New Roman"/>
          <w:color w:val="000000"/>
          <w:sz w:val="20"/>
          <w:szCs w:val="20"/>
          <w:shd w:val="clear" w:color="auto" w:fill="FFFFFF"/>
        </w:rPr>
        <w:t>•Income tax expense increa</w:t>
      </w:r>
      <w:r>
        <w:rPr>
          <w:rFonts w:eastAsia="Times New Roman"/>
          <w:color w:val="000000"/>
          <w:sz w:val="20"/>
          <w:szCs w:val="20"/>
          <w:shd w:val="clear" w:color="auto" w:fill="FFFFFF"/>
        </w:rPr>
        <w:t>sed by $47 million due to higher pre-tax earnings.</w:t>
      </w:r>
    </w:p>
    <w:p w:rsidR="00000000" w:rsidRDefault="005B0BC3">
      <w:pPr>
        <w:jc w:val="both"/>
        <w:divId w:val="1940795998"/>
        <w:rPr>
          <w:rFonts w:eastAsia="Times New Roman"/>
        </w:rPr>
      </w:pPr>
      <w:r>
        <w:rPr>
          <w:rFonts w:eastAsia="Times New Roman"/>
          <w:b/>
          <w:bCs/>
          <w:i/>
          <w:iCs/>
          <w:color w:val="000000"/>
          <w:sz w:val="20"/>
          <w:szCs w:val="20"/>
          <w:shd w:val="clear" w:color="auto" w:fill="FFFFFF"/>
        </w:rPr>
        <w:t>Long-Term Net Flows and AUM</w:t>
      </w:r>
    </w:p>
    <w:p w:rsidR="00000000" w:rsidRDefault="005B0BC3">
      <w:pPr>
        <w:ind w:hanging="180"/>
        <w:divId w:val="1541939610"/>
        <w:rPr>
          <w:rFonts w:eastAsia="Times New Roman"/>
        </w:rPr>
      </w:pPr>
      <w:r>
        <w:rPr>
          <w:rFonts w:eastAsia="Times New Roman"/>
          <w:color w:val="000000"/>
          <w:sz w:val="20"/>
          <w:szCs w:val="20"/>
          <w:shd w:val="clear" w:color="auto" w:fill="FFFFFF"/>
        </w:rPr>
        <w:t xml:space="preserve">•Total AUM as of December 31, 2021 was $778.6 billion up $92.7 billion, or 13.5%, compared to December 31, 2020. </w:t>
      </w:r>
      <w:r>
        <w:rPr>
          <w:rFonts w:eastAsia="Times New Roman"/>
          <w:color w:val="000000"/>
          <w:sz w:val="20"/>
          <w:szCs w:val="20"/>
        </w:rPr>
        <w:t>The increase was driven primarily by market appreciation of $66.</w:t>
      </w:r>
      <w:r>
        <w:rPr>
          <w:rFonts w:eastAsia="Times New Roman"/>
          <w:color w:val="000000"/>
          <w:sz w:val="20"/>
          <w:szCs w:val="20"/>
        </w:rPr>
        <w:t xml:space="preserve">6 billion and net inflows of $26.1 billion (reflecting Retail net inflows of $20.8 billion, Private Wealth Management net inflows of </w:t>
      </w:r>
      <w:r>
        <w:rPr>
          <w:rFonts w:eastAsia="Times New Roman"/>
          <w:color w:val="000000"/>
          <w:sz w:val="20"/>
          <w:szCs w:val="20"/>
          <w:shd w:val="clear" w:color="auto" w:fill="FFFFFF"/>
        </w:rPr>
        <w:t>$3.0 billion</w:t>
      </w:r>
      <w:r>
        <w:rPr>
          <w:rFonts w:eastAsia="Times New Roman"/>
          <w:color w:val="000000"/>
          <w:sz w:val="20"/>
          <w:szCs w:val="20"/>
        </w:rPr>
        <w:t xml:space="preserve"> and Institutional net inflows of </w:t>
      </w:r>
      <w:r>
        <w:rPr>
          <w:rFonts w:eastAsia="Times New Roman"/>
          <w:color w:val="000000"/>
          <w:sz w:val="20"/>
          <w:szCs w:val="20"/>
          <w:shd w:val="clear" w:color="auto" w:fill="FFFFFF"/>
        </w:rPr>
        <w:t>$2.3 billion</w:t>
      </w:r>
      <w:r>
        <w:rPr>
          <w:rFonts w:eastAsia="Times New Roman"/>
          <w:color w:val="000000"/>
          <w:sz w:val="20"/>
          <w:szCs w:val="20"/>
        </w:rPr>
        <w:t>).</w:t>
      </w:r>
    </w:p>
    <w:p w:rsidR="00000000" w:rsidRDefault="005B0BC3">
      <w:pPr>
        <w:ind w:hanging="180"/>
        <w:jc w:val="both"/>
        <w:divId w:val="674456372"/>
        <w:rPr>
          <w:rFonts w:eastAsia="Times New Roman"/>
        </w:rPr>
      </w:pPr>
      <w:r>
        <w:rPr>
          <w:rFonts w:eastAsia="Times New Roman"/>
          <w:color w:val="000000"/>
          <w:sz w:val="20"/>
          <w:szCs w:val="20"/>
          <w:shd w:val="clear" w:color="auto" w:fill="FFFFFF"/>
        </w:rPr>
        <w:t>•Excluding AXA’</w:t>
      </w:r>
      <w:r>
        <w:rPr>
          <w:rFonts w:eastAsia="Times New Roman"/>
          <w:color w:val="000000"/>
          <w:sz w:val="20"/>
          <w:szCs w:val="20"/>
          <w:shd w:val="clear" w:color="auto" w:fill="FFFFFF"/>
        </w:rPr>
        <w:t>s redemption of low-fee fixed income mandates of $1.3 billion and $11.8 billion, AB generated net inflows of $27.4 billion and $9.2 billion during the twelve months ended December 31, 2021 and 2020, respectiv</w:t>
      </w:r>
      <w:r>
        <w:rPr>
          <w:rFonts w:eastAsia="Times New Roman"/>
          <w:color w:val="000000"/>
          <w:sz w:val="20"/>
          <w:szCs w:val="20"/>
        </w:rPr>
        <w:t>ely. As previously disclosed, AB expects additio</w:t>
      </w:r>
      <w:r>
        <w:rPr>
          <w:rFonts w:eastAsia="Times New Roman"/>
          <w:color w:val="000000"/>
          <w:sz w:val="20"/>
          <w:szCs w:val="20"/>
        </w:rPr>
        <w:t>nal redemptions by AXA of low-fee retail AUM in the first half of 2022 of approximately $5 billion.</w:t>
      </w:r>
    </w:p>
    <w:p w:rsidR="00000000" w:rsidRDefault="005B0BC3">
      <w:pPr>
        <w:ind w:firstLine="360"/>
        <w:divId w:val="1422485728"/>
        <w:rPr>
          <w:rFonts w:eastAsia="Times New Roman"/>
        </w:rPr>
      </w:pPr>
      <w:r>
        <w:rPr>
          <w:rFonts w:eastAsia="Times New Roman"/>
          <w:b/>
          <w:bCs/>
          <w:color w:val="000000"/>
          <w:sz w:val="20"/>
          <w:szCs w:val="20"/>
        </w:rPr>
        <w:t>Year Ended December 31, 2020 Compared to the Year Ended December 31, 2019 for the Investment Management and Research Segment</w:t>
      </w:r>
    </w:p>
    <w:p w:rsidR="00000000" w:rsidRDefault="005B0BC3">
      <w:pPr>
        <w:jc w:val="both"/>
        <w:divId w:val="1995254266"/>
        <w:rPr>
          <w:rFonts w:eastAsia="Times New Roman"/>
        </w:rPr>
      </w:pPr>
      <w:r>
        <w:rPr>
          <w:rFonts w:eastAsia="Times New Roman"/>
          <w:b/>
          <w:bCs/>
          <w:i/>
          <w:iCs/>
          <w:color w:val="000000"/>
          <w:sz w:val="20"/>
          <w:szCs w:val="20"/>
        </w:rPr>
        <w:t>Operating earnings</w:t>
      </w:r>
    </w:p>
    <w:p w:rsidR="00000000" w:rsidRDefault="005B0BC3">
      <w:pPr>
        <w:ind w:firstLine="360"/>
        <w:divId w:val="2128772280"/>
        <w:rPr>
          <w:rFonts w:eastAsia="Times New Roman"/>
        </w:rPr>
      </w:pPr>
      <w:r>
        <w:rPr>
          <w:rFonts w:eastAsia="Times New Roman"/>
          <w:color w:val="000000"/>
          <w:sz w:val="20"/>
          <w:szCs w:val="20"/>
        </w:rPr>
        <w:t>For discussi</w:t>
      </w:r>
      <w:r>
        <w:rPr>
          <w:rFonts w:eastAsia="Times New Roman"/>
          <w:color w:val="000000"/>
          <w:sz w:val="20"/>
          <w:szCs w:val="20"/>
        </w:rPr>
        <w:t xml:space="preserve">on that compares results for the year ended December 31, 2020 to the year ended December 31, 2019 refer to the MD&amp;A section in our 2020 Form 10-K. </w:t>
      </w:r>
    </w:p>
    <w:p w:rsidR="00000000" w:rsidRDefault="005B0BC3">
      <w:pPr>
        <w:jc w:val="both"/>
        <w:divId w:val="1503161593"/>
        <w:rPr>
          <w:rFonts w:eastAsia="Times New Roman"/>
        </w:rPr>
      </w:pPr>
      <w:r>
        <w:rPr>
          <w:rFonts w:eastAsia="Times New Roman"/>
          <w:b/>
          <w:bCs/>
          <w:i/>
          <w:iCs/>
          <w:color w:val="000000"/>
          <w:sz w:val="20"/>
          <w:szCs w:val="20"/>
        </w:rPr>
        <w:t>Net Flows and AUM</w:t>
      </w:r>
    </w:p>
    <w:p w:rsidR="00000000" w:rsidRDefault="005B0BC3">
      <w:pPr>
        <w:ind w:firstLine="360"/>
        <w:divId w:val="820467520"/>
        <w:rPr>
          <w:rFonts w:eastAsia="Times New Roman"/>
        </w:rPr>
      </w:pPr>
      <w:r>
        <w:rPr>
          <w:rFonts w:eastAsia="Times New Roman"/>
          <w:color w:val="000000"/>
          <w:sz w:val="20"/>
          <w:szCs w:val="20"/>
        </w:rPr>
        <w:t>For discussion that compares results for the year ended December 31, 2020 to the year ende</w:t>
      </w:r>
      <w:r>
        <w:rPr>
          <w:rFonts w:eastAsia="Times New Roman"/>
          <w:color w:val="000000"/>
          <w:sz w:val="20"/>
          <w:szCs w:val="20"/>
        </w:rPr>
        <w:t>d December 31, 2019 refer to the MD&amp;A section in our 2020 Form 10-K.</w:t>
      </w:r>
    </w:p>
    <w:p w:rsidR="00000000" w:rsidRDefault="005B0BC3">
      <w:pPr>
        <w:divId w:val="1385330512"/>
        <w:rPr>
          <w:rFonts w:eastAsia="Times New Roman"/>
        </w:rPr>
      </w:pPr>
      <w:r>
        <w:rPr>
          <w:rFonts w:eastAsia="Times New Roman"/>
          <w:b/>
          <w:bCs/>
          <w:color w:val="000000"/>
          <w:sz w:val="20"/>
          <w:szCs w:val="20"/>
        </w:rPr>
        <w:t>Protection Solutions</w:t>
      </w:r>
    </w:p>
    <w:p w:rsidR="00000000" w:rsidRDefault="005B0BC3">
      <w:pPr>
        <w:ind w:firstLine="360"/>
        <w:divId w:val="1494491709"/>
        <w:rPr>
          <w:rFonts w:eastAsia="Times New Roman"/>
        </w:rPr>
      </w:pPr>
      <w:r>
        <w:rPr>
          <w:rFonts w:eastAsia="Times New Roman"/>
          <w:color w:val="000000"/>
          <w:sz w:val="20"/>
          <w:szCs w:val="20"/>
        </w:rPr>
        <w:t xml:space="preserve">The Protection Solutions segment includes our life insurance and employee benefits businesses. We provide a targeted range of products aimed at serving the financial </w:t>
      </w:r>
      <w:r>
        <w:rPr>
          <w:rFonts w:eastAsia="Times New Roman"/>
          <w:color w:val="000000"/>
          <w:sz w:val="20"/>
          <w:szCs w:val="20"/>
        </w:rPr>
        <w:t>needs of our clients throughout their lives, including VUL, IUL and term life products. In 2015, we entered the employee benefits market and currently offer a suite of dental, vision, life, as well as short- and long-term disability insurance products to s</w:t>
      </w:r>
      <w:r>
        <w:rPr>
          <w:rFonts w:eastAsia="Times New Roman"/>
          <w:color w:val="000000"/>
          <w:sz w:val="20"/>
          <w:szCs w:val="20"/>
        </w:rPr>
        <w:t>mall and medium-size businesses.</w:t>
      </w:r>
    </w:p>
    <w:p w:rsidR="00000000" w:rsidRDefault="005B0BC3">
      <w:pPr>
        <w:jc w:val="center"/>
        <w:divId w:val="166866070"/>
        <w:rPr>
          <w:rFonts w:eastAsia="Times New Roman"/>
        </w:rPr>
      </w:pPr>
      <w:r>
        <w:rPr>
          <w:rFonts w:eastAsia="Times New Roman"/>
          <w:color w:val="000000"/>
          <w:sz w:val="20"/>
          <w:szCs w:val="20"/>
        </w:rPr>
        <w:t>96</w:t>
      </w:r>
    </w:p>
    <w:p w:rsidR="00000000" w:rsidRDefault="005B0BC3">
      <w:pPr>
        <w:rPr>
          <w:rFonts w:eastAsia="Times New Roman"/>
        </w:rPr>
      </w:pPr>
      <w:r>
        <w:rPr>
          <w:rFonts w:eastAsia="Times New Roman"/>
        </w:rPr>
        <w:pict>
          <v:rect id="_x0000_i1134" style="width:0;height:1.5pt" o:hralign="center" o:hrstd="t" o:hr="t" fillcolor="#a0a0a0" stroked="f"/>
        </w:pict>
      </w:r>
    </w:p>
    <w:p w:rsidR="00000000" w:rsidRDefault="005B0BC3">
      <w:pPr>
        <w:divId w:val="1172070186"/>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ind w:firstLine="360"/>
        <w:divId w:val="1896812418"/>
        <w:rPr>
          <w:rFonts w:eastAsia="Times New Roman"/>
        </w:rPr>
      </w:pPr>
      <w:r>
        <w:rPr>
          <w:rFonts w:eastAsia="Times New Roman"/>
          <w:color w:val="000000"/>
          <w:sz w:val="20"/>
          <w:szCs w:val="20"/>
        </w:rPr>
        <w:t>In recent years, we have refocused our product offering and distribution towards less capital intensive, higher return accumulation and protec</w:t>
      </w:r>
      <w:r>
        <w:rPr>
          <w:rFonts w:eastAsia="Times New Roman"/>
          <w:color w:val="000000"/>
          <w:sz w:val="20"/>
          <w:szCs w:val="20"/>
        </w:rPr>
        <w:t>tion products. For example, in January 2021, we discontinued offering our most interest sensitive IUL product (“IUL Protect”). We plan to improve our operating earnings over time through earnings generated from sales of our repositioned product portfolio a</w:t>
      </w:r>
      <w:r>
        <w:rPr>
          <w:rFonts w:eastAsia="Times New Roman"/>
          <w:color w:val="000000"/>
          <w:sz w:val="20"/>
          <w:szCs w:val="20"/>
        </w:rPr>
        <w:t>nd by proactively managing and optimizing our in-force book.</w:t>
      </w:r>
    </w:p>
    <w:p w:rsidR="00000000" w:rsidRDefault="005B0BC3">
      <w:pPr>
        <w:ind w:firstLine="360"/>
        <w:divId w:val="2046829312"/>
        <w:rPr>
          <w:rFonts w:eastAsia="Times New Roman"/>
        </w:rPr>
      </w:pPr>
      <w:r>
        <w:rPr>
          <w:rFonts w:eastAsia="Times New Roman"/>
          <w:color w:val="000000"/>
          <w:sz w:val="20"/>
          <w:szCs w:val="20"/>
        </w:rPr>
        <w:t>The following table summarizes operating earnings (loss) of our Protection Solutions segment for the periods presented:</w:t>
      </w:r>
    </w:p>
    <w:tbl>
      <w:tblPr>
        <w:tblW w:w="5000" w:type="pct"/>
        <w:tblCellMar>
          <w:top w:w="15" w:type="dxa"/>
          <w:left w:w="15" w:type="dxa"/>
          <w:bottom w:w="15" w:type="dxa"/>
          <w:right w:w="15" w:type="dxa"/>
        </w:tblCellMar>
        <w:tblLook w:val="04A0" w:firstRow="1" w:lastRow="0" w:firstColumn="1" w:lastColumn="0" w:noHBand="0" w:noVBand="1"/>
      </w:tblPr>
      <w:tblGrid>
        <w:gridCol w:w="37"/>
        <w:gridCol w:w="5169"/>
        <w:gridCol w:w="36"/>
        <w:gridCol w:w="36"/>
        <w:gridCol w:w="36"/>
        <w:gridCol w:w="36"/>
        <w:gridCol w:w="120"/>
        <w:gridCol w:w="724"/>
        <w:gridCol w:w="36"/>
        <w:gridCol w:w="36"/>
        <w:gridCol w:w="36"/>
        <w:gridCol w:w="36"/>
        <w:gridCol w:w="120"/>
        <w:gridCol w:w="683"/>
        <w:gridCol w:w="36"/>
        <w:gridCol w:w="36"/>
        <w:gridCol w:w="36"/>
        <w:gridCol w:w="36"/>
        <w:gridCol w:w="120"/>
        <w:gridCol w:w="865"/>
        <w:gridCol w:w="36"/>
      </w:tblGrid>
      <w:tr w:rsidR="00000000">
        <w:trPr>
          <w:divId w:val="2041858726"/>
        </w:trPr>
        <w:tc>
          <w:tcPr>
            <w:tcW w:w="50" w:type="pct"/>
            <w:vAlign w:val="center"/>
            <w:hideMark/>
          </w:tcPr>
          <w:p w:rsidR="00000000" w:rsidRDefault="005B0BC3">
            <w:pPr>
              <w:ind w:firstLine="360"/>
              <w:rPr>
                <w:rFonts w:eastAsia="Times New Roman"/>
              </w:rPr>
            </w:pPr>
          </w:p>
        </w:tc>
        <w:tc>
          <w:tcPr>
            <w:tcW w:w="318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7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7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8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2041858726"/>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2041858726"/>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2041858726"/>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2041858726"/>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Operating earnings (loss)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317</w:t>
            </w: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146 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336 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ind w:firstLine="360"/>
        <w:divId w:val="1675454018"/>
        <w:rPr>
          <w:rFonts w:eastAsia="Times New Roman"/>
        </w:rPr>
      </w:pPr>
      <w:r>
        <w:rPr>
          <w:rFonts w:eastAsia="Times New Roman"/>
          <w:color w:val="000000"/>
          <w:sz w:val="20"/>
          <w:szCs w:val="20"/>
        </w:rPr>
        <w:t>Key components of operating earnings (loss) are:</w:t>
      </w:r>
    </w:p>
    <w:tbl>
      <w:tblPr>
        <w:tblW w:w="5000" w:type="pct"/>
        <w:tblCellMar>
          <w:top w:w="15" w:type="dxa"/>
          <w:left w:w="15" w:type="dxa"/>
          <w:bottom w:w="15" w:type="dxa"/>
          <w:right w:w="15" w:type="dxa"/>
        </w:tblCellMar>
        <w:tblLook w:val="04A0" w:firstRow="1" w:lastRow="0" w:firstColumn="1" w:lastColumn="0" w:noHBand="0" w:noVBand="1"/>
      </w:tblPr>
      <w:tblGrid>
        <w:gridCol w:w="38"/>
        <w:gridCol w:w="5167"/>
        <w:gridCol w:w="37"/>
        <w:gridCol w:w="36"/>
        <w:gridCol w:w="36"/>
        <w:gridCol w:w="36"/>
        <w:gridCol w:w="120"/>
        <w:gridCol w:w="724"/>
        <w:gridCol w:w="36"/>
        <w:gridCol w:w="36"/>
        <w:gridCol w:w="36"/>
        <w:gridCol w:w="36"/>
        <w:gridCol w:w="120"/>
        <w:gridCol w:w="683"/>
        <w:gridCol w:w="36"/>
        <w:gridCol w:w="36"/>
        <w:gridCol w:w="36"/>
        <w:gridCol w:w="36"/>
        <w:gridCol w:w="120"/>
        <w:gridCol w:w="865"/>
        <w:gridCol w:w="36"/>
      </w:tblGrid>
      <w:tr w:rsidR="00000000">
        <w:trPr>
          <w:divId w:val="1653826572"/>
        </w:trPr>
        <w:tc>
          <w:tcPr>
            <w:tcW w:w="50" w:type="pct"/>
            <w:vAlign w:val="center"/>
            <w:hideMark/>
          </w:tcPr>
          <w:p w:rsidR="00000000" w:rsidRDefault="005B0BC3">
            <w:pPr>
              <w:ind w:firstLine="360"/>
              <w:rPr>
                <w:rFonts w:eastAsia="Times New Roman"/>
              </w:rPr>
            </w:pPr>
          </w:p>
        </w:tc>
        <w:tc>
          <w:tcPr>
            <w:tcW w:w="318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7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7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8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653826572"/>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653826572"/>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1653826572"/>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1653826572"/>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REVENUES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653826572"/>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Policy charges, fee income and premiums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2,016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1,970 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2,148 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653826572"/>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Net investment income</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944 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967 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653826572"/>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Net derivative gains (losses)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(20)</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653826572"/>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Investment management, service fees and other income</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225 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241 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653826572"/>
        </w:trPr>
        <w:tc>
          <w:tcPr>
            <w:tcW w:w="0" w:type="auto"/>
            <w:gridSpan w:val="3"/>
            <w:shd w:val="clear" w:color="auto" w:fill="CCEEFF"/>
            <w:tcMar>
              <w:top w:w="30" w:type="dxa"/>
              <w:left w:w="245"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Segment revenues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3,358</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3,144 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3,366 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653826572"/>
          <w:trHeight w:val="240"/>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653826572"/>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BENEFITS AND OTHER DEDUCTIONS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653826572"/>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Policyholders’ benefits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1,850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1,875 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1,655 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653826572"/>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Interest credited to policyholders’ account balances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514 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520 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653826572"/>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Commissions and distribution related payments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170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160 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166 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653826572"/>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Amortization of deferred policy acquisition costs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275 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653826572"/>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Compensation, benefits and other operating costs and expenses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337 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347 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653826572"/>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Interest expense</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653826572"/>
        </w:trPr>
        <w:tc>
          <w:tcPr>
            <w:tcW w:w="0" w:type="auto"/>
            <w:gridSpan w:val="3"/>
            <w:shd w:val="clear" w:color="auto" w:fill="FFFFFF"/>
            <w:tcMar>
              <w:top w:w="30" w:type="dxa"/>
              <w:left w:w="245"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Segment benefits and other deductions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2,974</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2,970 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2,963 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ind w:firstLine="360"/>
        <w:divId w:val="1431773881"/>
        <w:rPr>
          <w:rFonts w:eastAsia="Times New Roman"/>
        </w:rPr>
      </w:pPr>
      <w:r>
        <w:rPr>
          <w:rFonts w:eastAsia="Times New Roman"/>
          <w:color w:val="000000"/>
          <w:sz w:val="20"/>
          <w:szCs w:val="20"/>
        </w:rPr>
        <w:t>The following table summarizes Protection Solutions Reserves for our Protection Solut</w:t>
      </w:r>
      <w:r>
        <w:rPr>
          <w:rFonts w:eastAsia="Times New Roman"/>
          <w:color w:val="000000"/>
          <w:sz w:val="20"/>
          <w:szCs w:val="20"/>
        </w:rPr>
        <w:t>ions segment as of the dates presented:</w:t>
      </w:r>
    </w:p>
    <w:tbl>
      <w:tblPr>
        <w:tblW w:w="5000" w:type="pct"/>
        <w:tblCellMar>
          <w:top w:w="15" w:type="dxa"/>
          <w:left w:w="15" w:type="dxa"/>
          <w:bottom w:w="15" w:type="dxa"/>
          <w:right w:w="15" w:type="dxa"/>
        </w:tblCellMar>
        <w:tblLook w:val="04A0" w:firstRow="1" w:lastRow="0" w:firstColumn="1" w:lastColumn="0" w:noHBand="0" w:noVBand="1"/>
      </w:tblPr>
      <w:tblGrid>
        <w:gridCol w:w="38"/>
        <w:gridCol w:w="5557"/>
        <w:gridCol w:w="37"/>
        <w:gridCol w:w="120"/>
        <w:gridCol w:w="1037"/>
        <w:gridCol w:w="36"/>
        <w:gridCol w:w="36"/>
        <w:gridCol w:w="36"/>
        <w:gridCol w:w="36"/>
        <w:gridCol w:w="120"/>
        <w:gridCol w:w="1001"/>
        <w:gridCol w:w="36"/>
        <w:gridCol w:w="36"/>
        <w:gridCol w:w="36"/>
        <w:gridCol w:w="36"/>
        <w:gridCol w:w="36"/>
        <w:gridCol w:w="36"/>
        <w:gridCol w:w="36"/>
      </w:tblGrid>
      <w:tr w:rsidR="00000000">
        <w:trPr>
          <w:divId w:val="1760710048"/>
        </w:trPr>
        <w:tc>
          <w:tcPr>
            <w:tcW w:w="50" w:type="pct"/>
            <w:vAlign w:val="center"/>
            <w:hideMark/>
          </w:tcPr>
          <w:p w:rsidR="00000000" w:rsidRDefault="005B0BC3">
            <w:pPr>
              <w:ind w:firstLine="360"/>
              <w:rPr>
                <w:rFonts w:eastAsia="Times New Roman"/>
              </w:rPr>
            </w:pPr>
          </w:p>
        </w:tc>
        <w:tc>
          <w:tcPr>
            <w:tcW w:w="346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6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6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760710048"/>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760710048"/>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December 31,</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760710048"/>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5B0BC3">
            <w:pPr>
              <w:spacing w:after="100"/>
              <w:jc w:val="center"/>
              <w:rPr>
                <w:rFonts w:eastAsia="Times New Roman"/>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760710048"/>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760710048"/>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Protection Solutions Reserves (1)</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760710048"/>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General Account</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18,625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18,905 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760710048"/>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Separate Accounts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17,012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14,771 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760710048"/>
        </w:trPr>
        <w:tc>
          <w:tcPr>
            <w:tcW w:w="0" w:type="auto"/>
            <w:gridSpan w:val="3"/>
            <w:shd w:val="clear" w:color="auto" w:fill="CCEEFF"/>
            <w:tcMar>
              <w:top w:w="30" w:type="dxa"/>
              <w:left w:w="14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Total Protection Solutions Reserves</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35,637</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33,676 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bl>
    <w:p w:rsidR="00000000" w:rsidRDefault="005B0BC3">
      <w:pPr>
        <w:ind w:hanging="360"/>
        <w:divId w:val="82799978"/>
        <w:rPr>
          <w:rFonts w:eastAsia="Times New Roman"/>
        </w:rPr>
      </w:pPr>
      <w:r>
        <w:rPr>
          <w:rFonts w:eastAsia="Times New Roman"/>
          <w:color w:val="000000"/>
          <w:sz w:val="18"/>
          <w:szCs w:val="18"/>
        </w:rPr>
        <w:t>_______________</w:t>
      </w:r>
    </w:p>
    <w:p w:rsidR="00000000" w:rsidRDefault="005B0BC3">
      <w:pPr>
        <w:ind w:hanging="360"/>
        <w:divId w:val="914900376"/>
        <w:rPr>
          <w:rFonts w:eastAsia="Times New Roman"/>
        </w:rPr>
      </w:pPr>
      <w:r>
        <w:rPr>
          <w:rFonts w:eastAsia="Times New Roman"/>
          <w:color w:val="000000"/>
          <w:sz w:val="18"/>
          <w:szCs w:val="18"/>
        </w:rPr>
        <w:t>(1)</w:t>
      </w:r>
      <w:r>
        <w:rPr>
          <w:rFonts w:eastAsia="Times New Roman"/>
          <w:color w:val="000000"/>
          <w:sz w:val="18"/>
          <w:szCs w:val="18"/>
        </w:rPr>
        <w:t>Does not include Protection Solutions Reserves for our employee benefits business as it is a start-up business and therefore has immaterial in-force policies.</w:t>
      </w:r>
    </w:p>
    <w:p w:rsidR="00000000" w:rsidRDefault="005B0BC3">
      <w:pPr>
        <w:ind w:firstLine="360"/>
        <w:divId w:val="2111050929"/>
        <w:rPr>
          <w:rFonts w:eastAsia="Times New Roman"/>
        </w:rPr>
      </w:pPr>
      <w:r>
        <w:rPr>
          <w:rFonts w:eastAsia="Times New Roman"/>
          <w:color w:val="000000"/>
          <w:sz w:val="20"/>
          <w:szCs w:val="20"/>
        </w:rPr>
        <w:t>The following table presents our in-force face amounts for the periods indicated, respectively, f</w:t>
      </w:r>
      <w:r>
        <w:rPr>
          <w:rFonts w:eastAsia="Times New Roman"/>
          <w:color w:val="000000"/>
          <w:sz w:val="20"/>
          <w:szCs w:val="20"/>
        </w:rPr>
        <w:t>or our individual life insurance products:</w:t>
      </w:r>
    </w:p>
    <w:p w:rsidR="00000000" w:rsidRDefault="005B0BC3">
      <w:pPr>
        <w:jc w:val="center"/>
        <w:divId w:val="1359353066"/>
        <w:rPr>
          <w:rFonts w:eastAsia="Times New Roman"/>
        </w:rPr>
      </w:pPr>
      <w:r>
        <w:rPr>
          <w:rFonts w:eastAsia="Times New Roman"/>
          <w:color w:val="000000"/>
          <w:sz w:val="20"/>
          <w:szCs w:val="20"/>
        </w:rPr>
        <w:t>97</w:t>
      </w:r>
    </w:p>
    <w:p w:rsidR="00000000" w:rsidRDefault="005B0BC3">
      <w:pPr>
        <w:rPr>
          <w:rFonts w:eastAsia="Times New Roman"/>
        </w:rPr>
      </w:pPr>
      <w:r>
        <w:rPr>
          <w:rFonts w:eastAsia="Times New Roman"/>
        </w:rPr>
        <w:pict>
          <v:rect id="_x0000_i1135" style="width:0;height:1.5pt" o:hralign="center" o:hrstd="t" o:hr="t" fillcolor="#a0a0a0" stroked="f"/>
        </w:pict>
      </w:r>
    </w:p>
    <w:p w:rsidR="00000000" w:rsidRDefault="005B0BC3">
      <w:pPr>
        <w:divId w:val="1369068122"/>
        <w:rPr>
          <w:rFonts w:eastAsia="Times New Roman"/>
        </w:rPr>
      </w:pPr>
      <w:hyperlink w:anchor="i2ac35847634046b3a89f93d9b422e8f5_421" w:history="1">
        <w:r>
          <w:rPr>
            <w:rStyle w:val="a3"/>
            <w:rFonts w:eastAsia="Times New Roman"/>
            <w:b/>
            <w:bCs/>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7"/>
        <w:gridCol w:w="5558"/>
        <w:gridCol w:w="36"/>
        <w:gridCol w:w="120"/>
        <w:gridCol w:w="1038"/>
        <w:gridCol w:w="36"/>
        <w:gridCol w:w="36"/>
        <w:gridCol w:w="36"/>
        <w:gridCol w:w="36"/>
        <w:gridCol w:w="120"/>
        <w:gridCol w:w="1001"/>
        <w:gridCol w:w="36"/>
        <w:gridCol w:w="36"/>
        <w:gridCol w:w="36"/>
        <w:gridCol w:w="36"/>
        <w:gridCol w:w="36"/>
        <w:gridCol w:w="36"/>
        <w:gridCol w:w="36"/>
      </w:tblGrid>
      <w:tr w:rsidR="00000000">
        <w:trPr>
          <w:divId w:val="1711758090"/>
        </w:trPr>
        <w:tc>
          <w:tcPr>
            <w:tcW w:w="50" w:type="pct"/>
            <w:vAlign w:val="center"/>
            <w:hideMark/>
          </w:tcPr>
          <w:p w:rsidR="00000000" w:rsidRDefault="005B0BC3">
            <w:pPr>
              <w:rPr>
                <w:rFonts w:eastAsia="Times New Roman"/>
              </w:rPr>
            </w:pPr>
          </w:p>
        </w:tc>
        <w:tc>
          <w:tcPr>
            <w:tcW w:w="346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6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6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711758090"/>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711758090"/>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711758090"/>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December 31,</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711758090"/>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5B0BC3">
            <w:pPr>
              <w:spacing w:after="100"/>
              <w:jc w:val="center"/>
              <w:rPr>
                <w:rFonts w:eastAsia="Times New Roman"/>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711758090"/>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billions)</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711758090"/>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In-force face amount by product: (1)</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711758090"/>
        </w:trPr>
        <w:tc>
          <w:tcPr>
            <w:tcW w:w="0" w:type="auto"/>
            <w:gridSpan w:val="3"/>
            <w:shd w:val="clear" w:color="auto" w:fill="CCEEFF"/>
            <w:tcMar>
              <w:top w:w="30" w:type="dxa"/>
              <w:left w:w="20" w:type="dxa"/>
              <w:bottom w:w="30" w:type="dxa"/>
              <w:right w:w="20" w:type="dxa"/>
            </w:tcMar>
            <w:hideMark/>
          </w:tcPr>
          <w:p w:rsidR="00000000" w:rsidRDefault="005B0BC3">
            <w:pPr>
              <w:spacing w:after="100"/>
              <w:divId w:val="1923293645"/>
              <w:rPr>
                <w:rFonts w:eastAsia="Times New Roman"/>
              </w:rPr>
            </w:pPr>
            <w:r>
              <w:rPr>
                <w:rFonts w:eastAsia="Times New Roman"/>
                <w:color w:val="000000"/>
                <w:sz w:val="20"/>
                <w:szCs w:val="20"/>
              </w:rPr>
              <w:t>Universal Life (2)</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48.7 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711758090"/>
        </w:trPr>
        <w:tc>
          <w:tcPr>
            <w:tcW w:w="0" w:type="auto"/>
            <w:gridSpan w:val="3"/>
            <w:shd w:val="clear" w:color="auto" w:fill="FFFFFF"/>
            <w:tcMar>
              <w:top w:w="30" w:type="dxa"/>
              <w:left w:w="20" w:type="dxa"/>
              <w:bottom w:w="30" w:type="dxa"/>
              <w:right w:w="20" w:type="dxa"/>
            </w:tcMar>
            <w:hideMark/>
          </w:tcPr>
          <w:p w:rsidR="00000000" w:rsidRDefault="005B0BC3">
            <w:pPr>
              <w:spacing w:after="100"/>
              <w:divId w:val="1173646025"/>
              <w:rPr>
                <w:rFonts w:eastAsia="Times New Roman"/>
              </w:rPr>
            </w:pPr>
            <w:r>
              <w:rPr>
                <w:rFonts w:eastAsia="Times New Roman"/>
                <w:color w:val="000000"/>
                <w:sz w:val="20"/>
                <w:szCs w:val="20"/>
              </w:rPr>
              <w:t>Indexed Universal Life</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27.7 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711758090"/>
        </w:trPr>
        <w:tc>
          <w:tcPr>
            <w:tcW w:w="0" w:type="auto"/>
            <w:gridSpan w:val="3"/>
            <w:shd w:val="clear" w:color="auto" w:fill="CCEEFF"/>
            <w:tcMar>
              <w:top w:w="30" w:type="dxa"/>
              <w:left w:w="20" w:type="dxa"/>
              <w:bottom w:w="30" w:type="dxa"/>
              <w:right w:w="20" w:type="dxa"/>
            </w:tcMar>
            <w:hideMark/>
          </w:tcPr>
          <w:p w:rsidR="00000000" w:rsidRDefault="005B0BC3">
            <w:pPr>
              <w:spacing w:after="100"/>
              <w:divId w:val="1221673432"/>
              <w:rPr>
                <w:rFonts w:eastAsia="Times New Roman"/>
              </w:rPr>
            </w:pPr>
            <w:r>
              <w:rPr>
                <w:rFonts w:eastAsia="Times New Roman"/>
                <w:color w:val="000000"/>
                <w:sz w:val="20"/>
                <w:szCs w:val="20"/>
              </w:rPr>
              <w:t>Variable Universal Life (3)</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132.8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127.7 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711758090"/>
        </w:trPr>
        <w:tc>
          <w:tcPr>
            <w:tcW w:w="0" w:type="auto"/>
            <w:gridSpan w:val="3"/>
            <w:shd w:val="clear" w:color="auto" w:fill="FFFFFF"/>
            <w:tcMar>
              <w:top w:w="30" w:type="dxa"/>
              <w:left w:w="20" w:type="dxa"/>
              <w:bottom w:w="30" w:type="dxa"/>
              <w:right w:w="20" w:type="dxa"/>
            </w:tcMar>
            <w:hideMark/>
          </w:tcPr>
          <w:p w:rsidR="00000000" w:rsidRDefault="005B0BC3">
            <w:pPr>
              <w:spacing w:after="100"/>
              <w:divId w:val="166604012"/>
              <w:rPr>
                <w:rFonts w:eastAsia="Times New Roman"/>
              </w:rPr>
            </w:pPr>
            <w:r>
              <w:rPr>
                <w:rFonts w:eastAsia="Times New Roman"/>
                <w:color w:val="000000"/>
                <w:sz w:val="20"/>
                <w:szCs w:val="20"/>
              </w:rPr>
              <w:t xml:space="preserve">Term </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215.4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215.2 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711758090"/>
        </w:trPr>
        <w:tc>
          <w:tcPr>
            <w:tcW w:w="0" w:type="auto"/>
            <w:gridSpan w:val="3"/>
            <w:shd w:val="clear" w:color="auto" w:fill="CCEEFF"/>
            <w:tcMar>
              <w:top w:w="30" w:type="dxa"/>
              <w:left w:w="20" w:type="dxa"/>
              <w:bottom w:w="30" w:type="dxa"/>
              <w:right w:w="20" w:type="dxa"/>
            </w:tcMar>
            <w:hideMark/>
          </w:tcPr>
          <w:p w:rsidR="00000000" w:rsidRDefault="005B0BC3">
            <w:pPr>
              <w:spacing w:after="100"/>
              <w:divId w:val="2006009895"/>
              <w:rPr>
                <w:rFonts w:eastAsia="Times New Roman"/>
              </w:rPr>
            </w:pPr>
            <w:r>
              <w:rPr>
                <w:rFonts w:eastAsia="Times New Roman"/>
                <w:color w:val="000000"/>
                <w:sz w:val="20"/>
                <w:szCs w:val="20"/>
              </w:rPr>
              <w:t>Whole Life</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711758090"/>
        </w:trPr>
        <w:tc>
          <w:tcPr>
            <w:tcW w:w="0" w:type="auto"/>
            <w:gridSpan w:val="3"/>
            <w:shd w:val="clear" w:color="auto" w:fill="FFFFFF"/>
            <w:tcMar>
              <w:top w:w="30" w:type="dxa"/>
              <w:left w:w="14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Total in-force face amount</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423.2</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420.6 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bl>
    <w:p w:rsidR="00000000" w:rsidRDefault="005B0BC3">
      <w:pPr>
        <w:ind w:hanging="360"/>
        <w:divId w:val="872573139"/>
        <w:rPr>
          <w:rFonts w:eastAsia="Times New Roman"/>
        </w:rPr>
      </w:pPr>
      <w:r>
        <w:rPr>
          <w:rFonts w:eastAsia="Times New Roman"/>
          <w:color w:val="000000"/>
          <w:sz w:val="18"/>
          <w:szCs w:val="18"/>
        </w:rPr>
        <w:t>_______________</w:t>
      </w:r>
    </w:p>
    <w:p w:rsidR="00000000" w:rsidRDefault="005B0BC3">
      <w:pPr>
        <w:ind w:hanging="360"/>
        <w:divId w:val="109249382"/>
        <w:rPr>
          <w:rFonts w:eastAsia="Times New Roman"/>
        </w:rPr>
      </w:pPr>
      <w:r>
        <w:rPr>
          <w:rFonts w:eastAsia="Times New Roman"/>
          <w:color w:val="000000"/>
          <w:sz w:val="18"/>
          <w:szCs w:val="18"/>
        </w:rPr>
        <w:t>(1)</w:t>
      </w:r>
      <w:r>
        <w:rPr>
          <w:rFonts w:eastAsia="Times New Roman"/>
          <w:color w:val="000000"/>
          <w:sz w:val="18"/>
          <w:szCs w:val="18"/>
        </w:rPr>
        <w:t>Includes individual life insurance and does not include employee benefits as it is a start-up business and therefore has immaterial in-force policies.</w:t>
      </w:r>
    </w:p>
    <w:p w:rsidR="00000000" w:rsidRDefault="005B0BC3">
      <w:pPr>
        <w:ind w:hanging="360"/>
        <w:divId w:val="1533612923"/>
        <w:rPr>
          <w:rFonts w:eastAsia="Times New Roman"/>
        </w:rPr>
      </w:pPr>
      <w:r>
        <w:rPr>
          <w:rFonts w:eastAsia="Times New Roman"/>
          <w:color w:val="000000"/>
          <w:sz w:val="18"/>
          <w:szCs w:val="18"/>
        </w:rPr>
        <w:t>(2)UL includes GUL.</w:t>
      </w:r>
    </w:p>
    <w:p w:rsidR="00000000" w:rsidRDefault="005B0BC3">
      <w:pPr>
        <w:ind w:hanging="360"/>
        <w:divId w:val="1522206789"/>
        <w:rPr>
          <w:rFonts w:eastAsia="Times New Roman"/>
        </w:rPr>
      </w:pPr>
      <w:r>
        <w:rPr>
          <w:rFonts w:eastAsia="Times New Roman"/>
          <w:color w:val="000000"/>
          <w:sz w:val="18"/>
          <w:szCs w:val="18"/>
        </w:rPr>
        <w:t>(3)VUL includes VL and COLI.</w:t>
      </w:r>
    </w:p>
    <w:p w:rsidR="00000000" w:rsidRDefault="005B0BC3">
      <w:pPr>
        <w:divId w:val="1268732608"/>
        <w:rPr>
          <w:rFonts w:eastAsia="Times New Roman"/>
        </w:rPr>
      </w:pPr>
      <w:r>
        <w:rPr>
          <w:rFonts w:eastAsia="Times New Roman"/>
          <w:b/>
          <w:bCs/>
          <w:color w:val="000000"/>
          <w:sz w:val="20"/>
          <w:szCs w:val="20"/>
        </w:rPr>
        <w:t xml:space="preserve">Year Ended December 31, 2021 Compared to the Year Ended </w:t>
      </w:r>
      <w:r>
        <w:rPr>
          <w:rFonts w:eastAsia="Times New Roman"/>
          <w:b/>
          <w:bCs/>
          <w:color w:val="000000"/>
          <w:sz w:val="20"/>
          <w:szCs w:val="20"/>
        </w:rPr>
        <w:t>December 31, 2020 for the Protection Solutions Segment</w:t>
      </w:r>
    </w:p>
    <w:p w:rsidR="00000000" w:rsidRDefault="005B0BC3">
      <w:pPr>
        <w:jc w:val="both"/>
        <w:divId w:val="553737418"/>
        <w:rPr>
          <w:rFonts w:eastAsia="Times New Roman"/>
        </w:rPr>
      </w:pPr>
      <w:r>
        <w:rPr>
          <w:rFonts w:eastAsia="Times New Roman"/>
          <w:b/>
          <w:bCs/>
          <w:i/>
          <w:iCs/>
          <w:color w:val="000000"/>
          <w:sz w:val="20"/>
          <w:szCs w:val="20"/>
          <w:shd w:val="clear" w:color="auto" w:fill="FFFFFF"/>
        </w:rPr>
        <w:t>Operating earnings</w:t>
      </w:r>
    </w:p>
    <w:p w:rsidR="00000000" w:rsidRDefault="005B0BC3">
      <w:pPr>
        <w:ind w:firstLine="360"/>
        <w:divId w:val="1550992602"/>
        <w:rPr>
          <w:rFonts w:eastAsia="Times New Roman"/>
        </w:rPr>
      </w:pPr>
      <w:r>
        <w:rPr>
          <w:rFonts w:eastAsia="Times New Roman"/>
          <w:color w:val="000000"/>
          <w:sz w:val="20"/>
          <w:szCs w:val="20"/>
          <w:shd w:val="clear" w:color="auto" w:fill="FFFFFF"/>
        </w:rPr>
        <w:t>Operating earnings increased $171 million to $317 million during the year ended December 31, 2021 from $146 million in the year ended December 31, 2020. The following notable items w</w:t>
      </w:r>
      <w:r>
        <w:rPr>
          <w:rFonts w:eastAsia="Times New Roman"/>
          <w:color w:val="000000"/>
          <w:sz w:val="20"/>
          <w:szCs w:val="20"/>
          <w:shd w:val="clear" w:color="auto" w:fill="FFFFFF"/>
        </w:rPr>
        <w:t>ere the primary drivers of the change in operating earnings:</w:t>
      </w:r>
    </w:p>
    <w:p w:rsidR="00000000" w:rsidRDefault="005B0BC3">
      <w:pPr>
        <w:divId w:val="2093355919"/>
        <w:rPr>
          <w:rFonts w:eastAsia="Times New Roman"/>
        </w:rPr>
      </w:pPr>
      <w:r>
        <w:rPr>
          <w:rFonts w:eastAsia="Times New Roman"/>
          <w:color w:val="000000"/>
          <w:sz w:val="20"/>
          <w:szCs w:val="20"/>
          <w:shd w:val="clear" w:color="auto" w:fill="FFFFFF"/>
        </w:rPr>
        <w:t>Favorable items included:</w:t>
      </w:r>
    </w:p>
    <w:p w:rsidR="00000000" w:rsidRDefault="005B0BC3">
      <w:pPr>
        <w:ind w:hanging="270"/>
        <w:divId w:val="1791127685"/>
        <w:rPr>
          <w:rFonts w:eastAsia="Times New Roman"/>
        </w:rPr>
      </w:pPr>
      <w:r>
        <w:rPr>
          <w:rFonts w:eastAsia="Times New Roman"/>
          <w:color w:val="000000"/>
          <w:sz w:val="20"/>
          <w:szCs w:val="20"/>
          <w:shd w:val="clear" w:color="auto" w:fill="FFFFFF"/>
        </w:rPr>
        <w:t>•Net investment income increased by $158 million mainly due to higher income from our alternative investment portfolio, higher average assets balances, prepayments and G</w:t>
      </w:r>
      <w:r>
        <w:rPr>
          <w:rFonts w:eastAsia="Times New Roman"/>
          <w:color w:val="000000"/>
          <w:sz w:val="20"/>
          <w:szCs w:val="20"/>
          <w:shd w:val="clear" w:color="auto" w:fill="FFFFFF"/>
        </w:rPr>
        <w:t xml:space="preserve">eneral Account portfolio optimization. </w:t>
      </w:r>
    </w:p>
    <w:p w:rsidR="00000000" w:rsidRDefault="005B0BC3">
      <w:pPr>
        <w:ind w:hanging="270"/>
        <w:divId w:val="1267807170"/>
        <w:rPr>
          <w:rFonts w:eastAsia="Times New Roman"/>
        </w:rPr>
      </w:pPr>
      <w:r>
        <w:rPr>
          <w:rFonts w:eastAsia="Times New Roman"/>
          <w:color w:val="000000"/>
          <w:sz w:val="20"/>
          <w:szCs w:val="20"/>
        </w:rPr>
        <w:t xml:space="preserve">•Fee-type revenue increased by $81 million mainly driven by higher premiums due to growth in Employee Benefits and higher investment management and service fees. </w:t>
      </w:r>
    </w:p>
    <w:p w:rsidR="00000000" w:rsidRDefault="005B0BC3">
      <w:pPr>
        <w:ind w:hanging="270"/>
        <w:jc w:val="both"/>
        <w:divId w:val="916553323"/>
        <w:rPr>
          <w:rFonts w:eastAsia="Times New Roman"/>
        </w:rPr>
      </w:pPr>
      <w:r>
        <w:rPr>
          <w:rFonts w:eastAsia="Times New Roman"/>
          <w:color w:val="000000"/>
          <w:sz w:val="20"/>
          <w:szCs w:val="20"/>
        </w:rPr>
        <w:t>•Policyholders’ benefits decreased by $25 million mai</w:t>
      </w:r>
      <w:r>
        <w:rPr>
          <w:rFonts w:eastAsia="Times New Roman"/>
          <w:color w:val="000000"/>
          <w:sz w:val="20"/>
          <w:szCs w:val="20"/>
        </w:rPr>
        <w:t>nly due to a favorable assumption update, and lower claims on traditional products due to the sale of the USFL and MLICA blocks in April 2020, offset by unfavorable mortality driven by COVID-19 claims and older block claims. Employee Benefits’ reserves con</w:t>
      </w:r>
      <w:r>
        <w:rPr>
          <w:rFonts w:eastAsia="Times New Roman"/>
          <w:color w:val="000000"/>
          <w:sz w:val="20"/>
          <w:szCs w:val="20"/>
        </w:rPr>
        <w:t xml:space="preserve">tinue to grow in line with the block size. </w:t>
      </w:r>
    </w:p>
    <w:p w:rsidR="00000000" w:rsidRDefault="005B0BC3">
      <w:pPr>
        <w:ind w:firstLine="90"/>
        <w:divId w:val="107821525"/>
        <w:rPr>
          <w:rFonts w:eastAsia="Times New Roman"/>
        </w:rPr>
      </w:pPr>
      <w:r>
        <w:rPr>
          <w:rFonts w:eastAsia="Times New Roman"/>
          <w:color w:val="000000"/>
          <w:sz w:val="20"/>
          <w:szCs w:val="20"/>
          <w:shd w:val="clear" w:color="auto" w:fill="FFFFFF"/>
        </w:rPr>
        <w:t>These were partially offset by the following unfavorable items:</w:t>
      </w:r>
    </w:p>
    <w:p w:rsidR="00000000" w:rsidRDefault="005B0BC3">
      <w:pPr>
        <w:ind w:hanging="270"/>
        <w:divId w:val="950472268"/>
        <w:rPr>
          <w:rFonts w:eastAsia="Times New Roman"/>
        </w:rPr>
      </w:pPr>
      <w:r>
        <w:rPr>
          <w:rFonts w:eastAsia="Times New Roman"/>
          <w:color w:val="000000"/>
          <w:sz w:val="20"/>
          <w:szCs w:val="20"/>
          <w:shd w:val="clear" w:color="auto" w:fill="FFFFFF"/>
        </w:rPr>
        <w:t>•Net derivative gains decreased by $25 million mainly due to inflation related hedging loss offset on TIPS in the General Account.</w:t>
      </w:r>
    </w:p>
    <w:p w:rsidR="00000000" w:rsidRDefault="005B0BC3">
      <w:pPr>
        <w:ind w:hanging="270"/>
        <w:divId w:val="21444191"/>
        <w:rPr>
          <w:rFonts w:eastAsia="Times New Roman"/>
        </w:rPr>
      </w:pPr>
      <w:r>
        <w:rPr>
          <w:rFonts w:eastAsia="Times New Roman"/>
          <w:color w:val="000000"/>
          <w:sz w:val="20"/>
          <w:szCs w:val="20"/>
        </w:rPr>
        <w:t xml:space="preserve">•Commissions and </w:t>
      </w:r>
      <w:r>
        <w:rPr>
          <w:rFonts w:eastAsia="Times New Roman"/>
          <w:color w:val="000000"/>
          <w:sz w:val="20"/>
          <w:szCs w:val="20"/>
        </w:rPr>
        <w:t>distribution-related payments increased by $10 million mainly due to higher sales.</w:t>
      </w:r>
    </w:p>
    <w:p w:rsidR="00000000" w:rsidRDefault="005B0BC3">
      <w:pPr>
        <w:ind w:hanging="270"/>
        <w:divId w:val="2090153761"/>
        <w:rPr>
          <w:rFonts w:eastAsia="Times New Roman"/>
        </w:rPr>
      </w:pPr>
      <w:r>
        <w:rPr>
          <w:rFonts w:eastAsia="Times New Roman"/>
          <w:color w:val="000000"/>
          <w:sz w:val="20"/>
          <w:szCs w:val="20"/>
        </w:rPr>
        <w:t>•Amortization of DAC increased by $9 million mainly due to more favorable model &amp; assumption updates in 2020 vs 2021, offset by lower VISL baseline amortization following th</w:t>
      </w:r>
      <w:r>
        <w:rPr>
          <w:rFonts w:eastAsia="Times New Roman"/>
          <w:color w:val="000000"/>
          <w:sz w:val="20"/>
          <w:szCs w:val="20"/>
        </w:rPr>
        <w:t>e DAC write-off in first half of 2020.</w:t>
      </w:r>
    </w:p>
    <w:p w:rsidR="00000000" w:rsidRDefault="005B0BC3">
      <w:pPr>
        <w:ind w:hanging="270"/>
        <w:jc w:val="both"/>
        <w:divId w:val="1942452578"/>
        <w:rPr>
          <w:rFonts w:eastAsia="Times New Roman"/>
        </w:rPr>
      </w:pPr>
      <w:r>
        <w:rPr>
          <w:rFonts w:eastAsia="Times New Roman"/>
          <w:color w:val="000000"/>
          <w:sz w:val="20"/>
          <w:szCs w:val="20"/>
          <w:shd w:val="clear" w:color="auto" w:fill="FFFFFF"/>
        </w:rPr>
        <w:t>•Income tax expense increased by $39 million primarily due to higher pre-tax earnings.</w:t>
      </w:r>
    </w:p>
    <w:p w:rsidR="00000000" w:rsidRDefault="005B0BC3">
      <w:pPr>
        <w:ind w:firstLine="360"/>
        <w:divId w:val="1225212587"/>
        <w:rPr>
          <w:rFonts w:eastAsia="Times New Roman"/>
        </w:rPr>
      </w:pPr>
      <w:r>
        <w:rPr>
          <w:rFonts w:eastAsia="Times New Roman"/>
          <w:b/>
          <w:bCs/>
          <w:color w:val="000000"/>
          <w:sz w:val="20"/>
          <w:szCs w:val="20"/>
        </w:rPr>
        <w:t>Year Ended December 31, 2020 Compared to the Year Ended December 31, 2019 for the Protection Solutions Segment</w:t>
      </w:r>
    </w:p>
    <w:p w:rsidR="00000000" w:rsidRDefault="005B0BC3">
      <w:pPr>
        <w:ind w:firstLine="360"/>
        <w:divId w:val="719130020"/>
        <w:rPr>
          <w:rFonts w:eastAsia="Times New Roman"/>
        </w:rPr>
      </w:pPr>
      <w:r>
        <w:rPr>
          <w:rFonts w:eastAsia="Times New Roman"/>
          <w:color w:val="000000"/>
          <w:sz w:val="20"/>
          <w:szCs w:val="20"/>
        </w:rPr>
        <w:t>For discussion that</w:t>
      </w:r>
      <w:r>
        <w:rPr>
          <w:rFonts w:eastAsia="Times New Roman"/>
          <w:color w:val="000000"/>
          <w:sz w:val="20"/>
          <w:szCs w:val="20"/>
        </w:rPr>
        <w:t xml:space="preserve"> compares results for the year ended December 31, 2020 to the year ended December 31, 2019 refer to the MD&amp;A section in our 2020 Form 10-K.</w:t>
      </w:r>
    </w:p>
    <w:p w:rsidR="00000000" w:rsidRDefault="005B0BC3">
      <w:pPr>
        <w:jc w:val="center"/>
        <w:divId w:val="1298343087"/>
        <w:rPr>
          <w:rFonts w:eastAsia="Times New Roman"/>
        </w:rPr>
      </w:pPr>
      <w:r>
        <w:rPr>
          <w:rFonts w:eastAsia="Times New Roman"/>
          <w:color w:val="000000"/>
          <w:sz w:val="20"/>
          <w:szCs w:val="20"/>
        </w:rPr>
        <w:t>98</w:t>
      </w:r>
    </w:p>
    <w:p w:rsidR="00000000" w:rsidRDefault="005B0BC3">
      <w:pPr>
        <w:rPr>
          <w:rFonts w:eastAsia="Times New Roman"/>
        </w:rPr>
      </w:pPr>
      <w:r>
        <w:rPr>
          <w:rFonts w:eastAsia="Times New Roman"/>
        </w:rPr>
        <w:pict>
          <v:rect id="_x0000_i1136" style="width:0;height:1.5pt" o:hralign="center" o:hrstd="t" o:hr="t" fillcolor="#a0a0a0" stroked="f"/>
        </w:pict>
      </w:r>
    </w:p>
    <w:p w:rsidR="00000000" w:rsidRDefault="005B0BC3">
      <w:pPr>
        <w:divId w:val="1103846761"/>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divId w:val="321157765"/>
        <w:rPr>
          <w:rFonts w:eastAsia="Times New Roman"/>
        </w:rPr>
      </w:pPr>
      <w:r>
        <w:rPr>
          <w:rFonts w:eastAsia="Times New Roman"/>
          <w:b/>
          <w:bCs/>
          <w:color w:val="000000"/>
          <w:sz w:val="20"/>
          <w:szCs w:val="20"/>
        </w:rPr>
        <w:t>Corporate and Other</w:t>
      </w:r>
    </w:p>
    <w:p w:rsidR="00000000" w:rsidRDefault="005B0BC3">
      <w:pPr>
        <w:ind w:firstLine="360"/>
        <w:divId w:val="2098405451"/>
        <w:rPr>
          <w:rFonts w:eastAsia="Times New Roman"/>
        </w:rPr>
      </w:pPr>
      <w:r>
        <w:rPr>
          <w:rFonts w:eastAsia="Times New Roman"/>
          <w:color w:val="000000"/>
          <w:sz w:val="20"/>
          <w:szCs w:val="20"/>
        </w:rPr>
        <w:t>Corporate and Other includes some of our financing and investment expenses. It also includes: Equitable Advisors broker-dealer business, the Closed Block, run-off variable annuity reinsurance business, run-off group pe</w:t>
      </w:r>
      <w:r>
        <w:rPr>
          <w:rFonts w:eastAsia="Times New Roman"/>
          <w:color w:val="000000"/>
          <w:sz w:val="20"/>
          <w:szCs w:val="20"/>
        </w:rPr>
        <w:t>nsion business, run-off health business, benefit plans for our employees, certain strategic investments and certain unallocated items, including capital and related investments, interest expense and financing fees and corporate expense. AB’s results of ope</w:t>
      </w:r>
      <w:r>
        <w:rPr>
          <w:rFonts w:eastAsia="Times New Roman"/>
          <w:color w:val="000000"/>
          <w:sz w:val="20"/>
          <w:szCs w:val="20"/>
        </w:rPr>
        <w:t>rations are reflected in the Investment Management and Research segment. Accordingly, Corporate and Other does not include any items applicable to AB.</w:t>
      </w:r>
    </w:p>
    <w:p w:rsidR="00000000" w:rsidRDefault="005B0BC3">
      <w:pPr>
        <w:ind w:firstLine="360"/>
        <w:divId w:val="2079470829"/>
        <w:rPr>
          <w:rFonts w:eastAsia="Times New Roman"/>
        </w:rPr>
      </w:pPr>
      <w:r>
        <w:rPr>
          <w:rFonts w:eastAsia="Times New Roman"/>
          <w:color w:val="000000"/>
          <w:sz w:val="20"/>
          <w:szCs w:val="20"/>
        </w:rPr>
        <w:t>The following table summarizes operating earnings (loss) of Corporate and Other for the periods presented</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7"/>
        <w:gridCol w:w="5169"/>
        <w:gridCol w:w="36"/>
        <w:gridCol w:w="36"/>
        <w:gridCol w:w="36"/>
        <w:gridCol w:w="36"/>
        <w:gridCol w:w="120"/>
        <w:gridCol w:w="724"/>
        <w:gridCol w:w="36"/>
        <w:gridCol w:w="36"/>
        <w:gridCol w:w="36"/>
        <w:gridCol w:w="36"/>
        <w:gridCol w:w="120"/>
        <w:gridCol w:w="683"/>
        <w:gridCol w:w="36"/>
        <w:gridCol w:w="36"/>
        <w:gridCol w:w="36"/>
        <w:gridCol w:w="36"/>
        <w:gridCol w:w="120"/>
        <w:gridCol w:w="865"/>
        <w:gridCol w:w="36"/>
      </w:tblGrid>
      <w:tr w:rsidR="00000000">
        <w:trPr>
          <w:divId w:val="1994138188"/>
        </w:trPr>
        <w:tc>
          <w:tcPr>
            <w:tcW w:w="50" w:type="pct"/>
            <w:vAlign w:val="center"/>
            <w:hideMark/>
          </w:tcPr>
          <w:p w:rsidR="00000000" w:rsidRDefault="005B0BC3">
            <w:pPr>
              <w:ind w:firstLine="360"/>
              <w:rPr>
                <w:rFonts w:eastAsia="Times New Roman"/>
              </w:rPr>
            </w:pPr>
          </w:p>
        </w:tc>
        <w:tc>
          <w:tcPr>
            <w:tcW w:w="318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7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7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8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994138188"/>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994138188"/>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1994138188"/>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5"/>
            <w:tcBorders>
              <w:top w:val="single" w:sz="4" w:space="0" w:color="000000"/>
            </w:tcBorders>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1994138188"/>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Operating earnings (loss)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(131)</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(303)</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(348)</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divId w:val="1590239508"/>
        <w:rPr>
          <w:rFonts w:eastAsia="Times New Roman"/>
        </w:rPr>
      </w:pPr>
      <w:r>
        <w:rPr>
          <w:rFonts w:eastAsia="Times New Roman"/>
          <w:b/>
          <w:bCs/>
          <w:color w:val="000000"/>
          <w:sz w:val="20"/>
          <w:szCs w:val="20"/>
        </w:rPr>
        <w:t>General Account Investment Portfolio</w:t>
      </w:r>
    </w:p>
    <w:p w:rsidR="00000000" w:rsidRDefault="005B0BC3">
      <w:pPr>
        <w:ind w:firstLine="360"/>
        <w:divId w:val="2105803038"/>
        <w:rPr>
          <w:rFonts w:eastAsia="Times New Roman"/>
        </w:rPr>
      </w:pPr>
      <w:r>
        <w:rPr>
          <w:rFonts w:eastAsia="Times New Roman"/>
          <w:color w:val="000000"/>
          <w:sz w:val="20"/>
          <w:szCs w:val="20"/>
        </w:rPr>
        <w:t>The General Account investment portfolio supports the insurance and annuity liabilities of our Individual Retirement, Group Retirement and Pro</w:t>
      </w:r>
      <w:r>
        <w:rPr>
          <w:rFonts w:eastAsia="Times New Roman"/>
          <w:color w:val="000000"/>
          <w:sz w:val="20"/>
          <w:szCs w:val="20"/>
        </w:rPr>
        <w:t>tection Solutions businesses. Our General Account investment portfolio investment strategy seeks to achieve sustainable risk-adjusted returns by focusing on principal preservation, investment return, duration and liquidity requirements by product class and</w:t>
      </w:r>
      <w:r>
        <w:rPr>
          <w:rFonts w:eastAsia="Times New Roman"/>
          <w:color w:val="000000"/>
          <w:sz w:val="20"/>
          <w:szCs w:val="20"/>
        </w:rPr>
        <w:t xml:space="preserve"> the diversification of risks. Investment activities are undertaken according to investment policy statements that contain internally established guidelines and are required to comply with applicable laws and insurance regulations. Risk tolerances are esta</w:t>
      </w:r>
      <w:r>
        <w:rPr>
          <w:rFonts w:eastAsia="Times New Roman"/>
          <w:color w:val="000000"/>
          <w:sz w:val="20"/>
          <w:szCs w:val="20"/>
        </w:rPr>
        <w:t>blished for credit risk, market risk, liquidity risk and concentration risk across types of issuers and asset classes that seek to mitigate the impact of cash flow variability arising from these risks. The impact of COVID-19 continues to be assessed for po</w:t>
      </w:r>
      <w:r>
        <w:rPr>
          <w:rFonts w:eastAsia="Times New Roman"/>
          <w:color w:val="000000"/>
          <w:sz w:val="20"/>
          <w:szCs w:val="20"/>
        </w:rPr>
        <w:t>tential negative impacts to the performance of mortgage loans and fixed maturities.</w:t>
      </w:r>
    </w:p>
    <w:p w:rsidR="00000000" w:rsidRDefault="005B0BC3">
      <w:pPr>
        <w:ind w:firstLine="360"/>
        <w:divId w:val="1462960938"/>
        <w:rPr>
          <w:rFonts w:eastAsia="Times New Roman"/>
        </w:rPr>
      </w:pPr>
      <w:r>
        <w:rPr>
          <w:rFonts w:eastAsia="Times New Roman"/>
          <w:color w:val="000000"/>
          <w:sz w:val="20"/>
          <w:szCs w:val="20"/>
        </w:rPr>
        <w:t>The General Account investment portfolio consists largely of investment grade fixed maturities, short-term investments, commercial and agricultural mortgage loans, alternat</w:t>
      </w:r>
      <w:r>
        <w:rPr>
          <w:rFonts w:eastAsia="Times New Roman"/>
          <w:color w:val="000000"/>
          <w:sz w:val="20"/>
          <w:szCs w:val="20"/>
        </w:rPr>
        <w:t>ive investments and other financial instruments. Fixed maturities include publicly issued corporate bonds, government bonds, privately placed notes and bonds, bonds issued by states and municipalities, mortgage-backed securities and asset-backed securities</w:t>
      </w:r>
      <w:r>
        <w:rPr>
          <w:rFonts w:eastAsia="Times New Roman"/>
          <w:color w:val="000000"/>
          <w:sz w:val="20"/>
          <w:szCs w:val="20"/>
        </w:rPr>
        <w:t>. The General Account investment portfolio also includes credit derivatives to replicate exposure to individual securities or pools of securities as a means of achieving credit exposure similar to bonds of the underlying issuer(s) more efficiently. In addi</w:t>
      </w:r>
      <w:r>
        <w:rPr>
          <w:rFonts w:eastAsia="Times New Roman"/>
          <w:color w:val="000000"/>
          <w:sz w:val="20"/>
          <w:szCs w:val="20"/>
        </w:rPr>
        <w:t xml:space="preserve">tion, from time to time we use derivatives for hedging purposes to reduce our exposure to equity markets, interest rates and credit spreads. As part of a yield enhancement strategy, the General Account has diversified into more asset and sub-asset classes </w:t>
      </w:r>
      <w:r>
        <w:rPr>
          <w:rFonts w:eastAsia="Times New Roman"/>
          <w:color w:val="000000"/>
          <w:sz w:val="20"/>
          <w:szCs w:val="20"/>
        </w:rPr>
        <w:t xml:space="preserve">including higher yielding commercial mortgage investments. </w:t>
      </w:r>
    </w:p>
    <w:p w:rsidR="00000000" w:rsidRDefault="005B0BC3">
      <w:pPr>
        <w:ind w:firstLine="360"/>
        <w:divId w:val="1572541604"/>
        <w:rPr>
          <w:rFonts w:eastAsia="Times New Roman"/>
        </w:rPr>
      </w:pPr>
      <w:r>
        <w:rPr>
          <w:rFonts w:eastAsia="Times New Roman"/>
          <w:color w:val="000000"/>
          <w:sz w:val="20"/>
          <w:szCs w:val="20"/>
        </w:rPr>
        <w:t>As part of our asset and liability management strategies, we maintain a weighted average duration for our General Account investment portfolio that is within an acceptable range of the estimated d</w:t>
      </w:r>
      <w:r>
        <w:rPr>
          <w:rFonts w:eastAsia="Times New Roman"/>
          <w:color w:val="000000"/>
          <w:sz w:val="20"/>
          <w:szCs w:val="20"/>
        </w:rPr>
        <w:t xml:space="preserve">uration of our liabilities given our risk appetite and hedging programs. </w:t>
      </w:r>
    </w:p>
    <w:p w:rsidR="00000000" w:rsidRDefault="005B0BC3">
      <w:pPr>
        <w:ind w:firstLine="360"/>
        <w:divId w:val="1771778946"/>
        <w:rPr>
          <w:rFonts w:eastAsia="Times New Roman"/>
        </w:rPr>
      </w:pPr>
      <w:r>
        <w:rPr>
          <w:rFonts w:eastAsia="Times New Roman"/>
          <w:color w:val="000000"/>
          <w:sz w:val="20"/>
          <w:szCs w:val="20"/>
        </w:rPr>
        <w:t>Investment portfolios are primarily managed by legal entity with dedicated portfolios for certain blocks of business. For portfolios that back multiple product groups, investment res</w:t>
      </w:r>
      <w:r>
        <w:rPr>
          <w:rFonts w:eastAsia="Times New Roman"/>
          <w:color w:val="000000"/>
          <w:sz w:val="20"/>
          <w:szCs w:val="20"/>
        </w:rPr>
        <w:t>ults are allocated to business segments.</w:t>
      </w:r>
    </w:p>
    <w:p w:rsidR="00000000" w:rsidRDefault="005B0BC3">
      <w:pPr>
        <w:ind w:firstLine="360"/>
        <w:divId w:val="227955615"/>
        <w:rPr>
          <w:rFonts w:eastAsia="Times New Roman"/>
        </w:rPr>
      </w:pPr>
      <w:r>
        <w:rPr>
          <w:rFonts w:eastAsia="Times New Roman"/>
          <w:color w:val="000000"/>
          <w:sz w:val="20"/>
          <w:szCs w:val="20"/>
        </w:rPr>
        <w:t>Our investment philosophy is driven by our long-term commitments to clients, robust risk management and strategic asset allocation. In executing the activities of our General Account investment portfolio, we incorpo</w:t>
      </w:r>
      <w:r>
        <w:rPr>
          <w:rFonts w:eastAsia="Times New Roman"/>
          <w:color w:val="000000"/>
          <w:sz w:val="20"/>
          <w:szCs w:val="20"/>
        </w:rPr>
        <w:t>rate ESG factors into the investment processes for a significant portion of our portfolio. As investors with a long-term horizon, we believe that companies with sustainable practices are better positioned to deliver value to stakeholders over an extended p</w:t>
      </w:r>
      <w:r>
        <w:rPr>
          <w:rFonts w:eastAsia="Times New Roman"/>
          <w:color w:val="000000"/>
          <w:sz w:val="20"/>
          <w:szCs w:val="20"/>
        </w:rPr>
        <w:t xml:space="preserve">eriod, thereby enhancing the quality of our portfolio. These companies are more likely to increase sales through sustainable products, reduce energy costs and attract and retain talent. This belief underpins our approach to sustainable investing, where we </w:t>
      </w:r>
      <w:r>
        <w:rPr>
          <w:rFonts w:eastAsia="Times New Roman"/>
          <w:color w:val="000000"/>
          <w:sz w:val="20"/>
          <w:szCs w:val="20"/>
        </w:rPr>
        <w:t>seek to enhance the sustainability of our investment portfolio by integrating ESG factors into our investment decision process.</w:t>
      </w:r>
    </w:p>
    <w:p w:rsidR="00000000" w:rsidRDefault="005B0BC3">
      <w:pPr>
        <w:ind w:firstLine="360"/>
        <w:divId w:val="338626446"/>
        <w:rPr>
          <w:rFonts w:eastAsia="Times New Roman"/>
        </w:rPr>
      </w:pPr>
      <w:r>
        <w:rPr>
          <w:rFonts w:eastAsia="Times New Roman"/>
          <w:color w:val="000000"/>
          <w:sz w:val="20"/>
          <w:szCs w:val="20"/>
        </w:rPr>
        <w:t>The General Account investment portfolio reflects certain differences from the presentation of the U.S. GAAP Consolidated Financ</w:t>
      </w:r>
      <w:r>
        <w:rPr>
          <w:rFonts w:eastAsia="Times New Roman"/>
          <w:color w:val="000000"/>
          <w:sz w:val="20"/>
          <w:szCs w:val="20"/>
        </w:rPr>
        <w:t>ial Statements. This presentation is consistent with how we manage the General Account investment portfolio. For further investment information, please refer to Note 3 and Note 4 of the Notes to these Consolidated Financial Statements.</w:t>
      </w:r>
    </w:p>
    <w:p w:rsidR="00000000" w:rsidRDefault="005B0BC3">
      <w:pPr>
        <w:jc w:val="center"/>
        <w:divId w:val="1857887940"/>
        <w:rPr>
          <w:rFonts w:eastAsia="Times New Roman"/>
        </w:rPr>
      </w:pPr>
      <w:r>
        <w:rPr>
          <w:rFonts w:eastAsia="Times New Roman"/>
          <w:color w:val="000000"/>
          <w:sz w:val="20"/>
          <w:szCs w:val="20"/>
        </w:rPr>
        <w:t>99</w:t>
      </w:r>
    </w:p>
    <w:p w:rsidR="00000000" w:rsidRDefault="005B0BC3">
      <w:pPr>
        <w:rPr>
          <w:rFonts w:eastAsia="Times New Roman"/>
        </w:rPr>
      </w:pPr>
      <w:r>
        <w:rPr>
          <w:rFonts w:eastAsia="Times New Roman"/>
        </w:rPr>
        <w:pict>
          <v:rect id="_x0000_i1137" style="width:0;height:1.5pt" o:hralign="center" o:hrstd="t" o:hr="t" fillcolor="#a0a0a0" stroked="f"/>
        </w:pict>
      </w:r>
    </w:p>
    <w:p w:rsidR="00000000" w:rsidRDefault="005B0BC3">
      <w:pPr>
        <w:divId w:val="147133261"/>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jc w:val="both"/>
        <w:divId w:val="685139374"/>
        <w:rPr>
          <w:rFonts w:eastAsia="Times New Roman"/>
        </w:rPr>
      </w:pPr>
      <w:r>
        <w:rPr>
          <w:rFonts w:eastAsia="Times New Roman"/>
          <w:b/>
          <w:bCs/>
          <w:i/>
          <w:iCs/>
          <w:color w:val="000000"/>
          <w:sz w:val="20"/>
          <w:szCs w:val="20"/>
        </w:rPr>
        <w:t>Investment Results of the General Account Investment Portfolio</w:t>
      </w:r>
    </w:p>
    <w:p w:rsidR="00000000" w:rsidRDefault="005B0BC3">
      <w:pPr>
        <w:ind w:firstLine="360"/>
        <w:divId w:val="1703675185"/>
        <w:rPr>
          <w:rFonts w:eastAsia="Times New Roman"/>
        </w:rPr>
      </w:pPr>
      <w:r>
        <w:rPr>
          <w:rFonts w:eastAsia="Times New Roman"/>
          <w:color w:val="000000"/>
          <w:sz w:val="20"/>
          <w:szCs w:val="20"/>
        </w:rPr>
        <w:t>The following table summarizes the General Account investment portfolio results</w:t>
      </w:r>
      <w:r>
        <w:rPr>
          <w:rFonts w:eastAsia="Times New Roman"/>
          <w:color w:val="000000"/>
          <w:sz w:val="20"/>
          <w:szCs w:val="20"/>
        </w:rPr>
        <w:t xml:space="preserve"> with Non-GAAP Operating Earnings adjustments by asset category for the periods indicated. This presentation is consistent with how we measure investment performance for management purposes.</w:t>
      </w:r>
    </w:p>
    <w:tbl>
      <w:tblPr>
        <w:tblW w:w="4824" w:type="pct"/>
        <w:tblCellMar>
          <w:top w:w="15" w:type="dxa"/>
          <w:left w:w="15" w:type="dxa"/>
          <w:bottom w:w="15" w:type="dxa"/>
          <w:right w:w="15" w:type="dxa"/>
        </w:tblCellMar>
        <w:tblLook w:val="04A0" w:firstRow="1" w:lastRow="0" w:firstColumn="1" w:lastColumn="0" w:noHBand="0" w:noVBand="1"/>
      </w:tblPr>
      <w:tblGrid>
        <w:gridCol w:w="56"/>
        <w:gridCol w:w="4847"/>
        <w:gridCol w:w="36"/>
        <w:gridCol w:w="56"/>
        <w:gridCol w:w="603"/>
        <w:gridCol w:w="36"/>
        <w:gridCol w:w="36"/>
        <w:gridCol w:w="36"/>
        <w:gridCol w:w="36"/>
        <w:gridCol w:w="40"/>
        <w:gridCol w:w="617"/>
        <w:gridCol w:w="36"/>
        <w:gridCol w:w="36"/>
        <w:gridCol w:w="36"/>
        <w:gridCol w:w="36"/>
        <w:gridCol w:w="41"/>
        <w:gridCol w:w="604"/>
        <w:gridCol w:w="36"/>
        <w:gridCol w:w="36"/>
        <w:gridCol w:w="36"/>
        <w:gridCol w:w="36"/>
        <w:gridCol w:w="41"/>
        <w:gridCol w:w="605"/>
        <w:gridCol w:w="36"/>
      </w:tblGrid>
      <w:tr w:rsidR="00000000">
        <w:trPr>
          <w:divId w:val="1061445468"/>
        </w:trPr>
        <w:tc>
          <w:tcPr>
            <w:tcW w:w="50" w:type="pct"/>
            <w:vAlign w:val="center"/>
            <w:hideMark/>
          </w:tcPr>
          <w:p w:rsidR="00000000" w:rsidRDefault="005B0BC3">
            <w:pPr>
              <w:ind w:firstLine="360"/>
              <w:rPr>
                <w:rFonts w:eastAsia="Times New Roman"/>
              </w:rPr>
            </w:pPr>
          </w:p>
        </w:tc>
        <w:tc>
          <w:tcPr>
            <w:tcW w:w="303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9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9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9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9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061445468"/>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061445468"/>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061445468"/>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061445468"/>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061445468"/>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061445468"/>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061445468"/>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061445468"/>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061445468"/>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061445468"/>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061445468"/>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061445468"/>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061445468"/>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061445468"/>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061445468"/>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061445468"/>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061445468"/>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061445468"/>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061445468"/>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061445468"/>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061445468"/>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061445468"/>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061445468"/>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061445468"/>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061445468"/>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061445468"/>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061445468"/>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061445468"/>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061445468"/>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061445468"/>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061445468"/>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061445468"/>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061445468"/>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061445468"/>
          <w:trHeight w:val="60"/>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061445468"/>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bl>
    <w:tbl>
      <w:tblPr>
        <w:tblW w:w="4875" w:type="pct"/>
        <w:tblCellMar>
          <w:top w:w="15" w:type="dxa"/>
          <w:left w:w="15" w:type="dxa"/>
          <w:bottom w:w="15" w:type="dxa"/>
          <w:right w:w="15" w:type="dxa"/>
        </w:tblCellMar>
        <w:tblLook w:val="04A0" w:firstRow="1" w:lastRow="0" w:firstColumn="1" w:lastColumn="0" w:noHBand="0" w:noVBand="1"/>
      </w:tblPr>
      <w:tblGrid>
        <w:gridCol w:w="144"/>
        <w:gridCol w:w="3443"/>
        <w:gridCol w:w="144"/>
        <w:gridCol w:w="144"/>
        <w:gridCol w:w="626"/>
        <w:gridCol w:w="144"/>
        <w:gridCol w:w="144"/>
        <w:gridCol w:w="144"/>
        <w:gridCol w:w="144"/>
        <w:gridCol w:w="144"/>
        <w:gridCol w:w="651"/>
        <w:gridCol w:w="144"/>
        <w:gridCol w:w="144"/>
        <w:gridCol w:w="144"/>
        <w:gridCol w:w="144"/>
        <w:gridCol w:w="144"/>
        <w:gridCol w:w="602"/>
        <w:gridCol w:w="144"/>
        <w:gridCol w:w="144"/>
        <w:gridCol w:w="144"/>
        <w:gridCol w:w="144"/>
        <w:gridCol w:w="144"/>
        <w:gridCol w:w="626"/>
        <w:gridCol w:w="144"/>
        <w:gridCol w:w="144"/>
        <w:gridCol w:w="144"/>
        <w:gridCol w:w="144"/>
        <w:gridCol w:w="144"/>
        <w:gridCol w:w="589"/>
        <w:gridCol w:w="144"/>
        <w:gridCol w:w="144"/>
        <w:gridCol w:w="144"/>
        <w:gridCol w:w="144"/>
        <w:gridCol w:w="144"/>
        <w:gridCol w:w="639"/>
        <w:gridCol w:w="144"/>
      </w:tblGrid>
      <w:tr w:rsidR="00000000">
        <w:tc>
          <w:tcPr>
            <w:tcW w:w="50" w:type="pct"/>
            <w:vAlign w:val="center"/>
            <w:hideMark/>
          </w:tcPr>
          <w:p w:rsidR="00000000" w:rsidRDefault="005B0BC3">
            <w:pPr>
              <w:rPr>
                <w:rFonts w:eastAsia="Times New Roman"/>
              </w:rPr>
            </w:pPr>
          </w:p>
        </w:tc>
        <w:tc>
          <w:tcPr>
            <w:tcW w:w="21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8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0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7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8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6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9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3"/>
            <w:tcBorders>
              <w:top w:val="single" w:sz="4"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r>
      <w:tr w:rsidR="00000000">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Yield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Amount (2)</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Yield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Amount (2)</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Yield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Amount (2)</w:t>
            </w:r>
          </w:p>
        </w:tc>
      </w:tr>
      <w:tr w:rsidR="00000000">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(Dollars in millions)</w:t>
            </w:r>
          </w:p>
        </w:tc>
      </w:tr>
      <w:tr w:rsidR="00000000">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 xml:space="preserve">Fixed Maturities: </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c>
          <w:tcPr>
            <w:tcW w:w="0" w:type="auto"/>
            <w:gridSpan w:val="3"/>
            <w:shd w:val="clear" w:color="auto" w:fill="CCEEFF"/>
            <w:tcMar>
              <w:top w:w="30" w:type="dxa"/>
              <w:left w:w="38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2,429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3.46 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2,318 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3.68 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2,019 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c>
          <w:tcPr>
            <w:tcW w:w="0" w:type="auto"/>
            <w:gridSpan w:val="3"/>
            <w:shd w:val="clear" w:color="auto" w:fill="FFFFFF"/>
            <w:tcMar>
              <w:top w:w="30" w:type="dxa"/>
              <w:left w:w="380" w:type="dxa"/>
              <w:bottom w:w="30" w:type="dxa"/>
              <w:right w:w="20" w:type="dxa"/>
            </w:tcMar>
            <w:hideMark/>
          </w:tcPr>
          <w:p w:rsidR="00000000" w:rsidRDefault="005B0BC3">
            <w:pPr>
              <w:spacing w:after="100"/>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72,545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71,738 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62,687 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Mortgages:</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c>
          <w:tcPr>
            <w:tcW w:w="0" w:type="auto"/>
            <w:gridSpan w:val="3"/>
            <w:shd w:val="clear" w:color="auto" w:fill="FFFFFF"/>
            <w:tcMar>
              <w:top w:w="30" w:type="dxa"/>
              <w:left w:w="38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Income (loss)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4.08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4.13 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517 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4.47 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541 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c>
          <w:tcPr>
            <w:tcW w:w="0" w:type="auto"/>
            <w:gridSpan w:val="3"/>
            <w:shd w:val="clear" w:color="auto" w:fill="CCEEFF"/>
            <w:tcMar>
              <w:top w:w="30" w:type="dxa"/>
              <w:left w:w="380" w:type="dxa"/>
              <w:bottom w:w="30" w:type="dxa"/>
              <w:right w:w="20" w:type="dxa"/>
            </w:tcMar>
            <w:hideMark/>
          </w:tcPr>
          <w:p w:rsidR="00000000" w:rsidRDefault="005B0BC3">
            <w:pPr>
              <w:spacing w:after="100"/>
              <w:rPr>
                <w:rFonts w:eastAsia="Times New Roman"/>
              </w:rPr>
            </w:pPr>
            <w:r>
              <w:rPr>
                <w:rFonts w:eastAsia="Times New Roman"/>
                <w:color w:val="000000"/>
                <w:sz w:val="20"/>
                <w:szCs w:val="20"/>
              </w:rPr>
              <w:t>Ending assets</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14,033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13,159 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12,107 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Other Equity Investments: (1) (4)</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c>
          <w:tcPr>
            <w:tcW w:w="0" w:type="auto"/>
            <w:gridSpan w:val="3"/>
            <w:shd w:val="clear" w:color="auto" w:fill="CCEEFF"/>
            <w:tcMar>
              <w:top w:w="30" w:type="dxa"/>
              <w:left w:w="38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20.45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6.14 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5.96 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c>
          <w:tcPr>
            <w:tcW w:w="0" w:type="auto"/>
            <w:gridSpan w:val="3"/>
            <w:shd w:val="clear" w:color="auto" w:fill="FFFFFF"/>
            <w:tcMar>
              <w:top w:w="30" w:type="dxa"/>
              <w:left w:w="380" w:type="dxa"/>
              <w:bottom w:w="30" w:type="dxa"/>
              <w:right w:w="20" w:type="dxa"/>
            </w:tcMar>
            <w:hideMark/>
          </w:tcPr>
          <w:p w:rsidR="00000000" w:rsidRDefault="005B0BC3">
            <w:pPr>
              <w:spacing w:after="100"/>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2,901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1,621 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1,507 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Policy Loans:</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c>
          <w:tcPr>
            <w:tcW w:w="0" w:type="auto"/>
            <w:gridSpan w:val="3"/>
            <w:shd w:val="clear" w:color="auto" w:fill="FFFFFF"/>
            <w:tcMar>
              <w:top w:w="30" w:type="dxa"/>
              <w:left w:w="38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Income (loss)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5.01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5.28 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204 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5.59 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c>
          <w:tcPr>
            <w:tcW w:w="0" w:type="auto"/>
            <w:gridSpan w:val="3"/>
            <w:shd w:val="clear" w:color="auto" w:fill="CCEEFF"/>
            <w:tcMar>
              <w:top w:w="30" w:type="dxa"/>
              <w:left w:w="380" w:type="dxa"/>
              <w:bottom w:w="30" w:type="dxa"/>
              <w:right w:w="20" w:type="dxa"/>
            </w:tcMar>
            <w:hideMark/>
          </w:tcPr>
          <w:p w:rsidR="00000000" w:rsidRDefault="005B0BC3">
            <w:pPr>
              <w:spacing w:after="100"/>
              <w:rPr>
                <w:rFonts w:eastAsia="Times New Roman"/>
              </w:rPr>
            </w:pPr>
            <w:r>
              <w:rPr>
                <w:rFonts w:eastAsia="Times New Roman"/>
                <w:color w:val="000000"/>
                <w:sz w:val="20"/>
                <w:szCs w:val="20"/>
              </w:rPr>
              <w:t>Ending assets</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4,024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4,118 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3,735 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Cash and Short-term Investments:</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c>
          <w:tcPr>
            <w:tcW w:w="0" w:type="auto"/>
            <w:gridSpan w:val="3"/>
            <w:shd w:val="clear" w:color="auto" w:fill="CCEEFF"/>
            <w:tcMar>
              <w:top w:w="30" w:type="dxa"/>
              <w:left w:w="38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(0.13)</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0.03 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(0.15)</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c>
          <w:tcPr>
            <w:tcW w:w="0" w:type="auto"/>
            <w:gridSpan w:val="3"/>
            <w:shd w:val="clear" w:color="auto" w:fill="FFFFFF"/>
            <w:tcMar>
              <w:top w:w="30" w:type="dxa"/>
              <w:left w:w="380" w:type="dxa"/>
              <w:bottom w:w="30" w:type="dxa"/>
              <w:right w:w="20" w:type="dxa"/>
            </w:tcMar>
            <w:hideMark/>
          </w:tcPr>
          <w:p w:rsidR="00000000" w:rsidRDefault="005B0BC3">
            <w:pPr>
              <w:spacing w:after="100"/>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1,662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2,095 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1,856 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Funding agreements:</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c>
          <w:tcPr>
            <w:tcW w:w="0" w:type="auto"/>
            <w:gridSpan w:val="3"/>
            <w:shd w:val="clear" w:color="auto" w:fill="FFFFFF"/>
            <w:tcMar>
              <w:top w:w="30" w:type="dxa"/>
              <w:left w:w="38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Interest expense and other</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(56)</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(75)</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(110)</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c>
          <w:tcPr>
            <w:tcW w:w="0" w:type="auto"/>
            <w:gridSpan w:val="3"/>
            <w:shd w:val="clear" w:color="auto" w:fill="CCEEFF"/>
            <w:tcMar>
              <w:top w:w="30" w:type="dxa"/>
              <w:left w:w="380" w:type="dxa"/>
              <w:bottom w:w="30" w:type="dxa"/>
              <w:right w:w="20" w:type="dxa"/>
            </w:tcMar>
            <w:hideMark/>
          </w:tcPr>
          <w:p w:rsidR="00000000" w:rsidRDefault="005B0BC3">
            <w:pPr>
              <w:spacing w:after="100"/>
              <w:rPr>
                <w:rFonts w:eastAsia="Times New Roman"/>
              </w:rPr>
            </w:pPr>
            <w:r>
              <w:rPr>
                <w:rFonts w:eastAsia="Times New Roman"/>
                <w:color w:val="000000"/>
                <w:sz w:val="20"/>
                <w:szCs w:val="20"/>
              </w:rPr>
              <w:t>Ending assets (liabilities)</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(6,647)</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(6,897)</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(6,909)</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Total Invested Assets:</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c>
          <w:tcPr>
            <w:tcW w:w="0" w:type="auto"/>
            <w:gridSpan w:val="3"/>
            <w:shd w:val="clear" w:color="auto" w:fill="CCEEFF"/>
            <w:tcMar>
              <w:top w:w="30" w:type="dxa"/>
              <w:left w:w="38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Income (loss)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3,655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3.72 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3,060 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3.92 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2,742 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c>
          <w:tcPr>
            <w:tcW w:w="0" w:type="auto"/>
            <w:gridSpan w:val="3"/>
            <w:shd w:val="clear" w:color="auto" w:fill="FFFFFF"/>
            <w:tcMar>
              <w:top w:w="30" w:type="dxa"/>
              <w:left w:w="380" w:type="dxa"/>
              <w:bottom w:w="30" w:type="dxa"/>
              <w:right w:w="20" w:type="dxa"/>
            </w:tcMar>
            <w:hideMark/>
          </w:tcPr>
          <w:p w:rsidR="00000000" w:rsidRDefault="005B0BC3">
            <w:pPr>
              <w:spacing w:after="100"/>
              <w:rPr>
                <w:rFonts w:eastAsia="Times New Roman"/>
              </w:rPr>
            </w:pPr>
            <w:r>
              <w:rPr>
                <w:rFonts w:eastAsia="Times New Roman"/>
                <w:color w:val="000000"/>
                <w:sz w:val="20"/>
                <w:szCs w:val="20"/>
              </w:rPr>
              <w:t>Ending Assets</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88,518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85,834 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74,983 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Short Duration Fixed Maturities:</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c>
          <w:tcPr>
            <w:tcW w:w="0" w:type="auto"/>
            <w:gridSpan w:val="3"/>
            <w:shd w:val="clear" w:color="auto" w:fill="FFFFFF"/>
            <w:tcMar>
              <w:top w:w="30" w:type="dxa"/>
              <w:left w:w="38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Income (loss)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3.39 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184 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3.15 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312 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c>
          <w:tcPr>
            <w:tcW w:w="0" w:type="auto"/>
            <w:gridSpan w:val="3"/>
            <w:shd w:val="clear" w:color="auto" w:fill="CCEEFF"/>
            <w:tcMar>
              <w:top w:w="30" w:type="dxa"/>
              <w:left w:w="380" w:type="dxa"/>
              <w:bottom w:w="30" w:type="dxa"/>
              <w:right w:w="20" w:type="dxa"/>
            </w:tcMar>
            <w:hideMark/>
          </w:tcPr>
          <w:p w:rsidR="00000000" w:rsidRDefault="005B0BC3">
            <w:pPr>
              <w:spacing w:after="100"/>
              <w:rPr>
                <w:rFonts w:eastAsia="Times New Roman"/>
              </w:rPr>
            </w:pPr>
            <w:r>
              <w:rPr>
                <w:rFonts w:eastAsia="Times New Roman"/>
                <w:color w:val="000000"/>
                <w:sz w:val="20"/>
                <w:szCs w:val="20"/>
              </w:rPr>
              <w:t>Ending assets</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4,704 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6,173 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c>
          <w:tcPr>
            <w:tcW w:w="0" w:type="auto"/>
            <w:gridSpan w:val="3"/>
            <w:shd w:val="clear" w:color="auto" w:fill="CCEEFF"/>
            <w:tcMar>
              <w:top w:w="30" w:type="dxa"/>
              <w:left w:w="38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Investment income (loss)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3,733</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3.70 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3,244 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3.83 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3,054 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c>
          <w:tcPr>
            <w:tcW w:w="0" w:type="auto"/>
            <w:gridSpan w:val="3"/>
            <w:shd w:val="clear" w:color="auto" w:fill="FFFFFF"/>
            <w:tcMar>
              <w:top w:w="30" w:type="dxa"/>
              <w:left w:w="380" w:type="dxa"/>
              <w:bottom w:w="30" w:type="dxa"/>
              <w:right w:w="20" w:type="dxa"/>
            </w:tcMar>
            <w:hideMark/>
          </w:tcPr>
          <w:p w:rsidR="00000000" w:rsidRDefault="005B0BC3">
            <w:pPr>
              <w:spacing w:after="100"/>
              <w:rPr>
                <w:rFonts w:eastAsia="Times New Roman"/>
              </w:rPr>
            </w:pPr>
            <w:r>
              <w:rPr>
                <w:rFonts w:eastAsia="Times New Roman"/>
                <w:color w:val="000000"/>
                <w:sz w:val="20"/>
                <w:szCs w:val="20"/>
              </w:rPr>
              <w:t xml:space="preserve">Less: investment fees (3) </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(0.14)</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(118)</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(0.12)</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(107)</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(0.13)</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(103)</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c>
          <w:tcPr>
            <w:tcW w:w="0" w:type="auto"/>
            <w:gridSpan w:val="3"/>
            <w:shd w:val="clear" w:color="auto" w:fill="CCEEFF"/>
            <w:tcMar>
              <w:top w:w="30" w:type="dxa"/>
              <w:left w:w="38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Investment Income, Net</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3,615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3.57 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3,137 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3.70 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2,951 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Ending Net Assets</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88,660</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90,538 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81,156 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bl>
    <w:p w:rsidR="00000000" w:rsidRDefault="005B0BC3">
      <w:pPr>
        <w:ind w:hanging="360"/>
        <w:divId w:val="1519003776"/>
        <w:rPr>
          <w:rFonts w:eastAsia="Times New Roman"/>
        </w:rPr>
      </w:pPr>
      <w:r>
        <w:rPr>
          <w:rFonts w:eastAsia="Times New Roman"/>
          <w:color w:val="000000"/>
          <w:sz w:val="18"/>
          <w:szCs w:val="18"/>
        </w:rPr>
        <w:t>_____________</w:t>
      </w:r>
    </w:p>
    <w:p w:rsidR="00000000" w:rsidRDefault="005B0BC3">
      <w:pPr>
        <w:ind w:hanging="360"/>
        <w:divId w:val="1045064462"/>
        <w:rPr>
          <w:rFonts w:eastAsia="Times New Roman"/>
        </w:rPr>
      </w:pPr>
      <w:r>
        <w:rPr>
          <w:rFonts w:eastAsia="Times New Roman"/>
          <w:color w:val="000000"/>
          <w:sz w:val="18"/>
          <w:szCs w:val="18"/>
        </w:rPr>
        <w:t>(1)Includes, as of December </w:t>
      </w:r>
      <w:r>
        <w:rPr>
          <w:rFonts w:eastAsia="Times New Roman"/>
          <w:color w:val="000000"/>
          <w:sz w:val="18"/>
          <w:szCs w:val="18"/>
        </w:rPr>
        <w:t xml:space="preserve">31, 2021, December 31, 2020 and December 31, 2019 respectively, $319 million, $333 million and $365 million of other invested assets. </w:t>
      </w:r>
    </w:p>
    <w:p w:rsidR="00000000" w:rsidRDefault="005B0BC3">
      <w:pPr>
        <w:ind w:hanging="360"/>
        <w:divId w:val="607929485"/>
        <w:rPr>
          <w:rFonts w:eastAsia="Times New Roman"/>
        </w:rPr>
      </w:pPr>
      <w:r>
        <w:rPr>
          <w:rFonts w:eastAsia="Times New Roman"/>
          <w:color w:val="000000"/>
          <w:sz w:val="18"/>
          <w:szCs w:val="18"/>
        </w:rPr>
        <w:t>(2)Amount for fixed maturities and mortgages represents original cost, reduced by repayments, write-downs, adjusted amort</w:t>
      </w:r>
      <w:r>
        <w:rPr>
          <w:rFonts w:eastAsia="Times New Roman"/>
          <w:color w:val="000000"/>
          <w:sz w:val="18"/>
          <w:szCs w:val="18"/>
        </w:rPr>
        <w:t>ization of premiums, accretion of discount and allowances. Cost for equity securities represents original cost reduced by write-downs; cost for other limited partnership interests represents original cost adjusted for equity in earnings and reduced by dist</w:t>
      </w:r>
      <w:r>
        <w:rPr>
          <w:rFonts w:eastAsia="Times New Roman"/>
          <w:color w:val="000000"/>
          <w:sz w:val="18"/>
          <w:szCs w:val="18"/>
        </w:rPr>
        <w:t>ributions.</w:t>
      </w:r>
    </w:p>
    <w:p w:rsidR="00000000" w:rsidRDefault="005B0BC3">
      <w:pPr>
        <w:ind w:hanging="360"/>
        <w:divId w:val="1796867606"/>
        <w:rPr>
          <w:rFonts w:eastAsia="Times New Roman"/>
        </w:rPr>
      </w:pPr>
      <w:r>
        <w:rPr>
          <w:rFonts w:eastAsia="Times New Roman"/>
          <w:color w:val="000000"/>
          <w:sz w:val="18"/>
          <w:szCs w:val="18"/>
        </w:rPr>
        <w:t xml:space="preserve">(3)Investment fees are inclusive of investment management fees paid to AB. </w:t>
      </w:r>
    </w:p>
    <w:p w:rsidR="00000000" w:rsidRDefault="005B0BC3">
      <w:pPr>
        <w:ind w:hanging="360"/>
        <w:divId w:val="1998218697"/>
        <w:rPr>
          <w:rFonts w:eastAsia="Times New Roman"/>
        </w:rPr>
      </w:pPr>
      <w:r>
        <w:rPr>
          <w:rFonts w:eastAsia="Times New Roman"/>
          <w:color w:val="000000"/>
          <w:sz w:val="18"/>
          <w:szCs w:val="18"/>
        </w:rPr>
        <w:t>(4)Effective January 1, 2021, certain preferred stock have been reclassified to other equity investments (see Note 2 of the Notes to these Consolidated Financial Stateme</w:t>
      </w:r>
      <w:r>
        <w:rPr>
          <w:rFonts w:eastAsia="Times New Roman"/>
          <w:color w:val="000000"/>
          <w:sz w:val="18"/>
          <w:szCs w:val="18"/>
        </w:rPr>
        <w:t>nts- Investments).</w:t>
      </w:r>
    </w:p>
    <w:p w:rsidR="00000000" w:rsidRDefault="005B0BC3">
      <w:pPr>
        <w:ind w:firstLine="360"/>
        <w:divId w:val="1934237444"/>
        <w:rPr>
          <w:rFonts w:eastAsia="Times New Roman"/>
        </w:rPr>
      </w:pPr>
    </w:p>
    <w:p w:rsidR="00000000" w:rsidRDefault="005B0BC3">
      <w:pPr>
        <w:divId w:val="1944025619"/>
        <w:rPr>
          <w:rFonts w:eastAsia="Times New Roman"/>
        </w:rPr>
      </w:pPr>
    </w:p>
    <w:p w:rsidR="00000000" w:rsidRDefault="005B0BC3">
      <w:pPr>
        <w:divId w:val="1664817786"/>
        <w:rPr>
          <w:rFonts w:eastAsia="Times New Roman"/>
        </w:rPr>
      </w:pPr>
    </w:p>
    <w:p w:rsidR="00000000" w:rsidRDefault="005B0BC3">
      <w:pPr>
        <w:divId w:val="1158152716"/>
        <w:rPr>
          <w:rFonts w:eastAsia="Times New Roman"/>
        </w:rPr>
      </w:pPr>
    </w:p>
    <w:p w:rsidR="00000000" w:rsidRDefault="005B0BC3">
      <w:pPr>
        <w:jc w:val="center"/>
        <w:divId w:val="237176658"/>
        <w:rPr>
          <w:rFonts w:eastAsia="Times New Roman"/>
        </w:rPr>
      </w:pPr>
      <w:r>
        <w:rPr>
          <w:rFonts w:eastAsia="Times New Roman"/>
          <w:color w:val="000000"/>
          <w:sz w:val="20"/>
          <w:szCs w:val="20"/>
        </w:rPr>
        <w:t>100</w:t>
      </w:r>
    </w:p>
    <w:p w:rsidR="00000000" w:rsidRDefault="005B0BC3">
      <w:pPr>
        <w:rPr>
          <w:rFonts w:eastAsia="Times New Roman"/>
        </w:rPr>
      </w:pPr>
      <w:r>
        <w:rPr>
          <w:rFonts w:eastAsia="Times New Roman"/>
        </w:rPr>
        <w:pict>
          <v:rect id="_x0000_i1138" style="width:0;height:1.5pt" o:hralign="center" o:hrstd="t" o:hr="t" fillcolor="#a0a0a0" stroked="f"/>
        </w:pict>
      </w:r>
    </w:p>
    <w:p w:rsidR="00000000" w:rsidRDefault="005B0BC3">
      <w:pPr>
        <w:divId w:val="1807970272"/>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divId w:val="1912739932"/>
        <w:rPr>
          <w:rFonts w:eastAsia="Times New Roman"/>
        </w:rPr>
      </w:pPr>
    </w:p>
    <w:p w:rsidR="00000000" w:rsidRDefault="005B0BC3">
      <w:pPr>
        <w:jc w:val="both"/>
        <w:divId w:val="68312193"/>
        <w:rPr>
          <w:rFonts w:eastAsia="Times New Roman"/>
        </w:rPr>
      </w:pPr>
      <w:r>
        <w:rPr>
          <w:rFonts w:eastAsia="Times New Roman"/>
          <w:b/>
          <w:bCs/>
          <w:i/>
          <w:iCs/>
          <w:color w:val="000000"/>
          <w:sz w:val="20"/>
          <w:szCs w:val="20"/>
        </w:rPr>
        <w:t>Fixed Maturities</w:t>
      </w:r>
    </w:p>
    <w:p w:rsidR="00000000" w:rsidRDefault="005B0BC3">
      <w:pPr>
        <w:ind w:firstLine="360"/>
        <w:divId w:val="1667321071"/>
        <w:rPr>
          <w:rFonts w:eastAsia="Times New Roman"/>
        </w:rPr>
      </w:pPr>
      <w:r>
        <w:rPr>
          <w:rFonts w:eastAsia="Times New Roman"/>
          <w:color w:val="000000"/>
          <w:sz w:val="20"/>
          <w:szCs w:val="20"/>
        </w:rPr>
        <w:t>The fixed maturity portfolio consists largely of investment grade corporate debt securities and includes significant amounts of U.S. government and agency obligations. The limited below investment grade securities in the General Account investment portfoli</w:t>
      </w:r>
      <w:r>
        <w:rPr>
          <w:rFonts w:eastAsia="Times New Roman"/>
          <w:color w:val="000000"/>
          <w:sz w:val="20"/>
          <w:szCs w:val="20"/>
        </w:rPr>
        <w:t>o consist of “fallen angels,” originally purchased as investment grade, as well as short duration public high yield securities and loans to middle market companies.</w:t>
      </w:r>
    </w:p>
    <w:p w:rsidR="00000000" w:rsidRDefault="005B0BC3">
      <w:pPr>
        <w:jc w:val="both"/>
        <w:divId w:val="294483910"/>
        <w:rPr>
          <w:rFonts w:eastAsia="Times New Roman"/>
        </w:rPr>
      </w:pPr>
      <w:r>
        <w:rPr>
          <w:rFonts w:eastAsia="Times New Roman"/>
          <w:b/>
          <w:bCs/>
          <w:i/>
          <w:iCs/>
          <w:color w:val="000000"/>
          <w:sz w:val="20"/>
          <w:szCs w:val="20"/>
        </w:rPr>
        <w:t>Fixed Maturities by Industry</w:t>
      </w:r>
    </w:p>
    <w:p w:rsidR="00000000" w:rsidRDefault="005B0BC3">
      <w:pPr>
        <w:ind w:firstLine="360"/>
        <w:divId w:val="464399051"/>
        <w:rPr>
          <w:rFonts w:eastAsia="Times New Roman"/>
        </w:rPr>
      </w:pPr>
      <w:r>
        <w:rPr>
          <w:rFonts w:eastAsia="Times New Roman"/>
          <w:color w:val="000000"/>
          <w:sz w:val="20"/>
          <w:szCs w:val="20"/>
        </w:rPr>
        <w:t>The following table sets forth these fixed maturities by industry category as of the dates indicated along with their associated gross unrealized gains and losses.</w:t>
      </w:r>
    </w:p>
    <w:p w:rsidR="00000000" w:rsidRDefault="005B0BC3">
      <w:pPr>
        <w:jc w:val="center"/>
        <w:rPr>
          <w:rFonts w:eastAsia="Times New Roman"/>
        </w:rPr>
      </w:pPr>
      <w:r>
        <w:rPr>
          <w:rFonts w:eastAsia="Times New Roman"/>
          <w:b/>
          <w:bCs/>
          <w:color w:val="000000"/>
          <w:sz w:val="20"/>
          <w:szCs w:val="20"/>
        </w:rPr>
        <w:t>Fixed Maturities by Industry (1)</w:t>
      </w:r>
    </w:p>
    <w:tbl>
      <w:tblPr>
        <w:tblW w:w="5000" w:type="pct"/>
        <w:tblCellMar>
          <w:top w:w="15" w:type="dxa"/>
          <w:left w:w="15" w:type="dxa"/>
          <w:bottom w:w="15" w:type="dxa"/>
          <w:right w:w="15" w:type="dxa"/>
        </w:tblCellMar>
        <w:tblLook w:val="04A0" w:firstRow="1" w:lastRow="0" w:firstColumn="1" w:lastColumn="0" w:noHBand="0" w:noVBand="1"/>
      </w:tblPr>
      <w:tblGrid>
        <w:gridCol w:w="38"/>
        <w:gridCol w:w="2464"/>
        <w:gridCol w:w="37"/>
        <w:gridCol w:w="121"/>
        <w:gridCol w:w="683"/>
        <w:gridCol w:w="36"/>
        <w:gridCol w:w="36"/>
        <w:gridCol w:w="36"/>
        <w:gridCol w:w="36"/>
        <w:gridCol w:w="121"/>
        <w:gridCol w:w="668"/>
        <w:gridCol w:w="36"/>
        <w:gridCol w:w="36"/>
        <w:gridCol w:w="36"/>
        <w:gridCol w:w="36"/>
        <w:gridCol w:w="121"/>
        <w:gridCol w:w="698"/>
        <w:gridCol w:w="36"/>
        <w:gridCol w:w="36"/>
        <w:gridCol w:w="36"/>
        <w:gridCol w:w="36"/>
        <w:gridCol w:w="121"/>
        <w:gridCol w:w="698"/>
        <w:gridCol w:w="36"/>
        <w:gridCol w:w="36"/>
        <w:gridCol w:w="36"/>
        <w:gridCol w:w="36"/>
        <w:gridCol w:w="121"/>
        <w:gridCol w:w="687"/>
        <w:gridCol w:w="36"/>
        <w:gridCol w:w="36"/>
        <w:gridCol w:w="36"/>
        <w:gridCol w:w="36"/>
        <w:gridCol w:w="82"/>
        <w:gridCol w:w="706"/>
        <w:gridCol w:w="220"/>
      </w:tblGrid>
      <w:tr w:rsidR="00000000">
        <w:trPr>
          <w:divId w:val="710110920"/>
        </w:trPr>
        <w:tc>
          <w:tcPr>
            <w:tcW w:w="50" w:type="pct"/>
            <w:vAlign w:val="center"/>
            <w:hideMark/>
          </w:tcPr>
          <w:p w:rsidR="00000000" w:rsidRDefault="005B0BC3">
            <w:pPr>
              <w:jc w:val="center"/>
              <w:rPr>
                <w:rFonts w:eastAsia="Times New Roman"/>
              </w:rPr>
            </w:pPr>
          </w:p>
        </w:tc>
        <w:tc>
          <w:tcPr>
            <w:tcW w:w="182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710110920"/>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Amortized Cost</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Allowance for Credit Losses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Gross Unrealized Gains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Gross Unrealized Losses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Fair Value</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Percentage of Total (%)</w:t>
            </w:r>
          </w:p>
        </w:tc>
      </w:tr>
      <w:tr w:rsidR="00000000">
        <w:trPr>
          <w:divId w:val="710110920"/>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27"/>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710110920"/>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As of December 31, 2021</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710110920"/>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Corporate Securities:</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710110920"/>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Finance</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12,954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13,440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p>
        </w:tc>
      </w:tr>
      <w:tr w:rsidR="00000000">
        <w:trPr>
          <w:divId w:val="710110920"/>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Manufacturing</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12,212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12,947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p>
        </w:tc>
      </w:tr>
      <w:tr w:rsidR="00000000">
        <w:trPr>
          <w:divId w:val="710110920"/>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Utilities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6,446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351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6,761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p>
        </w:tc>
      </w:tr>
      <w:tr w:rsidR="00000000">
        <w:trPr>
          <w:divId w:val="710110920"/>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Services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8,191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8,500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p>
        </w:tc>
      </w:tr>
      <w:tr w:rsidR="00000000">
        <w:trPr>
          <w:divId w:val="710110920"/>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Energy</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3,854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4,011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p>
        </w:tc>
      </w:tr>
      <w:tr w:rsidR="00000000">
        <w:trPr>
          <w:divId w:val="710110920"/>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Retail and wholesale</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3,390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3,590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p>
        </w:tc>
      </w:tr>
      <w:tr w:rsidR="00000000">
        <w:trPr>
          <w:divId w:val="710110920"/>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Transportation</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2,181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156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2,327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p>
        </w:tc>
      </w:tr>
      <w:tr w:rsidR="00000000">
        <w:trPr>
          <w:divId w:val="710110920"/>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p>
        </w:tc>
      </w:tr>
      <w:tr w:rsidR="00000000">
        <w:trPr>
          <w:divId w:val="710110920"/>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Total corporate securities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49,288</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2,601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229</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51,638</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67</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p>
        </w:tc>
      </w:tr>
      <w:tr w:rsidR="00000000">
        <w:trPr>
          <w:divId w:val="710110920"/>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U.S. government</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13,056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2,344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15,385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p>
        </w:tc>
      </w:tr>
      <w:tr w:rsidR="00000000">
        <w:trPr>
          <w:divId w:val="710110920"/>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Residential mortgage-backed (2)</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p>
        </w:tc>
      </w:tr>
      <w:tr w:rsidR="00000000">
        <w:trPr>
          <w:divId w:val="710110920"/>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Preferred stock (4)</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p>
        </w:tc>
      </w:tr>
      <w:tr w:rsidR="00000000">
        <w:trPr>
          <w:divId w:val="710110920"/>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 xml:space="preserve">State &amp; </w:t>
            </w:r>
            <w:r>
              <w:rPr>
                <w:rFonts w:eastAsia="Times New Roman"/>
                <w:color w:val="000000"/>
                <w:sz w:val="20"/>
                <w:szCs w:val="20"/>
              </w:rPr>
              <w:t>political</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p>
        </w:tc>
      </w:tr>
      <w:tr w:rsidR="00000000">
        <w:trPr>
          <w:divId w:val="710110920"/>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Foreign governments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p>
        </w:tc>
      </w:tr>
      <w:tr w:rsidR="00000000">
        <w:trPr>
          <w:divId w:val="710110920"/>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Commercial mortgage-backed</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2,427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2,421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p>
        </w:tc>
      </w:tr>
      <w:tr w:rsidR="00000000">
        <w:trPr>
          <w:divId w:val="710110920"/>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Asset-backed securities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5,933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5,934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p>
        </w:tc>
      </w:tr>
      <w:tr w:rsidR="00000000">
        <w:trPr>
          <w:divId w:val="710110920"/>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Total</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72,545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5,125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306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77,342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p>
        </w:tc>
      </w:tr>
      <w:tr w:rsidR="00000000">
        <w:trPr>
          <w:divId w:val="710110920"/>
          <w:trHeight w:val="280"/>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bl>
    <w:p w:rsidR="00000000" w:rsidRDefault="005B0BC3">
      <w:pPr>
        <w:jc w:val="center"/>
        <w:divId w:val="578566347"/>
        <w:rPr>
          <w:rFonts w:eastAsia="Times New Roman"/>
        </w:rPr>
      </w:pPr>
      <w:r>
        <w:rPr>
          <w:rFonts w:eastAsia="Times New Roman"/>
          <w:color w:val="000000"/>
          <w:sz w:val="20"/>
          <w:szCs w:val="20"/>
        </w:rPr>
        <w:t>101</w:t>
      </w:r>
    </w:p>
    <w:p w:rsidR="00000000" w:rsidRDefault="005B0BC3">
      <w:pPr>
        <w:rPr>
          <w:rFonts w:eastAsia="Times New Roman"/>
        </w:rPr>
      </w:pPr>
      <w:r>
        <w:rPr>
          <w:rFonts w:eastAsia="Times New Roman"/>
        </w:rPr>
        <w:pict>
          <v:rect id="_x0000_i1139" style="width:0;height:1.5pt" o:hralign="center" o:hrstd="t" o:hr="t" fillcolor="#a0a0a0" stroked="f"/>
        </w:pict>
      </w:r>
    </w:p>
    <w:p w:rsidR="00000000" w:rsidRDefault="005B0BC3">
      <w:pPr>
        <w:divId w:val="1317412239"/>
        <w:rPr>
          <w:rFonts w:eastAsia="Times New Roman"/>
        </w:rPr>
      </w:pPr>
      <w:hyperlink w:anchor="i2ac35847634046b3a89f93d9b422e8f5_421" w:history="1">
        <w:r>
          <w:rPr>
            <w:rStyle w:val="a3"/>
            <w:rFonts w:eastAsia="Times New Roman"/>
            <w:b/>
            <w:bCs/>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8"/>
        <w:gridCol w:w="2962"/>
        <w:gridCol w:w="37"/>
        <w:gridCol w:w="120"/>
        <w:gridCol w:w="665"/>
        <w:gridCol w:w="36"/>
        <w:gridCol w:w="36"/>
        <w:gridCol w:w="36"/>
        <w:gridCol w:w="36"/>
        <w:gridCol w:w="120"/>
        <w:gridCol w:w="614"/>
        <w:gridCol w:w="36"/>
        <w:gridCol w:w="36"/>
        <w:gridCol w:w="36"/>
        <w:gridCol w:w="36"/>
        <w:gridCol w:w="120"/>
        <w:gridCol w:w="614"/>
        <w:gridCol w:w="36"/>
        <w:gridCol w:w="36"/>
        <w:gridCol w:w="36"/>
        <w:gridCol w:w="36"/>
        <w:gridCol w:w="120"/>
        <w:gridCol w:w="614"/>
        <w:gridCol w:w="36"/>
        <w:gridCol w:w="36"/>
        <w:gridCol w:w="36"/>
        <w:gridCol w:w="36"/>
        <w:gridCol w:w="120"/>
        <w:gridCol w:w="614"/>
        <w:gridCol w:w="36"/>
        <w:gridCol w:w="36"/>
        <w:gridCol w:w="36"/>
        <w:gridCol w:w="36"/>
        <w:gridCol w:w="39"/>
        <w:gridCol w:w="602"/>
        <w:gridCol w:w="187"/>
      </w:tblGrid>
      <w:tr w:rsidR="00000000">
        <w:trPr>
          <w:divId w:val="455876746"/>
        </w:trPr>
        <w:tc>
          <w:tcPr>
            <w:tcW w:w="50" w:type="pct"/>
            <w:vAlign w:val="center"/>
            <w:hideMark/>
          </w:tcPr>
          <w:p w:rsidR="00000000" w:rsidRDefault="005B0BC3">
            <w:pPr>
              <w:rPr>
                <w:rFonts w:eastAsia="Times New Roman"/>
              </w:rPr>
            </w:pPr>
          </w:p>
        </w:tc>
        <w:tc>
          <w:tcPr>
            <w:tcW w:w="182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455876746"/>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As of December 31, 2020: (3)</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455876746"/>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Corporate Securities:</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455876746"/>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Finance</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14,411 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1,112 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15,514 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r>
      <w:tr w:rsidR="00000000">
        <w:trPr>
          <w:divId w:val="455876746"/>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Manufacturing</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13,040 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1,520 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14,542 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r>
      <w:tr w:rsidR="00000000">
        <w:trPr>
          <w:divId w:val="455876746"/>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Utilities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6,352 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681 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7,027 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r>
      <w:tr w:rsidR="00000000">
        <w:trPr>
          <w:divId w:val="455876746"/>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Services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7,830 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680 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8,470 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r>
      <w:tr w:rsidR="00000000">
        <w:trPr>
          <w:divId w:val="455876746"/>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Energy</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4,084 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364 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4,425 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r>
      <w:tr w:rsidR="00000000">
        <w:trPr>
          <w:divId w:val="455876746"/>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Retail and wholesale</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3,747 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435 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4,179 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r>
      <w:tr w:rsidR="00000000">
        <w:trPr>
          <w:divId w:val="455876746"/>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Transportation</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2,424 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301 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2,721 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r>
      <w:tr w:rsidR="00000000">
        <w:trPr>
          <w:divId w:val="455876746"/>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162 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r>
      <w:tr w:rsidR="00000000">
        <w:trPr>
          <w:divId w:val="455876746"/>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Total corporate securities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52,045 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5,100 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57,040 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r>
      <w:tr w:rsidR="00000000">
        <w:trPr>
          <w:divId w:val="455876746"/>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U.S. government</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12,660 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3,448 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16,103 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r>
      <w:tr w:rsidR="00000000">
        <w:trPr>
          <w:divId w:val="455876746"/>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Residential mortgage-backed (2)</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r>
      <w:tr w:rsidR="00000000">
        <w:trPr>
          <w:divId w:val="455876746"/>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Preferred stock</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621 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666 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r>
      <w:tr w:rsidR="00000000">
        <w:trPr>
          <w:divId w:val="455876746"/>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State &amp; political</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536 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636 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r>
      <w:tr w:rsidR="00000000">
        <w:trPr>
          <w:divId w:val="455876746"/>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Foreign governments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1,011 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1,103 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r>
      <w:tr w:rsidR="00000000">
        <w:trPr>
          <w:divId w:val="455876746"/>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Commercial mortgage-backed</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1,148 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1,203 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r>
      <w:tr w:rsidR="00000000">
        <w:trPr>
          <w:divId w:val="455876746"/>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Asset-backed securities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3,587 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3,611 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r>
      <w:tr w:rsidR="00000000">
        <w:trPr>
          <w:divId w:val="455876746"/>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Total</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71,738 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8,891 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111 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80,505 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r>
    </w:tbl>
    <w:p w:rsidR="00000000" w:rsidRDefault="005B0BC3">
      <w:pPr>
        <w:ind w:hanging="360"/>
        <w:divId w:val="1693528884"/>
        <w:rPr>
          <w:rFonts w:eastAsia="Times New Roman"/>
        </w:rPr>
      </w:pPr>
      <w:r>
        <w:rPr>
          <w:rFonts w:eastAsia="Times New Roman"/>
          <w:color w:val="000000"/>
          <w:sz w:val="18"/>
          <w:szCs w:val="18"/>
        </w:rPr>
        <w:t>______________</w:t>
      </w:r>
    </w:p>
    <w:p w:rsidR="00000000" w:rsidRDefault="005B0BC3">
      <w:pPr>
        <w:ind w:hanging="360"/>
        <w:divId w:val="1462192629"/>
        <w:rPr>
          <w:rFonts w:eastAsia="Times New Roman"/>
        </w:rPr>
      </w:pPr>
      <w:r>
        <w:rPr>
          <w:rFonts w:eastAsia="Times New Roman"/>
          <w:color w:val="000000"/>
          <w:sz w:val="18"/>
          <w:szCs w:val="18"/>
        </w:rPr>
        <w:t>(1)Investment data has been classified based</w:t>
      </w:r>
      <w:r>
        <w:rPr>
          <w:rFonts w:eastAsia="Times New Roman"/>
          <w:color w:val="000000"/>
          <w:sz w:val="18"/>
          <w:szCs w:val="18"/>
        </w:rPr>
        <w:t xml:space="preserve"> on standard industry categorizations for domestic public holdings and similar classifications by industry for all other holdings.</w:t>
      </w:r>
    </w:p>
    <w:p w:rsidR="00000000" w:rsidRDefault="005B0BC3">
      <w:pPr>
        <w:ind w:hanging="360"/>
        <w:divId w:val="1719237588"/>
        <w:rPr>
          <w:rFonts w:eastAsia="Times New Roman"/>
        </w:rPr>
      </w:pPr>
      <w:r>
        <w:rPr>
          <w:rFonts w:eastAsia="Times New Roman"/>
          <w:color w:val="000000"/>
          <w:sz w:val="18"/>
          <w:szCs w:val="18"/>
        </w:rPr>
        <w:t>(2)Includes publicly traded agency pass-through securities and collateralized obligations.</w:t>
      </w:r>
    </w:p>
    <w:p w:rsidR="00000000" w:rsidRDefault="005B0BC3">
      <w:pPr>
        <w:ind w:hanging="360"/>
        <w:divId w:val="598876922"/>
        <w:rPr>
          <w:rFonts w:eastAsia="Times New Roman"/>
        </w:rPr>
      </w:pPr>
      <w:r>
        <w:rPr>
          <w:rFonts w:eastAsia="Times New Roman"/>
          <w:color w:val="000000"/>
          <w:sz w:val="18"/>
          <w:szCs w:val="18"/>
        </w:rPr>
        <w:t>(3)Excludes amounts reclassified a</w:t>
      </w:r>
      <w:r>
        <w:rPr>
          <w:rFonts w:eastAsia="Times New Roman"/>
          <w:color w:val="000000"/>
          <w:sz w:val="18"/>
          <w:szCs w:val="18"/>
        </w:rPr>
        <w:t>s HFS.</w:t>
      </w:r>
    </w:p>
    <w:p w:rsidR="00000000" w:rsidRDefault="005B0BC3">
      <w:pPr>
        <w:ind w:hanging="360"/>
        <w:divId w:val="1407679939"/>
        <w:rPr>
          <w:rFonts w:eastAsia="Times New Roman"/>
        </w:rPr>
      </w:pPr>
      <w:r>
        <w:rPr>
          <w:rFonts w:eastAsia="Times New Roman"/>
          <w:color w:val="000000"/>
          <w:sz w:val="18"/>
          <w:szCs w:val="18"/>
        </w:rPr>
        <w:t>(4)Effective January 1, 2021, certain preferred stock have been reclassified to other equity investments (see Note 2 of the Notes to these Consolidated Financial Statements- Investments).</w:t>
      </w:r>
    </w:p>
    <w:p w:rsidR="00000000" w:rsidRDefault="005B0BC3">
      <w:pPr>
        <w:ind w:hanging="360"/>
        <w:divId w:val="1088959263"/>
        <w:rPr>
          <w:rFonts w:eastAsia="Times New Roman"/>
        </w:rPr>
      </w:pPr>
    </w:p>
    <w:p w:rsidR="00000000" w:rsidRDefault="005B0BC3">
      <w:pPr>
        <w:jc w:val="both"/>
        <w:divId w:val="1372922694"/>
        <w:rPr>
          <w:rFonts w:eastAsia="Times New Roman"/>
        </w:rPr>
      </w:pPr>
      <w:r>
        <w:rPr>
          <w:rFonts w:eastAsia="Times New Roman"/>
          <w:b/>
          <w:bCs/>
          <w:i/>
          <w:iCs/>
          <w:color w:val="000000"/>
          <w:sz w:val="20"/>
          <w:szCs w:val="20"/>
          <w:shd w:val="clear" w:color="auto" w:fill="FFFFFF"/>
        </w:rPr>
        <w:t>Fixed Maturities Credit Quality</w:t>
      </w:r>
    </w:p>
    <w:p w:rsidR="00000000" w:rsidRDefault="005B0BC3">
      <w:pPr>
        <w:ind w:firstLine="360"/>
        <w:divId w:val="1320502982"/>
        <w:rPr>
          <w:rFonts w:eastAsia="Times New Roman"/>
        </w:rPr>
      </w:pPr>
      <w:r>
        <w:rPr>
          <w:rFonts w:eastAsia="Times New Roman"/>
          <w:color w:val="000000"/>
          <w:sz w:val="20"/>
          <w:szCs w:val="20"/>
        </w:rPr>
        <w:t>The SVO of the NAIC evaluat</w:t>
      </w:r>
      <w:r>
        <w:rPr>
          <w:rFonts w:eastAsia="Times New Roman"/>
          <w:color w:val="000000"/>
          <w:sz w:val="20"/>
          <w:szCs w:val="20"/>
        </w:rPr>
        <w:t>es the investments of insurers for regulatory reporting purposes and assigns fixed maturities to one of six categories (“NAIC Designations”). NAIC Designations of “1” or “2” include fixed maturities considered investment grade, which include securities rat</w:t>
      </w:r>
      <w:r>
        <w:rPr>
          <w:rFonts w:eastAsia="Times New Roman"/>
          <w:color w:val="000000"/>
          <w:sz w:val="20"/>
          <w:szCs w:val="20"/>
        </w:rPr>
        <w:t>ed Baa3 or higher by Moody’s or BBB- or higher by Standard &amp; Poor’s. NAIC Designations of “3” through “6” are referred to as below investment grade, which include securities rated Ba1 or lower by Moody’s and BB+ or lower by Standard &amp; Poor’s. As a result o</w:t>
      </w:r>
      <w:r>
        <w:rPr>
          <w:rFonts w:eastAsia="Times New Roman"/>
          <w:color w:val="000000"/>
          <w:sz w:val="20"/>
          <w:szCs w:val="20"/>
        </w:rPr>
        <w:t>f time lags between the funding of investments and the completion of the SVO filing process, the fixed maturity portfolio typically includes securities that have not yet been rated by the SVO as of each balance sheet date. Pending receipt of SVO ratings, t</w:t>
      </w:r>
      <w:r>
        <w:rPr>
          <w:rFonts w:eastAsia="Times New Roman"/>
          <w:color w:val="000000"/>
          <w:sz w:val="20"/>
          <w:szCs w:val="20"/>
        </w:rPr>
        <w:t>he categorization of these securities by NAIC designation is based on the expected ratings indicated by internal analysis.</w:t>
      </w:r>
    </w:p>
    <w:p w:rsidR="00000000" w:rsidRDefault="005B0BC3">
      <w:pPr>
        <w:ind w:firstLine="360"/>
        <w:divId w:val="1086269876"/>
        <w:rPr>
          <w:rFonts w:eastAsia="Times New Roman"/>
        </w:rPr>
      </w:pPr>
      <w:r>
        <w:rPr>
          <w:rFonts w:eastAsia="Times New Roman"/>
          <w:color w:val="000000"/>
          <w:sz w:val="20"/>
          <w:szCs w:val="20"/>
        </w:rPr>
        <w:t>The following table sets forth the General Account’s fixed maturities portfolio by NAIC rating at the dates indicated.</w:t>
      </w:r>
    </w:p>
    <w:p w:rsidR="00000000" w:rsidRDefault="005B0BC3">
      <w:pPr>
        <w:jc w:val="center"/>
        <w:divId w:val="1981689933"/>
        <w:rPr>
          <w:rFonts w:eastAsia="Times New Roman"/>
        </w:rPr>
      </w:pPr>
      <w:r>
        <w:rPr>
          <w:rFonts w:eastAsia="Times New Roman"/>
          <w:color w:val="000000"/>
          <w:sz w:val="20"/>
          <w:szCs w:val="20"/>
        </w:rPr>
        <w:t>102</w:t>
      </w:r>
    </w:p>
    <w:p w:rsidR="00000000" w:rsidRDefault="005B0BC3">
      <w:pPr>
        <w:rPr>
          <w:rFonts w:eastAsia="Times New Roman"/>
        </w:rPr>
      </w:pPr>
      <w:r>
        <w:rPr>
          <w:rFonts w:eastAsia="Times New Roman"/>
        </w:rPr>
        <w:pict>
          <v:rect id="_x0000_i1140" style="width:0;height:1.5pt" o:hralign="center" o:hrstd="t" o:hr="t" fillcolor="#a0a0a0" stroked="f"/>
        </w:pict>
      </w:r>
    </w:p>
    <w:p w:rsidR="00000000" w:rsidRDefault="005B0BC3">
      <w:pPr>
        <w:divId w:val="430006613"/>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jc w:val="center"/>
        <w:rPr>
          <w:rFonts w:eastAsia="Times New Roman"/>
        </w:rPr>
      </w:pPr>
      <w:r>
        <w:rPr>
          <w:rFonts w:eastAsia="Times New Roman"/>
          <w:b/>
          <w:bCs/>
          <w:color w:val="000000"/>
          <w:sz w:val="20"/>
          <w:szCs w:val="20"/>
        </w:rPr>
        <w:t>Fixed Maturities</w:t>
      </w:r>
    </w:p>
    <w:tbl>
      <w:tblPr>
        <w:tblW w:w="5000" w:type="pct"/>
        <w:tblCellMar>
          <w:top w:w="15" w:type="dxa"/>
          <w:left w:w="15" w:type="dxa"/>
          <w:bottom w:w="15" w:type="dxa"/>
          <w:right w:w="15" w:type="dxa"/>
        </w:tblCellMar>
        <w:tblLook w:val="04A0" w:firstRow="1" w:lastRow="0" w:firstColumn="1" w:lastColumn="0" w:noHBand="0" w:noVBand="1"/>
      </w:tblPr>
      <w:tblGrid>
        <w:gridCol w:w="67"/>
        <w:gridCol w:w="1899"/>
        <w:gridCol w:w="38"/>
        <w:gridCol w:w="36"/>
        <w:gridCol w:w="36"/>
        <w:gridCol w:w="36"/>
        <w:gridCol w:w="48"/>
        <w:gridCol w:w="1342"/>
        <w:gridCol w:w="37"/>
        <w:gridCol w:w="36"/>
        <w:gridCol w:w="36"/>
        <w:gridCol w:w="36"/>
        <w:gridCol w:w="121"/>
        <w:gridCol w:w="684"/>
        <w:gridCol w:w="36"/>
        <w:gridCol w:w="36"/>
        <w:gridCol w:w="36"/>
        <w:gridCol w:w="36"/>
        <w:gridCol w:w="121"/>
        <w:gridCol w:w="669"/>
        <w:gridCol w:w="36"/>
        <w:gridCol w:w="36"/>
        <w:gridCol w:w="36"/>
        <w:gridCol w:w="36"/>
        <w:gridCol w:w="121"/>
        <w:gridCol w:w="700"/>
        <w:gridCol w:w="36"/>
        <w:gridCol w:w="36"/>
        <w:gridCol w:w="36"/>
        <w:gridCol w:w="36"/>
        <w:gridCol w:w="121"/>
        <w:gridCol w:w="700"/>
        <w:gridCol w:w="36"/>
        <w:gridCol w:w="36"/>
        <w:gridCol w:w="36"/>
        <w:gridCol w:w="36"/>
        <w:gridCol w:w="121"/>
        <w:gridCol w:w="689"/>
        <w:gridCol w:w="36"/>
      </w:tblGrid>
      <w:tr w:rsidR="00000000">
        <w:trPr>
          <w:divId w:val="699010574"/>
        </w:trPr>
        <w:tc>
          <w:tcPr>
            <w:tcW w:w="50" w:type="pct"/>
            <w:vAlign w:val="center"/>
            <w:hideMark/>
          </w:tcPr>
          <w:p w:rsidR="00000000" w:rsidRDefault="005B0BC3">
            <w:pPr>
              <w:jc w:val="center"/>
              <w:rPr>
                <w:rFonts w:eastAsia="Times New Roman"/>
              </w:rPr>
            </w:pPr>
          </w:p>
        </w:tc>
        <w:tc>
          <w:tcPr>
            <w:tcW w:w="125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93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4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4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4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4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4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699010574"/>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 xml:space="preserve">NAIC Designation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Rating Agency Equivalent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Amortized</w:t>
            </w:r>
          </w:p>
          <w:p w:rsidR="00000000" w:rsidRDefault="005B0BC3">
            <w:pPr>
              <w:spacing w:after="100"/>
              <w:jc w:val="center"/>
              <w:rPr>
                <w:rFonts w:eastAsia="Times New Roman"/>
              </w:rPr>
            </w:pPr>
            <w:r>
              <w:rPr>
                <w:rFonts w:eastAsia="Times New Roman"/>
                <w:b/>
                <w:bCs/>
                <w:color w:val="000000"/>
                <w:sz w:val="16"/>
                <w:szCs w:val="16"/>
              </w:rPr>
              <w:t>Cost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Allowance for Credit Losses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Gross</w:t>
            </w:r>
          </w:p>
          <w:p w:rsidR="00000000" w:rsidRDefault="005B0BC3">
            <w:pPr>
              <w:spacing w:after="100"/>
              <w:jc w:val="center"/>
              <w:rPr>
                <w:rFonts w:eastAsia="Times New Roman"/>
              </w:rPr>
            </w:pPr>
            <w:r>
              <w:rPr>
                <w:rFonts w:eastAsia="Times New Roman"/>
                <w:b/>
                <w:bCs/>
                <w:color w:val="000000"/>
                <w:sz w:val="16"/>
                <w:szCs w:val="16"/>
              </w:rPr>
              <w:t>Unrealized</w:t>
            </w:r>
          </w:p>
          <w:p w:rsidR="00000000" w:rsidRDefault="005B0BC3">
            <w:pPr>
              <w:spacing w:after="100"/>
              <w:jc w:val="center"/>
              <w:rPr>
                <w:rFonts w:eastAsia="Times New Roman"/>
              </w:rPr>
            </w:pPr>
            <w:r>
              <w:rPr>
                <w:rFonts w:eastAsia="Times New Roman"/>
                <w:b/>
                <w:bCs/>
                <w:color w:val="000000"/>
                <w:sz w:val="16"/>
                <w:szCs w:val="16"/>
              </w:rPr>
              <w:t>Gains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Gross</w:t>
            </w:r>
          </w:p>
          <w:p w:rsidR="00000000" w:rsidRDefault="005B0BC3">
            <w:pPr>
              <w:spacing w:after="100"/>
              <w:jc w:val="center"/>
              <w:rPr>
                <w:rFonts w:eastAsia="Times New Roman"/>
              </w:rPr>
            </w:pPr>
            <w:r>
              <w:rPr>
                <w:rFonts w:eastAsia="Times New Roman"/>
                <w:b/>
                <w:bCs/>
                <w:color w:val="000000"/>
                <w:sz w:val="16"/>
                <w:szCs w:val="16"/>
              </w:rPr>
              <w:t>Unrealized</w:t>
            </w:r>
          </w:p>
          <w:p w:rsidR="00000000" w:rsidRDefault="005B0BC3">
            <w:pPr>
              <w:spacing w:after="100"/>
              <w:jc w:val="center"/>
              <w:rPr>
                <w:rFonts w:eastAsia="Times New Roman"/>
              </w:rPr>
            </w:pPr>
            <w:r>
              <w:rPr>
                <w:rFonts w:eastAsia="Times New Roman"/>
                <w:b/>
                <w:bCs/>
                <w:color w:val="000000"/>
                <w:sz w:val="16"/>
                <w:szCs w:val="16"/>
              </w:rPr>
              <w:t>Losses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Fair Value</w:t>
            </w:r>
          </w:p>
        </w:tc>
      </w:tr>
      <w:tr w:rsidR="00000000">
        <w:trPr>
          <w:divId w:val="699010574"/>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27"/>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699010574"/>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As of December 31, 2021</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699010574"/>
        </w:trPr>
        <w:tc>
          <w:tcPr>
            <w:tcW w:w="0" w:type="auto"/>
            <w:gridSpan w:val="3"/>
            <w:shd w:val="clear" w:color="auto" w:fill="CCEEFF"/>
            <w:tcMar>
              <w:top w:w="30" w:type="dxa"/>
              <w:left w:w="20" w:type="dxa"/>
              <w:bottom w:w="30" w:type="dxa"/>
              <w:right w:w="20" w:type="dxa"/>
            </w:tcMar>
            <w:hideMark/>
          </w:tcPr>
          <w:p w:rsidR="00000000" w:rsidRDefault="005B0BC3">
            <w:pPr>
              <w:spacing w:after="100"/>
              <w:jc w:val="right"/>
              <w:rPr>
                <w:rFonts w:eastAsia="Times New Roman"/>
              </w:rPr>
            </w:pPr>
            <w:r>
              <w:rPr>
                <w:rFonts w:eastAsia="Times New Roman"/>
                <w:color w:val="000000"/>
                <w:sz w:val="20"/>
                <w:szCs w:val="20"/>
              </w:rPr>
              <w:t>1................................</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Aaa, Aa, A</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44,653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3,734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158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48,229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99010574"/>
        </w:trPr>
        <w:tc>
          <w:tcPr>
            <w:tcW w:w="0" w:type="auto"/>
            <w:gridSpan w:val="3"/>
            <w:shd w:val="clear" w:color="auto" w:fill="FFFFFF"/>
            <w:tcMar>
              <w:top w:w="30" w:type="dxa"/>
              <w:left w:w="20" w:type="dxa"/>
              <w:bottom w:w="30" w:type="dxa"/>
              <w:right w:w="20" w:type="dxa"/>
            </w:tcMar>
            <w:hideMark/>
          </w:tcPr>
          <w:p w:rsidR="00000000" w:rsidRDefault="005B0BC3">
            <w:pPr>
              <w:spacing w:after="100"/>
              <w:jc w:val="right"/>
              <w:rPr>
                <w:rFonts w:eastAsia="Times New Roman"/>
              </w:rPr>
            </w:pPr>
            <w:r>
              <w:rPr>
                <w:rFonts w:eastAsia="Times New Roman"/>
                <w:color w:val="000000"/>
                <w:sz w:val="20"/>
                <w:szCs w:val="20"/>
              </w:rPr>
              <w:t>2................................</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Baa</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25,141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1,357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26,371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99010574"/>
        </w:trPr>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Investment grade</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69,794</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5,091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285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74,600</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99010574"/>
        </w:trPr>
        <w:tc>
          <w:tcPr>
            <w:tcW w:w="0" w:type="auto"/>
            <w:gridSpan w:val="3"/>
            <w:shd w:val="clear" w:color="auto" w:fill="FFFFFF"/>
            <w:tcMar>
              <w:top w:w="30" w:type="dxa"/>
              <w:left w:w="20" w:type="dxa"/>
              <w:bottom w:w="30" w:type="dxa"/>
              <w:right w:w="20" w:type="dxa"/>
            </w:tcMar>
            <w:hideMark/>
          </w:tcPr>
          <w:p w:rsidR="00000000" w:rsidRDefault="005B0BC3">
            <w:pPr>
              <w:spacing w:after="100"/>
              <w:jc w:val="right"/>
              <w:rPr>
                <w:rFonts w:eastAsia="Times New Roman"/>
              </w:rPr>
            </w:pPr>
            <w:r>
              <w:rPr>
                <w:rFonts w:eastAsia="Times New Roman"/>
                <w:color w:val="000000"/>
                <w:sz w:val="20"/>
                <w:szCs w:val="20"/>
              </w:rPr>
              <w:t>3................................</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Ba</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1,601</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1,608</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99010574"/>
        </w:trPr>
        <w:tc>
          <w:tcPr>
            <w:tcW w:w="0" w:type="auto"/>
            <w:gridSpan w:val="3"/>
            <w:shd w:val="clear" w:color="auto" w:fill="CCEEFF"/>
            <w:tcMar>
              <w:top w:w="30" w:type="dxa"/>
              <w:left w:w="20" w:type="dxa"/>
              <w:bottom w:w="30" w:type="dxa"/>
              <w:right w:w="20" w:type="dxa"/>
            </w:tcMar>
            <w:hideMark/>
          </w:tcPr>
          <w:p w:rsidR="00000000" w:rsidRDefault="005B0BC3">
            <w:pPr>
              <w:spacing w:after="100"/>
              <w:jc w:val="right"/>
              <w:rPr>
                <w:rFonts w:eastAsia="Times New Roman"/>
              </w:rPr>
            </w:pPr>
            <w:r>
              <w:rPr>
                <w:rFonts w:eastAsia="Times New Roman"/>
                <w:color w:val="000000"/>
                <w:sz w:val="20"/>
                <w:szCs w:val="20"/>
              </w:rPr>
              <w:t>4................................</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B</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99010574"/>
        </w:trPr>
        <w:tc>
          <w:tcPr>
            <w:tcW w:w="0" w:type="auto"/>
            <w:gridSpan w:val="3"/>
            <w:shd w:val="clear" w:color="auto" w:fill="FFFFFF"/>
            <w:tcMar>
              <w:top w:w="30" w:type="dxa"/>
              <w:left w:w="20" w:type="dxa"/>
              <w:bottom w:w="30" w:type="dxa"/>
              <w:right w:w="20" w:type="dxa"/>
            </w:tcMar>
            <w:hideMark/>
          </w:tcPr>
          <w:p w:rsidR="00000000" w:rsidRDefault="005B0BC3">
            <w:pPr>
              <w:spacing w:after="100"/>
              <w:jc w:val="right"/>
              <w:rPr>
                <w:rFonts w:eastAsia="Times New Roman"/>
              </w:rPr>
            </w:pPr>
            <w:r>
              <w:rPr>
                <w:rFonts w:eastAsia="Times New Roman"/>
                <w:color w:val="000000"/>
                <w:sz w:val="20"/>
                <w:szCs w:val="20"/>
              </w:rPr>
              <w:t>5................................</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Caa</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99010574"/>
        </w:trPr>
        <w:tc>
          <w:tcPr>
            <w:tcW w:w="0" w:type="auto"/>
            <w:gridSpan w:val="3"/>
            <w:shd w:val="clear" w:color="auto" w:fill="CCEEFF"/>
            <w:tcMar>
              <w:top w:w="30" w:type="dxa"/>
              <w:left w:w="20" w:type="dxa"/>
              <w:bottom w:w="30" w:type="dxa"/>
              <w:right w:w="20" w:type="dxa"/>
            </w:tcMar>
            <w:hideMark/>
          </w:tcPr>
          <w:p w:rsidR="00000000" w:rsidRDefault="005B0BC3">
            <w:pPr>
              <w:spacing w:after="100"/>
              <w:jc w:val="right"/>
              <w:rPr>
                <w:rFonts w:eastAsia="Times New Roman"/>
              </w:rPr>
            </w:pPr>
            <w:r>
              <w:rPr>
                <w:rFonts w:eastAsia="Times New Roman"/>
                <w:color w:val="000000"/>
                <w:sz w:val="20"/>
                <w:szCs w:val="20"/>
              </w:rPr>
              <w:t>6................................</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Ca, C</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99010574"/>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Below investment grade</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2,751</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34</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2,742</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99010574"/>
        </w:trPr>
        <w:tc>
          <w:tcPr>
            <w:tcW w:w="0" w:type="auto"/>
            <w:gridSpan w:val="9"/>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Total Fixed Maturities</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72,545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5,125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306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77,342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99010574"/>
          <w:trHeight w:val="280"/>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699010574"/>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As of December 31, 2020: (1)</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699010574"/>
        </w:trPr>
        <w:tc>
          <w:tcPr>
            <w:tcW w:w="0" w:type="auto"/>
            <w:gridSpan w:val="3"/>
            <w:shd w:val="clear" w:color="auto" w:fill="FFFFFF"/>
            <w:tcMar>
              <w:top w:w="30" w:type="dxa"/>
              <w:left w:w="20" w:type="dxa"/>
              <w:bottom w:w="30" w:type="dxa"/>
              <w:right w:w="20" w:type="dxa"/>
            </w:tcMar>
            <w:hideMark/>
          </w:tcPr>
          <w:p w:rsidR="00000000" w:rsidRDefault="005B0BC3">
            <w:pPr>
              <w:spacing w:after="100"/>
              <w:jc w:val="right"/>
              <w:rPr>
                <w:rFonts w:eastAsia="Times New Roman"/>
              </w:rPr>
            </w:pPr>
            <w:r>
              <w:rPr>
                <w:rFonts w:eastAsia="Times New Roman"/>
                <w:color w:val="000000"/>
                <w:sz w:val="20"/>
                <w:szCs w:val="20"/>
              </w:rPr>
              <w:t>1................................</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Aaa, Aa, A</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44,146 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6,227 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50,341 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99010574"/>
        </w:trPr>
        <w:tc>
          <w:tcPr>
            <w:tcW w:w="0" w:type="auto"/>
            <w:gridSpan w:val="3"/>
            <w:shd w:val="clear" w:color="auto" w:fill="CCEEFF"/>
            <w:tcMar>
              <w:top w:w="30" w:type="dxa"/>
              <w:left w:w="20" w:type="dxa"/>
              <w:bottom w:w="30" w:type="dxa"/>
              <w:right w:w="20" w:type="dxa"/>
            </w:tcMar>
            <w:hideMark/>
          </w:tcPr>
          <w:p w:rsidR="00000000" w:rsidRDefault="005B0BC3">
            <w:pPr>
              <w:spacing w:after="100"/>
              <w:jc w:val="right"/>
              <w:rPr>
                <w:rFonts w:eastAsia="Times New Roman"/>
              </w:rPr>
            </w:pPr>
            <w:r>
              <w:rPr>
                <w:rFonts w:eastAsia="Times New Roman"/>
                <w:color w:val="000000"/>
                <w:sz w:val="20"/>
                <w:szCs w:val="20"/>
              </w:rPr>
              <w:t>2................................</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Baa</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25,285 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2,621 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27,880 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99010574"/>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Investment grade</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69,431 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8,848 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58 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78,221 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99010574"/>
        </w:trPr>
        <w:tc>
          <w:tcPr>
            <w:tcW w:w="0" w:type="auto"/>
            <w:gridSpan w:val="3"/>
            <w:shd w:val="clear" w:color="auto" w:fill="CCEEFF"/>
            <w:tcMar>
              <w:top w:w="30" w:type="dxa"/>
              <w:left w:w="20" w:type="dxa"/>
              <w:bottom w:w="30" w:type="dxa"/>
              <w:right w:w="20" w:type="dxa"/>
            </w:tcMar>
            <w:hideMark/>
          </w:tcPr>
          <w:p w:rsidR="00000000" w:rsidRDefault="005B0BC3">
            <w:pPr>
              <w:spacing w:after="100"/>
              <w:jc w:val="right"/>
              <w:rPr>
                <w:rFonts w:eastAsia="Times New Roman"/>
              </w:rPr>
            </w:pPr>
            <w:r>
              <w:rPr>
                <w:rFonts w:eastAsia="Times New Roman"/>
                <w:color w:val="000000"/>
                <w:sz w:val="20"/>
                <w:szCs w:val="20"/>
              </w:rPr>
              <w:t>3................................</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Ba</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1,436 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1,450 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99010574"/>
        </w:trPr>
        <w:tc>
          <w:tcPr>
            <w:tcW w:w="0" w:type="auto"/>
            <w:gridSpan w:val="3"/>
            <w:shd w:val="clear" w:color="auto" w:fill="FFFFFF"/>
            <w:tcMar>
              <w:top w:w="30" w:type="dxa"/>
              <w:left w:w="20" w:type="dxa"/>
              <w:bottom w:w="30" w:type="dxa"/>
              <w:right w:w="20" w:type="dxa"/>
            </w:tcMar>
            <w:hideMark/>
          </w:tcPr>
          <w:p w:rsidR="00000000" w:rsidRDefault="005B0BC3">
            <w:pPr>
              <w:spacing w:after="100"/>
              <w:jc w:val="right"/>
              <w:rPr>
                <w:rFonts w:eastAsia="Times New Roman"/>
              </w:rPr>
            </w:pPr>
            <w:r>
              <w:rPr>
                <w:rFonts w:eastAsia="Times New Roman"/>
                <w:color w:val="000000"/>
                <w:sz w:val="20"/>
                <w:szCs w:val="20"/>
              </w:rPr>
              <w:t>4................................</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B</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769 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735 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99010574"/>
        </w:trPr>
        <w:tc>
          <w:tcPr>
            <w:tcW w:w="0" w:type="auto"/>
            <w:gridSpan w:val="3"/>
            <w:shd w:val="clear" w:color="auto" w:fill="CCEEFF"/>
            <w:tcMar>
              <w:top w:w="30" w:type="dxa"/>
              <w:left w:w="20" w:type="dxa"/>
              <w:bottom w:w="30" w:type="dxa"/>
              <w:right w:w="20" w:type="dxa"/>
            </w:tcMar>
            <w:hideMark/>
          </w:tcPr>
          <w:p w:rsidR="00000000" w:rsidRDefault="005B0BC3">
            <w:pPr>
              <w:spacing w:after="100"/>
              <w:jc w:val="right"/>
              <w:rPr>
                <w:rFonts w:eastAsia="Times New Roman"/>
              </w:rPr>
            </w:pPr>
            <w:r>
              <w:rPr>
                <w:rFonts w:eastAsia="Times New Roman"/>
                <w:color w:val="000000"/>
                <w:sz w:val="20"/>
                <w:szCs w:val="20"/>
              </w:rPr>
              <w:t>5................................</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Caa</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99010574"/>
        </w:trPr>
        <w:tc>
          <w:tcPr>
            <w:tcW w:w="0" w:type="auto"/>
            <w:gridSpan w:val="3"/>
            <w:shd w:val="clear" w:color="auto" w:fill="FFFFFF"/>
            <w:tcMar>
              <w:top w:w="30" w:type="dxa"/>
              <w:left w:w="20" w:type="dxa"/>
              <w:bottom w:w="30" w:type="dxa"/>
              <w:right w:w="20" w:type="dxa"/>
            </w:tcMar>
            <w:hideMark/>
          </w:tcPr>
          <w:p w:rsidR="00000000" w:rsidRDefault="005B0BC3">
            <w:pPr>
              <w:spacing w:after="100"/>
              <w:jc w:val="right"/>
              <w:rPr>
                <w:rFonts w:eastAsia="Times New Roman"/>
              </w:rPr>
            </w:pPr>
            <w:r>
              <w:rPr>
                <w:rFonts w:eastAsia="Times New Roman"/>
                <w:color w:val="000000"/>
                <w:sz w:val="20"/>
                <w:szCs w:val="20"/>
              </w:rPr>
              <w:t>6................................</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Ca, C</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99010574"/>
        </w:trPr>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Below investment grade</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2,307 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2,284 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99010574"/>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Fixed Maturities</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71,738 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8,891 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80,505 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ind w:hanging="360"/>
        <w:divId w:val="970213965"/>
        <w:rPr>
          <w:rFonts w:eastAsia="Times New Roman"/>
        </w:rPr>
      </w:pPr>
      <w:r>
        <w:rPr>
          <w:rFonts w:eastAsia="Times New Roman"/>
          <w:color w:val="000000"/>
          <w:sz w:val="18"/>
          <w:szCs w:val="18"/>
        </w:rPr>
        <w:t>______________</w:t>
      </w:r>
    </w:p>
    <w:p w:rsidR="00000000" w:rsidRDefault="005B0BC3">
      <w:pPr>
        <w:ind w:hanging="360"/>
        <w:divId w:val="277570511"/>
        <w:rPr>
          <w:rFonts w:eastAsia="Times New Roman"/>
        </w:rPr>
      </w:pPr>
      <w:r>
        <w:rPr>
          <w:rFonts w:eastAsia="Times New Roman"/>
          <w:color w:val="000000"/>
          <w:sz w:val="18"/>
          <w:szCs w:val="18"/>
        </w:rPr>
        <w:t>(1)Excludes amounts reclassified as HFS.</w:t>
      </w:r>
    </w:p>
    <w:p w:rsidR="00000000" w:rsidRDefault="005B0BC3">
      <w:pPr>
        <w:ind w:firstLine="360"/>
        <w:divId w:val="699474657"/>
        <w:rPr>
          <w:rFonts w:eastAsia="Times New Roman"/>
        </w:rPr>
      </w:pPr>
    </w:p>
    <w:p w:rsidR="00000000" w:rsidRDefault="005B0BC3">
      <w:pPr>
        <w:jc w:val="center"/>
        <w:divId w:val="368844558"/>
        <w:rPr>
          <w:rFonts w:eastAsia="Times New Roman"/>
        </w:rPr>
      </w:pPr>
      <w:r>
        <w:rPr>
          <w:rFonts w:eastAsia="Times New Roman"/>
          <w:color w:val="000000"/>
          <w:sz w:val="20"/>
          <w:szCs w:val="20"/>
        </w:rPr>
        <w:t>103</w:t>
      </w:r>
    </w:p>
    <w:p w:rsidR="00000000" w:rsidRDefault="005B0BC3">
      <w:pPr>
        <w:rPr>
          <w:rFonts w:eastAsia="Times New Roman"/>
        </w:rPr>
      </w:pPr>
      <w:r>
        <w:rPr>
          <w:rFonts w:eastAsia="Times New Roman"/>
        </w:rPr>
        <w:pict>
          <v:rect id="_x0000_i1141" style="width:0;height:1.5pt" o:hralign="center" o:hrstd="t" o:hr="t" fillcolor="#a0a0a0" stroked="f"/>
        </w:pict>
      </w:r>
    </w:p>
    <w:p w:rsidR="00000000" w:rsidRDefault="005B0BC3">
      <w:pPr>
        <w:divId w:val="1299527516"/>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jc w:val="both"/>
        <w:divId w:val="91437454"/>
        <w:rPr>
          <w:rFonts w:eastAsia="Times New Roman"/>
        </w:rPr>
      </w:pPr>
      <w:r>
        <w:rPr>
          <w:rFonts w:eastAsia="Times New Roman"/>
          <w:b/>
          <w:bCs/>
          <w:i/>
          <w:iCs/>
          <w:color w:val="000000"/>
          <w:sz w:val="20"/>
          <w:szCs w:val="20"/>
        </w:rPr>
        <w:t xml:space="preserve">Mortgage Loans </w:t>
      </w:r>
    </w:p>
    <w:p w:rsidR="00000000" w:rsidRDefault="005B0BC3">
      <w:pPr>
        <w:ind w:firstLine="360"/>
        <w:divId w:val="494951777"/>
        <w:rPr>
          <w:rFonts w:eastAsia="Times New Roman"/>
        </w:rPr>
      </w:pPr>
      <w:r>
        <w:rPr>
          <w:rFonts w:eastAsia="Times New Roman"/>
          <w:color w:val="000000"/>
          <w:sz w:val="20"/>
          <w:szCs w:val="20"/>
        </w:rPr>
        <w:t>The mortgage portfol</w:t>
      </w:r>
      <w:r>
        <w:rPr>
          <w:rFonts w:eastAsia="Times New Roman"/>
          <w:color w:val="000000"/>
          <w:sz w:val="20"/>
          <w:szCs w:val="20"/>
        </w:rPr>
        <w:t>io primarily consists of commercial and agricultural mortgage loans. The investment strategy for the mortgage loan portfolio emphasizes diversification by property type and geographic location with a primary focus on asset quality. The tables below show th</w:t>
      </w:r>
      <w:r>
        <w:rPr>
          <w:rFonts w:eastAsia="Times New Roman"/>
          <w:color w:val="000000"/>
          <w:sz w:val="20"/>
          <w:szCs w:val="20"/>
        </w:rPr>
        <w:t>e breakdown of the amortized cost of the General Account’s investments in mortgage loans by geographic region and property type as of the dates indicated.</w:t>
      </w:r>
    </w:p>
    <w:p w:rsidR="00000000" w:rsidRDefault="005B0BC3">
      <w:pPr>
        <w:jc w:val="center"/>
        <w:rPr>
          <w:rFonts w:eastAsia="Times New Roman"/>
        </w:rPr>
      </w:pPr>
      <w:r>
        <w:rPr>
          <w:rFonts w:eastAsia="Times New Roman"/>
          <w:b/>
          <w:bCs/>
          <w:color w:val="000000"/>
          <w:sz w:val="20"/>
          <w:szCs w:val="20"/>
        </w:rPr>
        <w:t>Mortgage Loans by Region and Property Type</w:t>
      </w:r>
    </w:p>
    <w:tbl>
      <w:tblPr>
        <w:tblW w:w="5000" w:type="pct"/>
        <w:tblCellMar>
          <w:top w:w="15" w:type="dxa"/>
          <w:left w:w="15" w:type="dxa"/>
          <w:bottom w:w="15" w:type="dxa"/>
          <w:right w:w="15" w:type="dxa"/>
        </w:tblCellMar>
        <w:tblLook w:val="04A0" w:firstRow="1" w:lastRow="0" w:firstColumn="1" w:lastColumn="0" w:noHBand="0" w:noVBand="1"/>
      </w:tblPr>
      <w:tblGrid>
        <w:gridCol w:w="40"/>
        <w:gridCol w:w="4111"/>
        <w:gridCol w:w="39"/>
        <w:gridCol w:w="121"/>
        <w:gridCol w:w="802"/>
        <w:gridCol w:w="37"/>
        <w:gridCol w:w="36"/>
        <w:gridCol w:w="36"/>
        <w:gridCol w:w="36"/>
        <w:gridCol w:w="68"/>
        <w:gridCol w:w="704"/>
        <w:gridCol w:w="220"/>
        <w:gridCol w:w="36"/>
        <w:gridCol w:w="36"/>
        <w:gridCol w:w="36"/>
        <w:gridCol w:w="120"/>
        <w:gridCol w:w="734"/>
        <w:gridCol w:w="36"/>
        <w:gridCol w:w="36"/>
        <w:gridCol w:w="36"/>
        <w:gridCol w:w="36"/>
        <w:gridCol w:w="63"/>
        <w:gridCol w:w="700"/>
        <w:gridCol w:w="187"/>
      </w:tblGrid>
      <w:tr w:rsidR="00000000">
        <w:trPr>
          <w:divId w:val="542523313"/>
        </w:trPr>
        <w:tc>
          <w:tcPr>
            <w:tcW w:w="50" w:type="pct"/>
            <w:vAlign w:val="center"/>
            <w:hideMark/>
          </w:tcPr>
          <w:p w:rsidR="00000000" w:rsidRDefault="005B0BC3">
            <w:pPr>
              <w:jc w:val="center"/>
              <w:rPr>
                <w:rFonts w:eastAsia="Times New Roman"/>
              </w:rPr>
            </w:pPr>
          </w:p>
        </w:tc>
        <w:tc>
          <w:tcPr>
            <w:tcW w:w="252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2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2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2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2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542523313"/>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December 31, 2021</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December 31, 2020</w:t>
            </w:r>
          </w:p>
        </w:tc>
      </w:tr>
      <w:tr w:rsidR="00000000">
        <w:trPr>
          <w:divId w:val="542523313"/>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Amortized</w:t>
            </w:r>
          </w:p>
          <w:p w:rsidR="00000000" w:rsidRDefault="005B0BC3">
            <w:pPr>
              <w:spacing w:after="100"/>
              <w:jc w:val="center"/>
              <w:rPr>
                <w:rFonts w:eastAsia="Times New Roman"/>
              </w:rPr>
            </w:pPr>
            <w:r>
              <w:rPr>
                <w:rFonts w:eastAsia="Times New Roman"/>
                <w:b/>
                <w:bCs/>
                <w:color w:val="000000"/>
                <w:sz w:val="16"/>
                <w:szCs w:val="16"/>
              </w:rPr>
              <w:t>Cost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 of Total</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Amortized</w:t>
            </w:r>
          </w:p>
          <w:p w:rsidR="00000000" w:rsidRDefault="005B0BC3">
            <w:pPr>
              <w:spacing w:after="100"/>
              <w:jc w:val="center"/>
              <w:rPr>
                <w:rFonts w:eastAsia="Times New Roman"/>
              </w:rPr>
            </w:pPr>
            <w:r>
              <w:rPr>
                <w:rFonts w:eastAsia="Times New Roman"/>
                <w:color w:val="000000"/>
                <w:sz w:val="16"/>
                <w:szCs w:val="16"/>
              </w:rPr>
              <w:t>Cost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 of Total</w:t>
            </w:r>
          </w:p>
        </w:tc>
      </w:tr>
      <w:tr w:rsidR="00000000">
        <w:trPr>
          <w:divId w:val="542523313"/>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542523313"/>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By Region:</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542523313"/>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U.S. Regions:</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542523313"/>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Pacific</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4,297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3,912 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r>
      <w:tr w:rsidR="00000000">
        <w:trPr>
          <w:divId w:val="542523313"/>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Middle Atlantic</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3,441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3,662 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542523313"/>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South Atlantic</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1,982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1,290 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542523313"/>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East North Central</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1,122 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542523313"/>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Mountain</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978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1,026 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542523313"/>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West North Central</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875 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542523313"/>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West South Central</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690 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542523313"/>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New England</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511 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542523313"/>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East South Central</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542523313"/>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Total U.S.</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13,969</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99</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13,240 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r>
      <w:tr w:rsidR="00000000">
        <w:trPr>
          <w:divId w:val="542523313"/>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Other Regions:</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542523313"/>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Europe</w:t>
            </w: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r>
      <w:tr w:rsidR="00000000">
        <w:trPr>
          <w:divId w:val="542523313"/>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Total Other</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542523313"/>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Total Mortgage Loans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14,095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13,240 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r>
      <w:tr w:rsidR="00000000">
        <w:trPr>
          <w:divId w:val="542523313"/>
          <w:trHeight w:val="280"/>
        </w:trPr>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542523313"/>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By Property Type:</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542523313"/>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Office</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3,944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4,131 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r>
      <w:tr w:rsidR="00000000">
        <w:trPr>
          <w:divId w:val="542523313"/>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Multifamily</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4,694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4,027 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542523313"/>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Agricultural loans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2,644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2,732 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542523313"/>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Retail</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742 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542523313"/>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Industrial</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787 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542523313"/>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Hospitality</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477 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542523313"/>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344 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542523313"/>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Total Mortgage Loans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14,095</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13,240 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r>
    </w:tbl>
    <w:p w:rsidR="00000000" w:rsidRDefault="005B0BC3">
      <w:pPr>
        <w:jc w:val="center"/>
        <w:divId w:val="214043995"/>
        <w:rPr>
          <w:rFonts w:eastAsia="Times New Roman"/>
        </w:rPr>
      </w:pPr>
      <w:r>
        <w:rPr>
          <w:rFonts w:eastAsia="Times New Roman"/>
          <w:color w:val="000000"/>
          <w:sz w:val="20"/>
          <w:szCs w:val="20"/>
        </w:rPr>
        <w:t>104</w:t>
      </w:r>
    </w:p>
    <w:p w:rsidR="00000000" w:rsidRDefault="005B0BC3">
      <w:pPr>
        <w:rPr>
          <w:rFonts w:eastAsia="Times New Roman"/>
        </w:rPr>
      </w:pPr>
      <w:r>
        <w:rPr>
          <w:rFonts w:eastAsia="Times New Roman"/>
        </w:rPr>
        <w:pict>
          <v:rect id="_x0000_i1142" style="width:0;height:1.5pt" o:hralign="center" o:hrstd="t" o:hr="t" fillcolor="#a0a0a0" stroked="f"/>
        </w:pict>
      </w:r>
    </w:p>
    <w:p w:rsidR="00000000" w:rsidRDefault="005B0BC3">
      <w:pPr>
        <w:divId w:val="1319112383"/>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divId w:val="33821276"/>
        <w:rPr>
          <w:rFonts w:eastAsia="Times New Roman"/>
        </w:rPr>
      </w:pPr>
    </w:p>
    <w:p w:rsidR="00000000" w:rsidRDefault="005B0BC3">
      <w:pPr>
        <w:divId w:val="1857500366"/>
        <w:rPr>
          <w:rFonts w:eastAsia="Times New Roman"/>
        </w:rPr>
      </w:pPr>
      <w:r>
        <w:rPr>
          <w:rFonts w:eastAsia="Times New Roman"/>
          <w:b/>
          <w:bCs/>
          <w:color w:val="000000"/>
          <w:sz w:val="20"/>
          <w:szCs w:val="20"/>
        </w:rPr>
        <w:t>Liquidity and Capital Resources</w:t>
      </w:r>
    </w:p>
    <w:p w:rsidR="00000000" w:rsidRDefault="005B0BC3">
      <w:pPr>
        <w:ind w:firstLine="360"/>
        <w:divId w:val="1304382371"/>
        <w:rPr>
          <w:rFonts w:eastAsia="Times New Roman"/>
        </w:rPr>
      </w:pPr>
      <w:r>
        <w:rPr>
          <w:rFonts w:eastAsia="Times New Roman"/>
          <w:color w:val="000000"/>
          <w:sz w:val="20"/>
          <w:szCs w:val="20"/>
        </w:rPr>
        <w:t>Liquidity refers to our ability to generate adequate amounts of cash from our operating, investment and fina</w:t>
      </w:r>
      <w:r>
        <w:rPr>
          <w:rFonts w:eastAsia="Times New Roman"/>
          <w:color w:val="000000"/>
          <w:sz w:val="20"/>
          <w:szCs w:val="20"/>
        </w:rPr>
        <w:t>ncing activities to meet our cash requirements with a prudent margin of safety. Capital refers to our long-term financial resources available to support business operations and future growth. Our ability to generate and maintain sufficient liquidity and ca</w:t>
      </w:r>
      <w:r>
        <w:rPr>
          <w:rFonts w:eastAsia="Times New Roman"/>
          <w:color w:val="000000"/>
          <w:sz w:val="20"/>
          <w:szCs w:val="20"/>
        </w:rPr>
        <w:t>pital is dependent on the profitability of our businesses, timing of cash flows related to our investments and products, our ability to access the capital markets, general economic conditions and the alternative sources of liquidity and capital described h</w:t>
      </w:r>
      <w:r>
        <w:rPr>
          <w:rFonts w:eastAsia="Times New Roman"/>
          <w:color w:val="000000"/>
          <w:sz w:val="20"/>
          <w:szCs w:val="20"/>
        </w:rPr>
        <w:t>erein. When considering our liquidity and cash flows, we distinguish between the needs of Holdings and the needs of our insurance and non-insurance subsidiaries. We also distinguish and separately manage the liquidity and capital resources of our retiremen</w:t>
      </w:r>
      <w:r>
        <w:rPr>
          <w:rFonts w:eastAsia="Times New Roman"/>
          <w:color w:val="000000"/>
          <w:sz w:val="20"/>
          <w:szCs w:val="20"/>
        </w:rPr>
        <w:t>t and protection businesses (our Individual Retirement, Group Retirement and Protection Solutions segments) and our Investment Management and Research segment.</w:t>
      </w:r>
    </w:p>
    <w:p w:rsidR="00000000" w:rsidRDefault="005B0BC3">
      <w:pPr>
        <w:jc w:val="both"/>
        <w:divId w:val="1412312720"/>
        <w:rPr>
          <w:rFonts w:eastAsia="Times New Roman"/>
        </w:rPr>
      </w:pPr>
      <w:r>
        <w:rPr>
          <w:rFonts w:eastAsia="Times New Roman"/>
          <w:b/>
          <w:bCs/>
          <w:i/>
          <w:iCs/>
          <w:color w:val="000000"/>
          <w:sz w:val="20"/>
          <w:szCs w:val="20"/>
        </w:rPr>
        <w:t>Sources and Uses of Liquidity</w:t>
      </w:r>
      <w:r>
        <w:rPr>
          <w:rFonts w:eastAsia="Times New Roman"/>
          <w:b/>
          <w:bCs/>
          <w:color w:val="000000"/>
          <w:sz w:val="20"/>
          <w:szCs w:val="20"/>
        </w:rPr>
        <w:t xml:space="preserve"> </w:t>
      </w:r>
    </w:p>
    <w:p w:rsidR="00000000" w:rsidRDefault="005B0BC3">
      <w:pPr>
        <w:ind w:firstLine="360"/>
        <w:divId w:val="1891459241"/>
        <w:rPr>
          <w:rFonts w:eastAsia="Times New Roman"/>
        </w:rPr>
      </w:pPr>
      <w:r>
        <w:rPr>
          <w:rFonts w:eastAsia="Times New Roman"/>
          <w:color w:val="000000"/>
          <w:sz w:val="20"/>
          <w:szCs w:val="20"/>
        </w:rPr>
        <w:t>The Company has sufficient cash flows from operations to satisfy liquidity requirements in 2022.</w:t>
      </w:r>
    </w:p>
    <w:p w:rsidR="00000000" w:rsidRDefault="005B0BC3">
      <w:pPr>
        <w:divId w:val="1317608287"/>
        <w:rPr>
          <w:rFonts w:eastAsia="Times New Roman"/>
        </w:rPr>
      </w:pPr>
      <w:r>
        <w:rPr>
          <w:rFonts w:eastAsia="Times New Roman"/>
          <w:i/>
          <w:iCs/>
          <w:color w:val="000000"/>
          <w:sz w:val="20"/>
          <w:szCs w:val="20"/>
          <w:u w:val="single"/>
        </w:rPr>
        <w:t>Cash Flows of Holdings</w:t>
      </w:r>
    </w:p>
    <w:p w:rsidR="00000000" w:rsidRDefault="005B0BC3">
      <w:pPr>
        <w:ind w:firstLine="360"/>
        <w:divId w:val="235407098"/>
        <w:rPr>
          <w:rFonts w:eastAsia="Times New Roman"/>
        </w:rPr>
      </w:pPr>
      <w:r>
        <w:rPr>
          <w:rFonts w:eastAsia="Times New Roman"/>
          <w:color w:val="000000"/>
          <w:sz w:val="20"/>
          <w:szCs w:val="20"/>
        </w:rPr>
        <w:t xml:space="preserve">As a holding company with no business operations of its own, Holdings primarily derives cash flows from dividends from its subsidiaries </w:t>
      </w:r>
      <w:r>
        <w:rPr>
          <w:rFonts w:eastAsia="Times New Roman"/>
          <w:color w:val="000000"/>
          <w:sz w:val="20"/>
          <w:szCs w:val="20"/>
        </w:rPr>
        <w:t>and distributions related to its economic interest in AB, nearly all of which is currently held outside our insurance company subsidiaries. These principal sources of liquidity are augmented by cash and short-term investments held by Holdings and access to</w:t>
      </w:r>
      <w:r>
        <w:rPr>
          <w:rFonts w:eastAsia="Times New Roman"/>
          <w:color w:val="000000"/>
          <w:sz w:val="20"/>
          <w:szCs w:val="20"/>
        </w:rPr>
        <w:t xml:space="preserve"> bank lines of credit and the capital markets. The main uses of liquidity for Holdings are interest payments and debt repayment, payment of dividends and other distributions to stockholders (which may include stock repurchases) loans and capital contributi</w:t>
      </w:r>
      <w:r>
        <w:rPr>
          <w:rFonts w:eastAsia="Times New Roman"/>
          <w:color w:val="000000"/>
          <w:sz w:val="20"/>
          <w:szCs w:val="20"/>
        </w:rPr>
        <w:t>ons, if needed, to our insurance subsidiaries. Our principal sources of liquidity and our capital position are described in the following paragraphs.</w:t>
      </w:r>
    </w:p>
    <w:p w:rsidR="00000000" w:rsidRDefault="005B0BC3">
      <w:pPr>
        <w:divId w:val="1095906961"/>
        <w:rPr>
          <w:rFonts w:eastAsia="Times New Roman"/>
        </w:rPr>
      </w:pPr>
      <w:r>
        <w:rPr>
          <w:rFonts w:eastAsia="Times New Roman"/>
          <w:b/>
          <w:bCs/>
          <w:color w:val="000000"/>
          <w:sz w:val="20"/>
          <w:szCs w:val="20"/>
        </w:rPr>
        <w:t>Sources and Uses of Holding Company Highly Liquid Assets</w:t>
      </w:r>
    </w:p>
    <w:p w:rsidR="00000000" w:rsidRDefault="005B0BC3">
      <w:pPr>
        <w:ind w:firstLine="360"/>
        <w:divId w:val="49157464"/>
        <w:rPr>
          <w:rFonts w:eastAsia="Times New Roman"/>
        </w:rPr>
      </w:pPr>
      <w:r>
        <w:rPr>
          <w:rFonts w:eastAsia="Times New Roman"/>
          <w:color w:val="000000"/>
          <w:sz w:val="20"/>
          <w:szCs w:val="20"/>
        </w:rPr>
        <w:t>The following table sets forth Holdings’ principa</w:t>
      </w:r>
      <w:r>
        <w:rPr>
          <w:rFonts w:eastAsia="Times New Roman"/>
          <w:color w:val="000000"/>
          <w:sz w:val="20"/>
          <w:szCs w:val="20"/>
        </w:rPr>
        <w:t>l sources and uses of highly liquid assets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6097"/>
        <w:gridCol w:w="39"/>
        <w:gridCol w:w="120"/>
        <w:gridCol w:w="872"/>
        <w:gridCol w:w="36"/>
        <w:gridCol w:w="36"/>
        <w:gridCol w:w="36"/>
        <w:gridCol w:w="36"/>
        <w:gridCol w:w="120"/>
        <w:gridCol w:w="838"/>
        <w:gridCol w:w="36"/>
      </w:tblGrid>
      <w:tr w:rsidR="00000000">
        <w:trPr>
          <w:divId w:val="295918811"/>
        </w:trPr>
        <w:tc>
          <w:tcPr>
            <w:tcW w:w="50" w:type="pct"/>
            <w:vAlign w:val="center"/>
            <w:hideMark/>
          </w:tcPr>
          <w:p w:rsidR="00000000" w:rsidRDefault="005B0BC3">
            <w:pPr>
              <w:ind w:firstLine="360"/>
              <w:rPr>
                <w:rFonts w:eastAsia="Times New Roman"/>
              </w:rPr>
            </w:pPr>
          </w:p>
        </w:tc>
        <w:tc>
          <w:tcPr>
            <w:tcW w:w="369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295918811"/>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r>
      <w:tr w:rsidR="00000000">
        <w:trPr>
          <w:divId w:val="295918811"/>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r>
      <w:tr w:rsidR="00000000">
        <w:trPr>
          <w:divId w:val="295918811"/>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295918811"/>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Highly Liquid Assets, beginning of period</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3,088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1,589 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95918811"/>
        </w:trPr>
        <w:tc>
          <w:tcPr>
            <w:tcW w:w="0" w:type="auto"/>
            <w:gridSpan w:val="3"/>
            <w:shd w:val="clear" w:color="auto" w:fill="FFFF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Dividends from subsidiaries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792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2,877 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95918811"/>
        </w:trPr>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295918811"/>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295918811"/>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295918811"/>
        </w:trPr>
        <w:tc>
          <w:tcPr>
            <w:tcW w:w="0" w:type="auto"/>
            <w:gridSpan w:val="3"/>
            <w:shd w:val="clear" w:color="auto" w:fill="CCEE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Capital contributions to subsidiaries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(815)</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(350)</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95918811"/>
        </w:trPr>
        <w:tc>
          <w:tcPr>
            <w:tcW w:w="0" w:type="auto"/>
            <w:gridSpan w:val="3"/>
            <w:shd w:val="clear" w:color="auto" w:fill="FFFF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M&amp;A Activity</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95918811"/>
        </w:trPr>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295918811"/>
        </w:trPr>
        <w:tc>
          <w:tcPr>
            <w:tcW w:w="0" w:type="auto"/>
            <w:gridSpan w:val="3"/>
            <w:shd w:val="clear" w:color="auto" w:fill="CCEE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Income taxes payable</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95918811"/>
        </w:trPr>
        <w:tc>
          <w:tcPr>
            <w:tcW w:w="0" w:type="auto"/>
            <w:gridSpan w:val="3"/>
            <w:shd w:val="clear" w:color="auto" w:fill="FFFFFF"/>
            <w:tcMar>
              <w:top w:w="30" w:type="dxa"/>
              <w:left w:w="38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Total Business Capital Activity</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192</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2,527 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95918811"/>
          <w:trHeight w:val="280"/>
        </w:trPr>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295918811"/>
        </w:trPr>
        <w:tc>
          <w:tcPr>
            <w:tcW w:w="0" w:type="auto"/>
            <w:gridSpan w:val="3"/>
            <w:shd w:val="clear" w:color="auto" w:fill="FFFF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Purchase of treasury shares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(1,637)</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(430)</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95918811"/>
        </w:trPr>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295918811"/>
        </w:trPr>
        <w:tc>
          <w:tcPr>
            <w:tcW w:w="0" w:type="auto"/>
            <w:gridSpan w:val="3"/>
            <w:shd w:val="clear" w:color="auto" w:fill="CCEE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Shareholder dividends paid</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(296)</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(297)</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95918811"/>
        </w:trPr>
        <w:tc>
          <w:tcPr>
            <w:tcW w:w="0" w:type="auto"/>
            <w:gridSpan w:val="3"/>
            <w:shd w:val="clear" w:color="auto" w:fill="FFFFFF"/>
            <w:tcMar>
              <w:top w:w="30" w:type="dxa"/>
              <w:left w:w="38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Total Share Repurchases, Dividends and Acquisition Activity</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(1,933)</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(727)</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95918811"/>
        </w:trPr>
        <w:tc>
          <w:tcPr>
            <w:tcW w:w="0" w:type="auto"/>
            <w:gridSpan w:val="3"/>
            <w:shd w:val="clear" w:color="auto" w:fill="CCEE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Issuance of preferred stock</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293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95918811"/>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Preferred stock dividend</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(79)</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(53)</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95918811"/>
        </w:trPr>
        <w:tc>
          <w:tcPr>
            <w:tcW w:w="0" w:type="auto"/>
            <w:gridSpan w:val="3"/>
            <w:shd w:val="clear" w:color="auto" w:fill="CCEEFF"/>
            <w:tcMar>
              <w:top w:w="30" w:type="dxa"/>
              <w:left w:w="38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Total Preferred Stock Activity</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214</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441 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95918811"/>
          <w:trHeight w:val="280"/>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295918811"/>
        </w:trPr>
        <w:tc>
          <w:tcPr>
            <w:tcW w:w="0" w:type="auto"/>
            <w:gridSpan w:val="3"/>
            <w:shd w:val="clear" w:color="auto" w:fill="CCEE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Issuance of long-term debt</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95918811"/>
        </w:trPr>
        <w:tc>
          <w:tcPr>
            <w:tcW w:w="0" w:type="auto"/>
            <w:gridSpan w:val="3"/>
            <w:shd w:val="clear" w:color="auto" w:fill="FFFF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Repayment of long-term debt</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(280)</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95918811"/>
        </w:trPr>
        <w:tc>
          <w:tcPr>
            <w:tcW w:w="0" w:type="auto"/>
            <w:gridSpan w:val="3"/>
            <w:shd w:val="clear" w:color="auto" w:fill="CCEEFF"/>
            <w:tcMar>
              <w:top w:w="30" w:type="dxa"/>
              <w:left w:w="38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Total External Debt Activity</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(280)</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95918811"/>
          <w:trHeight w:val="280"/>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295918811"/>
        </w:trPr>
        <w:tc>
          <w:tcPr>
            <w:tcW w:w="0" w:type="auto"/>
            <w:gridSpan w:val="3"/>
            <w:shd w:val="clear" w:color="auto" w:fill="CCEE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Repayments of loans from affiliates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(300)</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95918811"/>
        </w:trPr>
        <w:tc>
          <w:tcPr>
            <w:tcW w:w="0" w:type="auto"/>
            <w:gridSpan w:val="3"/>
            <w:shd w:val="clear" w:color="auto" w:fill="FFFF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Proceeds from loans from affiliates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1,000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95918811"/>
        </w:trPr>
        <w:tc>
          <w:tcPr>
            <w:tcW w:w="0" w:type="auto"/>
            <w:gridSpan w:val="3"/>
            <w:shd w:val="clear" w:color="auto" w:fill="CCEE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Repayment of loans to affiliates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ascii="Arial" w:eastAsia="Times New Roman" w:hAnsi="Arial" w:cs="Arial"/>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jc w:val="center"/>
        <w:divId w:val="1599408598"/>
        <w:rPr>
          <w:rFonts w:eastAsia="Times New Roman"/>
        </w:rPr>
      </w:pPr>
      <w:r>
        <w:rPr>
          <w:rFonts w:eastAsia="Times New Roman"/>
          <w:color w:val="000000"/>
          <w:sz w:val="20"/>
          <w:szCs w:val="20"/>
        </w:rPr>
        <w:t>105</w:t>
      </w:r>
    </w:p>
    <w:p w:rsidR="00000000" w:rsidRDefault="005B0BC3">
      <w:pPr>
        <w:rPr>
          <w:rFonts w:eastAsia="Times New Roman"/>
        </w:rPr>
      </w:pPr>
      <w:r>
        <w:rPr>
          <w:rFonts w:eastAsia="Times New Roman"/>
        </w:rPr>
        <w:pict>
          <v:rect id="_x0000_i1143" style="width:0;height:1.5pt" o:hralign="center" o:hrstd="t" o:hr="t" fillcolor="#a0a0a0" stroked="f"/>
        </w:pict>
      </w:r>
    </w:p>
    <w:p w:rsidR="00000000" w:rsidRDefault="005B0BC3">
      <w:pPr>
        <w:divId w:val="2066174999"/>
        <w:rPr>
          <w:rFonts w:eastAsia="Times New Roman"/>
        </w:rPr>
      </w:pPr>
      <w:hyperlink w:anchor="i2ac35847634046b3a89f93d9b422e8f5_421" w:history="1">
        <w:r>
          <w:rPr>
            <w:rStyle w:val="a3"/>
            <w:rFonts w:eastAsia="Times New Roman"/>
            <w:b/>
            <w:bCs/>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40"/>
        <w:gridCol w:w="6097"/>
        <w:gridCol w:w="38"/>
        <w:gridCol w:w="120"/>
        <w:gridCol w:w="873"/>
        <w:gridCol w:w="36"/>
        <w:gridCol w:w="36"/>
        <w:gridCol w:w="36"/>
        <w:gridCol w:w="36"/>
        <w:gridCol w:w="120"/>
        <w:gridCol w:w="838"/>
        <w:gridCol w:w="36"/>
      </w:tblGrid>
      <w:tr w:rsidR="00000000">
        <w:trPr>
          <w:divId w:val="1283196768"/>
        </w:trPr>
        <w:tc>
          <w:tcPr>
            <w:tcW w:w="50" w:type="pct"/>
            <w:vAlign w:val="center"/>
            <w:hideMark/>
          </w:tcPr>
          <w:p w:rsidR="00000000" w:rsidRDefault="005B0BC3">
            <w:pPr>
              <w:rPr>
                <w:rFonts w:eastAsia="Times New Roman"/>
              </w:rPr>
            </w:pPr>
          </w:p>
        </w:tc>
        <w:tc>
          <w:tcPr>
            <w:tcW w:w="369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283196768"/>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r>
      <w:tr w:rsidR="00000000">
        <w:trPr>
          <w:divId w:val="1283196768"/>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r>
      <w:tr w:rsidR="00000000">
        <w:trPr>
          <w:divId w:val="1283196768"/>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1283196768"/>
        </w:trPr>
        <w:tc>
          <w:tcPr>
            <w:tcW w:w="0" w:type="auto"/>
            <w:gridSpan w:val="3"/>
            <w:shd w:val="clear" w:color="auto" w:fill="FFFF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Issuance of loans to affiliates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283196768"/>
        </w:trPr>
        <w:tc>
          <w:tcPr>
            <w:tcW w:w="0" w:type="auto"/>
            <w:gridSpan w:val="3"/>
            <w:shd w:val="clear" w:color="auto" w:fill="CCEE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Net decrease (increase) in loans to affiliates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(80)</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(115)</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283196768"/>
        </w:trPr>
        <w:tc>
          <w:tcPr>
            <w:tcW w:w="0" w:type="auto"/>
            <w:gridSpan w:val="3"/>
            <w:shd w:val="clear" w:color="auto" w:fill="FFFFFF"/>
            <w:tcMar>
              <w:top w:w="30" w:type="dxa"/>
              <w:left w:w="38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Total Affiliated Debt Activity</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920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(415)</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283196768"/>
          <w:trHeight w:val="300"/>
        </w:trPr>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283196768"/>
        </w:trPr>
        <w:tc>
          <w:tcPr>
            <w:tcW w:w="0" w:type="auto"/>
            <w:gridSpan w:val="3"/>
            <w:shd w:val="clear" w:color="auto" w:fill="FFFF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Interest paid on external debt and P-Caps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(233)</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(220)</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283196768"/>
        </w:trPr>
        <w:tc>
          <w:tcPr>
            <w:tcW w:w="0" w:type="auto"/>
            <w:gridSpan w:val="3"/>
            <w:shd w:val="clear" w:color="auto" w:fill="CCEE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Others, net</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(226)</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(107)</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283196768"/>
        </w:trPr>
        <w:tc>
          <w:tcPr>
            <w:tcW w:w="0" w:type="auto"/>
            <w:gridSpan w:val="3"/>
            <w:shd w:val="clear" w:color="auto" w:fill="FFFFFF"/>
            <w:tcMar>
              <w:top w:w="30" w:type="dxa"/>
              <w:left w:w="38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Total Other Activity</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(459)</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(327)</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283196768"/>
          <w:trHeight w:val="280"/>
        </w:trPr>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283196768"/>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Net increase (decrease) in highly liquid assets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(1,346)</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1,499 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283196768"/>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Highly Liquid Assets, end of period</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1,742</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3,088 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ind w:firstLine="360"/>
        <w:divId w:val="2132939468"/>
        <w:rPr>
          <w:rFonts w:eastAsia="Times New Roman"/>
        </w:rPr>
      </w:pPr>
    </w:p>
    <w:p w:rsidR="00000000" w:rsidRDefault="005B0BC3">
      <w:pPr>
        <w:divId w:val="983896297"/>
        <w:rPr>
          <w:rFonts w:eastAsia="Times New Roman"/>
        </w:rPr>
      </w:pPr>
      <w:r>
        <w:rPr>
          <w:rFonts w:eastAsia="Times New Roman"/>
          <w:i/>
          <w:iCs/>
          <w:color w:val="000000"/>
          <w:sz w:val="20"/>
          <w:szCs w:val="20"/>
          <w:u w:val="single"/>
        </w:rPr>
        <w:t>Capital Contribution to Our Subsidiaries</w:t>
      </w:r>
    </w:p>
    <w:p w:rsidR="00000000" w:rsidRDefault="005B0BC3">
      <w:pPr>
        <w:ind w:firstLine="360"/>
        <w:divId w:val="1366297391"/>
        <w:rPr>
          <w:rFonts w:eastAsia="Times New Roman"/>
        </w:rPr>
      </w:pPr>
      <w:r>
        <w:rPr>
          <w:rFonts w:eastAsia="Times New Roman"/>
          <w:color w:val="000000"/>
          <w:sz w:val="20"/>
          <w:szCs w:val="20"/>
        </w:rPr>
        <w:t>In June 2021, Holdings made a $750 </w:t>
      </w:r>
      <w:r>
        <w:rPr>
          <w:rFonts w:eastAsia="Times New Roman"/>
          <w:color w:val="000000"/>
          <w:sz w:val="20"/>
          <w:szCs w:val="20"/>
        </w:rPr>
        <w:t xml:space="preserve">million cash capital contribution to facilitate a corporate restructuring involving administrative services for Equitable Financial’s Separate Accounts. </w:t>
      </w:r>
    </w:p>
    <w:p w:rsidR="00000000" w:rsidRDefault="005B0BC3">
      <w:pPr>
        <w:divId w:val="505902192"/>
        <w:rPr>
          <w:rFonts w:eastAsia="Times New Roman"/>
        </w:rPr>
      </w:pPr>
      <w:r>
        <w:rPr>
          <w:rFonts w:eastAsia="Times New Roman"/>
          <w:i/>
          <w:iCs/>
          <w:color w:val="000000"/>
          <w:sz w:val="20"/>
          <w:szCs w:val="20"/>
          <w:u w:val="single"/>
        </w:rPr>
        <w:t>Loans from Our Subsidiaries</w:t>
      </w:r>
    </w:p>
    <w:p w:rsidR="00000000" w:rsidRDefault="005B0BC3">
      <w:pPr>
        <w:ind w:firstLine="360"/>
        <w:divId w:val="477264883"/>
        <w:rPr>
          <w:rFonts w:eastAsia="Times New Roman"/>
        </w:rPr>
      </w:pPr>
      <w:r>
        <w:rPr>
          <w:rFonts w:eastAsia="Times New Roman"/>
          <w:color w:val="000000"/>
          <w:sz w:val="20"/>
          <w:szCs w:val="20"/>
        </w:rPr>
        <w:t>In June 2021, Equitable Financial made a $1.0 billion 10-year term loan to</w:t>
      </w:r>
      <w:r>
        <w:rPr>
          <w:rFonts w:eastAsia="Times New Roman"/>
          <w:color w:val="000000"/>
          <w:sz w:val="20"/>
          <w:szCs w:val="20"/>
        </w:rPr>
        <w:t xml:space="preserve"> Holdings for generic liquidity management purpose. The loan has an interest rate of 3.23% and matures in June 2031.</w:t>
      </w:r>
    </w:p>
    <w:p w:rsidR="00000000" w:rsidRDefault="005B0BC3">
      <w:pPr>
        <w:divId w:val="1325400933"/>
        <w:rPr>
          <w:rFonts w:eastAsia="Times New Roman"/>
        </w:rPr>
      </w:pPr>
      <w:r>
        <w:rPr>
          <w:rFonts w:eastAsia="Times New Roman"/>
          <w:i/>
          <w:iCs/>
          <w:color w:val="000000"/>
          <w:sz w:val="20"/>
          <w:szCs w:val="20"/>
          <w:u w:val="single"/>
        </w:rPr>
        <w:t>Cash Distributions from Our Subsidiaries</w:t>
      </w:r>
      <w:r>
        <w:rPr>
          <w:rFonts w:eastAsia="Times New Roman"/>
          <w:color w:val="000000"/>
          <w:sz w:val="20"/>
          <w:szCs w:val="20"/>
        </w:rPr>
        <w:t xml:space="preserve"> </w:t>
      </w:r>
    </w:p>
    <w:p w:rsidR="00000000" w:rsidRDefault="005B0BC3">
      <w:pPr>
        <w:ind w:firstLine="360"/>
        <w:divId w:val="934243214"/>
        <w:rPr>
          <w:rFonts w:eastAsia="Times New Roman"/>
        </w:rPr>
      </w:pPr>
      <w:r>
        <w:rPr>
          <w:rFonts w:eastAsia="Times New Roman"/>
          <w:color w:val="000000"/>
          <w:sz w:val="20"/>
          <w:szCs w:val="20"/>
        </w:rPr>
        <w:t>In 2021, Holdings and certain of its subsidiaries received pretax cash distributions from AB of $</w:t>
      </w:r>
      <w:r>
        <w:rPr>
          <w:rFonts w:eastAsia="Times New Roman"/>
          <w:color w:val="000000"/>
          <w:sz w:val="20"/>
          <w:szCs w:val="20"/>
        </w:rPr>
        <w:t xml:space="preserve">677 million, EIM of $61 million and $140 million in dividends from Equitable Advisors. </w:t>
      </w:r>
    </w:p>
    <w:p w:rsidR="00000000" w:rsidRDefault="005B0BC3">
      <w:pPr>
        <w:divId w:val="1526138068"/>
        <w:rPr>
          <w:rFonts w:eastAsia="Times New Roman"/>
        </w:rPr>
      </w:pPr>
      <w:r>
        <w:rPr>
          <w:rFonts w:eastAsia="Times New Roman"/>
          <w:i/>
          <w:iCs/>
          <w:color w:val="000000"/>
          <w:sz w:val="20"/>
          <w:szCs w:val="20"/>
          <w:u w:val="single"/>
        </w:rPr>
        <w:t>Distributions from Insurance Subsidiaries</w:t>
      </w:r>
    </w:p>
    <w:p w:rsidR="00000000" w:rsidRDefault="005B0BC3">
      <w:pPr>
        <w:ind w:firstLine="360"/>
        <w:divId w:val="955140729"/>
        <w:rPr>
          <w:rFonts w:eastAsia="Times New Roman"/>
        </w:rPr>
      </w:pPr>
      <w:r>
        <w:rPr>
          <w:rFonts w:eastAsia="Times New Roman"/>
          <w:color w:val="000000"/>
          <w:sz w:val="20"/>
          <w:szCs w:val="20"/>
        </w:rPr>
        <w:t>Our insurance companies are subject to limitations on the payment of dividends and other transfers of funds to Holdings and ot</w:t>
      </w:r>
      <w:r>
        <w:rPr>
          <w:rFonts w:eastAsia="Times New Roman"/>
          <w:color w:val="000000"/>
          <w:sz w:val="20"/>
          <w:szCs w:val="20"/>
        </w:rPr>
        <w:t xml:space="preserve">her affiliates under applicable insurance law and regulation. Also, more generally, the ability of our insurance subsidiaries to pay dividends can be affected by market conditions and other factors beyond our control. </w:t>
      </w:r>
    </w:p>
    <w:p w:rsidR="00000000" w:rsidRDefault="005B0BC3">
      <w:pPr>
        <w:ind w:firstLine="360"/>
        <w:divId w:val="651829223"/>
        <w:rPr>
          <w:rFonts w:eastAsia="Times New Roman"/>
        </w:rPr>
      </w:pPr>
      <w:r>
        <w:rPr>
          <w:rFonts w:eastAsia="Times New Roman"/>
          <w:color w:val="000000"/>
          <w:sz w:val="20"/>
          <w:szCs w:val="20"/>
        </w:rPr>
        <w:t>Under New York insurance law applicab</w:t>
      </w:r>
      <w:r>
        <w:rPr>
          <w:rFonts w:eastAsia="Times New Roman"/>
          <w:color w:val="000000"/>
          <w:sz w:val="20"/>
          <w:szCs w:val="20"/>
        </w:rPr>
        <w:t>le to Equitable Financial, a domestic stock life insurer may not, without prior approval of the NYDFS, pay an Ordinary Dividend. Extraordinary Dividends require the insurer to file a notice of its intent to declare the dividends with the NYDFS and prior ap</w:t>
      </w:r>
      <w:r>
        <w:rPr>
          <w:rFonts w:eastAsia="Times New Roman"/>
          <w:color w:val="000000"/>
          <w:sz w:val="20"/>
          <w:szCs w:val="20"/>
        </w:rPr>
        <w:t>proval or non-disapproval from the NYDFS. Due to a permitted statutory accounting practice agreed to with the NYDFS, Equitable Financial will need the prior approval of the NYDFS to pay a Permitted Practice Ordinary Dividend. Applying the formulas above, E</w:t>
      </w:r>
      <w:r>
        <w:rPr>
          <w:rFonts w:eastAsia="Times New Roman"/>
          <w:color w:val="000000"/>
          <w:sz w:val="20"/>
          <w:szCs w:val="20"/>
        </w:rPr>
        <w:t>quitable Financial could pay an Ordinary Dividend of up to approximately $865 million in 2022.</w:t>
      </w:r>
    </w:p>
    <w:p w:rsidR="00000000" w:rsidRDefault="005B0BC3">
      <w:pPr>
        <w:divId w:val="38408371"/>
        <w:rPr>
          <w:rFonts w:eastAsia="Times New Roman"/>
        </w:rPr>
      </w:pPr>
      <w:r>
        <w:rPr>
          <w:rFonts w:eastAsia="Times New Roman"/>
          <w:i/>
          <w:iCs/>
          <w:color w:val="000000"/>
          <w:sz w:val="20"/>
          <w:szCs w:val="20"/>
          <w:u w:val="single"/>
        </w:rPr>
        <w:t>Distributions from AllianceBernstein</w:t>
      </w:r>
    </w:p>
    <w:p w:rsidR="00000000" w:rsidRDefault="005B0BC3">
      <w:pPr>
        <w:ind w:firstLine="360"/>
        <w:divId w:val="992106792"/>
        <w:rPr>
          <w:rFonts w:eastAsia="Times New Roman"/>
        </w:rPr>
      </w:pPr>
      <w:r>
        <w:rPr>
          <w:rFonts w:eastAsia="Times New Roman"/>
          <w:color w:val="000000"/>
          <w:sz w:val="20"/>
          <w:szCs w:val="20"/>
        </w:rPr>
        <w:t xml:space="preserve">ABLP is required to distribute all of its Available Cash Flow, as defined in the Amended and Restated Partnership Agreement </w:t>
      </w:r>
      <w:r>
        <w:rPr>
          <w:rFonts w:eastAsia="Times New Roman"/>
          <w:color w:val="000000"/>
          <w:sz w:val="20"/>
          <w:szCs w:val="20"/>
        </w:rPr>
        <w:t>of ABLP, to the holders of AB Units and to the General Partner. Available Cash Flow is defined as the cash flow received by ABLP from operations minus such amounts as the General Partner determines, in its sole discretion, should be retained by ABLP for us</w:t>
      </w:r>
      <w:r>
        <w:rPr>
          <w:rFonts w:eastAsia="Times New Roman"/>
          <w:color w:val="000000"/>
          <w:sz w:val="20"/>
          <w:szCs w:val="20"/>
        </w:rPr>
        <w:t>e in its business, or plus such amounts as the General Partner determines, in its sole discretion, should be released from previously retained cash flow. Distributions by ABLP are made 1% to the General Partner and 99% among the limited partners.</w:t>
      </w:r>
    </w:p>
    <w:p w:rsidR="00000000" w:rsidRDefault="005B0BC3">
      <w:pPr>
        <w:ind w:firstLine="360"/>
        <w:divId w:val="1864708245"/>
        <w:rPr>
          <w:rFonts w:eastAsia="Times New Roman"/>
        </w:rPr>
      </w:pPr>
      <w:r>
        <w:rPr>
          <w:rFonts w:eastAsia="Times New Roman"/>
          <w:color w:val="000000"/>
          <w:sz w:val="20"/>
          <w:szCs w:val="20"/>
        </w:rPr>
        <w:t>Typically</w:t>
      </w:r>
      <w:r>
        <w:rPr>
          <w:rFonts w:eastAsia="Times New Roman"/>
          <w:color w:val="000000"/>
          <w:sz w:val="20"/>
          <w:szCs w:val="20"/>
        </w:rPr>
        <w:t>, Available Cash Flow has been the adjusted diluted net income per unit for the quarter multiplied by the number of general and limited partnership interests at the end of the quarter. In future periods, management of AB anticipates that Available Cash Flo</w:t>
      </w:r>
      <w:r>
        <w:rPr>
          <w:rFonts w:eastAsia="Times New Roman"/>
          <w:color w:val="000000"/>
          <w:sz w:val="20"/>
          <w:szCs w:val="20"/>
        </w:rPr>
        <w:t>w will be based on adjusted diluted net income per unit, unless management of AB determines, with the concurrence of the Board of Directors of AB, that one or more adjustments that are made for adjusted net income should not be made with respect to the Ava</w:t>
      </w:r>
      <w:r>
        <w:rPr>
          <w:rFonts w:eastAsia="Times New Roman"/>
          <w:color w:val="000000"/>
          <w:sz w:val="20"/>
          <w:szCs w:val="20"/>
        </w:rPr>
        <w:t>ilable Cash Flow calculation.</w:t>
      </w:r>
    </w:p>
    <w:p w:rsidR="00000000" w:rsidRDefault="005B0BC3">
      <w:pPr>
        <w:jc w:val="center"/>
        <w:divId w:val="1494488988"/>
        <w:rPr>
          <w:rFonts w:eastAsia="Times New Roman"/>
        </w:rPr>
      </w:pPr>
      <w:r>
        <w:rPr>
          <w:rFonts w:eastAsia="Times New Roman"/>
          <w:color w:val="000000"/>
          <w:sz w:val="20"/>
          <w:szCs w:val="20"/>
        </w:rPr>
        <w:t>106</w:t>
      </w:r>
    </w:p>
    <w:p w:rsidR="00000000" w:rsidRDefault="005B0BC3">
      <w:pPr>
        <w:rPr>
          <w:rFonts w:eastAsia="Times New Roman"/>
        </w:rPr>
      </w:pPr>
      <w:r>
        <w:rPr>
          <w:rFonts w:eastAsia="Times New Roman"/>
        </w:rPr>
        <w:pict>
          <v:rect id="_x0000_i1144" style="width:0;height:1.5pt" o:hralign="center" o:hrstd="t" o:hr="t" fillcolor="#a0a0a0" stroked="f"/>
        </w:pict>
      </w:r>
    </w:p>
    <w:p w:rsidR="00000000" w:rsidRDefault="005B0BC3">
      <w:pPr>
        <w:divId w:val="1917786422"/>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ind w:firstLine="360"/>
        <w:divId w:val="1372606935"/>
        <w:rPr>
          <w:rFonts w:eastAsia="Times New Roman"/>
        </w:rPr>
      </w:pPr>
      <w:r>
        <w:rPr>
          <w:rFonts w:eastAsia="Times New Roman"/>
          <w:color w:val="000000"/>
          <w:sz w:val="20"/>
          <w:szCs w:val="20"/>
        </w:rPr>
        <w:t xml:space="preserve">AB Holding is required to distribute all of its Available Cash Flow, as defined in the Amended and Restated </w:t>
      </w:r>
      <w:r>
        <w:rPr>
          <w:rFonts w:eastAsia="Times New Roman"/>
          <w:color w:val="000000"/>
          <w:sz w:val="20"/>
          <w:szCs w:val="20"/>
        </w:rPr>
        <w:t>Agreement of Limited Partnership of AB Holding, to holders of AB Holding Units pro rata in accordance with their percentage interest in AB Holding. Available Cash Flow is defined as the cash distributions AB Holding receives from ABLP minus such amounts as</w:t>
      </w:r>
      <w:r>
        <w:rPr>
          <w:rFonts w:eastAsia="Times New Roman"/>
          <w:color w:val="000000"/>
          <w:sz w:val="20"/>
          <w:szCs w:val="20"/>
        </w:rPr>
        <w:t xml:space="preserve"> the General Partner determines, in its sole discretion, should be retained by AB Holding for use in its business (such as the payment of taxes) or plus such amounts as the General Partner determines, in its sole discretion, should be released from previou</w:t>
      </w:r>
      <w:r>
        <w:rPr>
          <w:rFonts w:eastAsia="Times New Roman"/>
          <w:color w:val="000000"/>
          <w:sz w:val="20"/>
          <w:szCs w:val="20"/>
        </w:rPr>
        <w:t>sly retained cash flow. AB Holding is dependent on the quarterly cash distributions it receives from ABLP, which is subject to the performance of capital markets and other factors beyond our control. Distributions from AB Holding are made pro rata based on</w:t>
      </w:r>
      <w:r>
        <w:rPr>
          <w:rFonts w:eastAsia="Times New Roman"/>
          <w:color w:val="000000"/>
          <w:sz w:val="20"/>
          <w:szCs w:val="20"/>
        </w:rPr>
        <w:t xml:space="preserve"> the holder’s percentage ownership interest in AB Holding.</w:t>
      </w:r>
    </w:p>
    <w:p w:rsidR="00000000" w:rsidRDefault="005B0BC3">
      <w:pPr>
        <w:ind w:firstLine="360"/>
        <w:divId w:val="930546519"/>
        <w:rPr>
          <w:rFonts w:eastAsia="Times New Roman"/>
        </w:rPr>
      </w:pPr>
      <w:r>
        <w:rPr>
          <w:rFonts w:eastAsia="Times New Roman"/>
          <w:color w:val="000000"/>
          <w:sz w:val="20"/>
          <w:szCs w:val="20"/>
        </w:rPr>
        <w:t>As of December 31, 2021, Holdings and its non-insurance company subsidiaries hold approximately 170.1 million AB Units, 4.1 million AB Holding Units and the 1% General Partnership interest in ABLP.</w:t>
      </w:r>
    </w:p>
    <w:p w:rsidR="00000000" w:rsidRDefault="005B0BC3">
      <w:pPr>
        <w:ind w:firstLine="360"/>
        <w:divId w:val="595477486"/>
        <w:rPr>
          <w:rFonts w:eastAsia="Times New Roman"/>
        </w:rPr>
      </w:pPr>
      <w:r>
        <w:rPr>
          <w:rFonts w:eastAsia="Times New Roman"/>
          <w:color w:val="000000"/>
          <w:sz w:val="20"/>
          <w:szCs w:val="20"/>
        </w:rPr>
        <w:t xml:space="preserve">As of December 31, 2021, the ownership structure of ABLP, including AB Units outstanding as well as the general partner’s 1% interest, was as follows: </w:t>
      </w:r>
    </w:p>
    <w:tbl>
      <w:tblPr>
        <w:tblW w:w="5000" w:type="pct"/>
        <w:tblCellMar>
          <w:top w:w="15" w:type="dxa"/>
          <w:left w:w="15" w:type="dxa"/>
          <w:bottom w:w="15" w:type="dxa"/>
          <w:right w:w="15" w:type="dxa"/>
        </w:tblCellMar>
        <w:tblLook w:val="04A0" w:firstRow="1" w:lastRow="0" w:firstColumn="1" w:lastColumn="0" w:noHBand="0" w:noVBand="1"/>
      </w:tblPr>
      <w:tblGrid>
        <w:gridCol w:w="38"/>
        <w:gridCol w:w="6941"/>
        <w:gridCol w:w="36"/>
        <w:gridCol w:w="55"/>
        <w:gridCol w:w="1049"/>
        <w:gridCol w:w="187"/>
      </w:tblGrid>
      <w:tr w:rsidR="00000000">
        <w:trPr>
          <w:divId w:val="386731171"/>
        </w:trPr>
        <w:tc>
          <w:tcPr>
            <w:tcW w:w="50" w:type="pct"/>
            <w:vAlign w:val="center"/>
            <w:hideMark/>
          </w:tcPr>
          <w:p w:rsidR="00000000" w:rsidRDefault="005B0BC3">
            <w:pPr>
              <w:ind w:firstLine="360"/>
              <w:rPr>
                <w:rFonts w:eastAsia="Times New Roman"/>
              </w:rPr>
            </w:pPr>
          </w:p>
        </w:tc>
        <w:tc>
          <w:tcPr>
            <w:tcW w:w="421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7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386731171"/>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16"/>
                <w:szCs w:val="16"/>
              </w:rPr>
              <w:t>Owner</w:t>
            </w: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Percentage Ownership</w:t>
            </w:r>
          </w:p>
        </w:tc>
      </w:tr>
      <w:tr w:rsidR="00000000">
        <w:trPr>
          <w:divId w:val="38673117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EQH and its subsidiaries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r>
      <w:tr w:rsidR="00000000">
        <w:trPr>
          <w:divId w:val="386731171"/>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AB Holding</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36.2 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r>
      <w:tr w:rsidR="00000000">
        <w:trPr>
          <w:divId w:val="386731171"/>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Unaffiliated holders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0.8 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r>
      <w:tr w:rsidR="00000000">
        <w:trPr>
          <w:divId w:val="386731171"/>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r>
    </w:tbl>
    <w:p w:rsidR="00000000" w:rsidRDefault="005B0BC3">
      <w:pPr>
        <w:ind w:firstLine="360"/>
        <w:divId w:val="1603563691"/>
        <w:rPr>
          <w:rFonts w:eastAsia="Times New Roman"/>
        </w:rPr>
      </w:pPr>
      <w:r>
        <w:rPr>
          <w:rFonts w:eastAsia="Times New Roman"/>
          <w:color w:val="000000"/>
          <w:sz w:val="20"/>
          <w:szCs w:val="20"/>
        </w:rPr>
        <w:t>Including both the general partnership and limited partnership interests in AB Holding and ABLP, Holdings and its subsidiaries had an approximate 65% economic interest in AB as of December 31, 2021.</w:t>
      </w:r>
    </w:p>
    <w:p w:rsidR="00000000" w:rsidRDefault="005B0BC3">
      <w:pPr>
        <w:divId w:val="1974480837"/>
        <w:rPr>
          <w:rFonts w:eastAsia="Times New Roman"/>
        </w:rPr>
      </w:pPr>
    </w:p>
    <w:p w:rsidR="00000000" w:rsidRDefault="005B0BC3">
      <w:pPr>
        <w:divId w:val="723606044"/>
        <w:rPr>
          <w:rFonts w:eastAsia="Times New Roman"/>
        </w:rPr>
      </w:pPr>
      <w:r>
        <w:rPr>
          <w:rFonts w:eastAsia="Times New Roman"/>
          <w:i/>
          <w:iCs/>
          <w:color w:val="000000"/>
          <w:sz w:val="20"/>
          <w:szCs w:val="20"/>
          <w:u w:val="single"/>
        </w:rPr>
        <w:t xml:space="preserve">Holdings Credit Facilities </w:t>
      </w:r>
    </w:p>
    <w:p w:rsidR="00000000" w:rsidRDefault="005B0BC3">
      <w:pPr>
        <w:ind w:firstLine="360"/>
        <w:divId w:val="391075567"/>
        <w:rPr>
          <w:rFonts w:eastAsia="Times New Roman"/>
        </w:rPr>
      </w:pPr>
      <w:r>
        <w:rPr>
          <w:rFonts w:eastAsia="Times New Roman"/>
          <w:color w:val="000000"/>
          <w:sz w:val="20"/>
          <w:szCs w:val="20"/>
        </w:rPr>
        <w:t>On June 24, 2021, Holdings entered into the Amended and Restated Revolving Credit Agreement with respect to a five-year senior unsecured revolving credit facility (the “Credit Facility”), which lowered the facility amount to $1.5 billion and extended the m</w:t>
      </w:r>
      <w:r>
        <w:rPr>
          <w:rFonts w:eastAsia="Times New Roman"/>
          <w:color w:val="000000"/>
          <w:sz w:val="20"/>
          <w:szCs w:val="20"/>
        </w:rPr>
        <w:t>aturity date to June 24, 2026, among other changes. The Amended and Restated Revolving Credit Agreement amends the Revolving Credit Agreement entered into by Holdings on February 16, 2018, as amended on March 22, 2021.</w:t>
      </w:r>
    </w:p>
    <w:p w:rsidR="00000000" w:rsidRDefault="005B0BC3">
      <w:pPr>
        <w:ind w:firstLine="360"/>
        <w:divId w:val="649483266"/>
        <w:rPr>
          <w:rFonts w:eastAsia="Times New Roman"/>
        </w:rPr>
      </w:pPr>
      <w:r>
        <w:rPr>
          <w:rFonts w:eastAsia="Times New Roman"/>
          <w:color w:val="000000"/>
          <w:sz w:val="20"/>
          <w:szCs w:val="20"/>
        </w:rPr>
        <w:t>The Credit Facility may provide signi</w:t>
      </w:r>
      <w:r>
        <w:rPr>
          <w:rFonts w:eastAsia="Times New Roman"/>
          <w:color w:val="000000"/>
          <w:sz w:val="20"/>
          <w:szCs w:val="20"/>
        </w:rPr>
        <w:t>ficant support to our liquidity position when alternative sources of credit are limited. In addition to the Credit Facility, we have letter of credit facilities with an aggregate principal amount of approximately $1.9 billion (the “LOC Facilities”), primar</w:t>
      </w:r>
      <w:r>
        <w:rPr>
          <w:rFonts w:eastAsia="Times New Roman"/>
          <w:color w:val="000000"/>
          <w:sz w:val="20"/>
          <w:szCs w:val="20"/>
        </w:rPr>
        <w:t>ily to be used to support our life insurance business reinsured to EQ AZ Life Re in April 2018. In June 2021, Holdings entered into amendments with each of the issuers of its bilateral letter of credit facilities to effect changes similar to those effected</w:t>
      </w:r>
      <w:r>
        <w:rPr>
          <w:rFonts w:eastAsia="Times New Roman"/>
          <w:color w:val="000000"/>
          <w:sz w:val="20"/>
          <w:szCs w:val="20"/>
        </w:rPr>
        <w:t xml:space="preserve"> in the amended and restated revolving credit agreement. The respective facility limits of the bilateral letter of credit facilities remained unchanged.</w:t>
      </w:r>
    </w:p>
    <w:p w:rsidR="00000000" w:rsidRDefault="005B0BC3">
      <w:pPr>
        <w:ind w:firstLine="360"/>
        <w:divId w:val="1815637866"/>
        <w:rPr>
          <w:rFonts w:eastAsia="Times New Roman"/>
        </w:rPr>
      </w:pPr>
      <w:r>
        <w:rPr>
          <w:rFonts w:eastAsia="Times New Roman"/>
          <w:color w:val="000000"/>
          <w:sz w:val="20"/>
          <w:szCs w:val="20"/>
        </w:rPr>
        <w:t>The Credit Facility and LOC Facilities contain certain administrative, reporting, legal and financial c</w:t>
      </w:r>
      <w:r>
        <w:rPr>
          <w:rFonts w:eastAsia="Times New Roman"/>
          <w:color w:val="000000"/>
          <w:sz w:val="20"/>
          <w:szCs w:val="20"/>
        </w:rPr>
        <w:t>ovenants, including requirements to maintain a specified minimum consolidated net worth and to maintain a ratio of indebtedness to total capitalization not in excess of a specified percentage, and limitations on the dollar amount of indebtedness that may b</w:t>
      </w:r>
      <w:r>
        <w:rPr>
          <w:rFonts w:eastAsia="Times New Roman"/>
          <w:color w:val="000000"/>
          <w:sz w:val="20"/>
          <w:szCs w:val="20"/>
        </w:rPr>
        <w:t>e incurred by our subsidiaries and the dollar amount of secured indebtedness that may be incurred by us, which could restrict our operations and use of funds. The right to borrow funds under the Credit Facility and LOC Facilities is subject to the fulfillm</w:t>
      </w:r>
      <w:r>
        <w:rPr>
          <w:rFonts w:eastAsia="Times New Roman"/>
          <w:color w:val="000000"/>
          <w:sz w:val="20"/>
          <w:szCs w:val="20"/>
        </w:rPr>
        <w:t>ent of certain conditions, including compliance with all covenants, and the ability to borrow thereunder is also subject to the continued ability of the lenders that are or will be parties to the facilities to provide funds. As of December 31, 2021, we wer</w:t>
      </w:r>
      <w:r>
        <w:rPr>
          <w:rFonts w:eastAsia="Times New Roman"/>
          <w:color w:val="000000"/>
          <w:sz w:val="20"/>
          <w:szCs w:val="20"/>
        </w:rPr>
        <w:t>e in compliance with these covenants”.</w:t>
      </w:r>
    </w:p>
    <w:p w:rsidR="00000000" w:rsidRDefault="005B0BC3">
      <w:pPr>
        <w:divId w:val="1341853458"/>
        <w:rPr>
          <w:rFonts w:eastAsia="Times New Roman"/>
        </w:rPr>
      </w:pPr>
      <w:r>
        <w:rPr>
          <w:rFonts w:eastAsia="Times New Roman"/>
          <w:i/>
          <w:iCs/>
          <w:color w:val="000000"/>
          <w:sz w:val="20"/>
          <w:szCs w:val="20"/>
          <w:u w:val="single"/>
        </w:rPr>
        <w:t xml:space="preserve">Contingent Funding Arrangements </w:t>
      </w:r>
    </w:p>
    <w:p w:rsidR="00000000" w:rsidRDefault="005B0BC3">
      <w:pPr>
        <w:ind w:firstLine="360"/>
        <w:divId w:val="1050232104"/>
        <w:rPr>
          <w:rFonts w:eastAsia="Times New Roman"/>
        </w:rPr>
      </w:pPr>
      <w:r>
        <w:rPr>
          <w:rFonts w:eastAsia="Times New Roman"/>
          <w:color w:val="000000"/>
          <w:sz w:val="20"/>
          <w:szCs w:val="20"/>
        </w:rPr>
        <w:t>For information regarding activity pertaining to our contingent funding arrangements and other off-balance sheet commitments, see “Commitments and Contingent Liabilities in ” Note 17 o</w:t>
      </w:r>
      <w:r>
        <w:rPr>
          <w:rFonts w:eastAsia="Times New Roman"/>
          <w:color w:val="000000"/>
          <w:sz w:val="20"/>
          <w:szCs w:val="20"/>
        </w:rPr>
        <w:t>f the Notes to these Consolidated Financial Statements in this Form 10-K.</w:t>
      </w:r>
    </w:p>
    <w:p w:rsidR="00000000" w:rsidRDefault="005B0BC3">
      <w:pPr>
        <w:divId w:val="741681357"/>
        <w:rPr>
          <w:rFonts w:eastAsia="Times New Roman"/>
        </w:rPr>
      </w:pPr>
      <w:r>
        <w:rPr>
          <w:rFonts w:eastAsia="Times New Roman"/>
          <w:i/>
          <w:iCs/>
          <w:color w:val="000000"/>
          <w:sz w:val="20"/>
          <w:szCs w:val="20"/>
          <w:u w:val="single"/>
        </w:rPr>
        <w:t xml:space="preserve">Series A Preferred Stock, Series B Preferred Stock and Series C Preferred Stock </w:t>
      </w:r>
    </w:p>
    <w:p w:rsidR="00000000" w:rsidRDefault="005B0BC3">
      <w:pPr>
        <w:ind w:firstLine="360"/>
        <w:divId w:val="1221289092"/>
        <w:rPr>
          <w:rFonts w:eastAsia="Times New Roman"/>
        </w:rPr>
      </w:pPr>
      <w:r>
        <w:rPr>
          <w:rFonts w:eastAsia="Times New Roman"/>
          <w:color w:val="000000"/>
          <w:sz w:val="20"/>
          <w:szCs w:val="20"/>
        </w:rPr>
        <w:t xml:space="preserve">For information pertaining to our Series A, Series B and Series C Preferred Stock see Note 20 of the </w:t>
      </w:r>
      <w:r>
        <w:rPr>
          <w:rFonts w:eastAsia="Times New Roman"/>
          <w:color w:val="000000"/>
          <w:sz w:val="20"/>
          <w:szCs w:val="20"/>
        </w:rPr>
        <w:t>Notes to these Consolidated Financial Statements.</w:t>
      </w:r>
    </w:p>
    <w:p w:rsidR="00000000" w:rsidRDefault="005B0BC3">
      <w:pPr>
        <w:jc w:val="center"/>
        <w:divId w:val="1224294468"/>
        <w:rPr>
          <w:rFonts w:eastAsia="Times New Roman"/>
        </w:rPr>
      </w:pPr>
      <w:r>
        <w:rPr>
          <w:rFonts w:eastAsia="Times New Roman"/>
          <w:color w:val="000000"/>
          <w:sz w:val="20"/>
          <w:szCs w:val="20"/>
        </w:rPr>
        <w:t>107</w:t>
      </w:r>
    </w:p>
    <w:p w:rsidR="00000000" w:rsidRDefault="005B0BC3">
      <w:pPr>
        <w:rPr>
          <w:rFonts w:eastAsia="Times New Roman"/>
        </w:rPr>
      </w:pPr>
      <w:r>
        <w:rPr>
          <w:rFonts w:eastAsia="Times New Roman"/>
        </w:rPr>
        <w:pict>
          <v:rect id="_x0000_i1145" style="width:0;height:1.5pt" o:hralign="center" o:hrstd="t" o:hr="t" fillcolor="#a0a0a0" stroked="f"/>
        </w:pict>
      </w:r>
    </w:p>
    <w:p w:rsidR="00000000" w:rsidRDefault="005B0BC3">
      <w:pPr>
        <w:divId w:val="312880337"/>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jc w:val="both"/>
        <w:divId w:val="1095445012"/>
        <w:rPr>
          <w:rFonts w:eastAsia="Times New Roman"/>
        </w:rPr>
      </w:pPr>
      <w:r>
        <w:rPr>
          <w:rFonts w:eastAsia="Times New Roman"/>
          <w:b/>
          <w:bCs/>
          <w:i/>
          <w:iCs/>
          <w:color w:val="000000"/>
          <w:sz w:val="20"/>
          <w:szCs w:val="20"/>
        </w:rPr>
        <w:t>Capital Position of Holdings</w:t>
      </w:r>
    </w:p>
    <w:p w:rsidR="00000000" w:rsidRDefault="005B0BC3">
      <w:pPr>
        <w:ind w:firstLine="360"/>
        <w:divId w:val="1494417899"/>
        <w:rPr>
          <w:rFonts w:eastAsia="Times New Roman"/>
        </w:rPr>
      </w:pPr>
      <w:r>
        <w:rPr>
          <w:rFonts w:eastAsia="Times New Roman"/>
          <w:color w:val="000000"/>
          <w:sz w:val="20"/>
          <w:szCs w:val="20"/>
        </w:rPr>
        <w:t>We manage our capital position to maintain financial strength and credit ratings that facilitate the distribution of our products and provide our desired level of access to the bank and capital markets. Our capital position is supported by the ability of o</w:t>
      </w:r>
      <w:r>
        <w:rPr>
          <w:rFonts w:eastAsia="Times New Roman"/>
          <w:color w:val="000000"/>
          <w:sz w:val="20"/>
          <w:szCs w:val="20"/>
        </w:rPr>
        <w:t>ur subsidiaries to generate cash flows and distribute cash to us and our ability to effectively manage the risk of our businesses and to borrow funds and raise capital to meet our operating and growth needs.</w:t>
      </w:r>
    </w:p>
    <w:p w:rsidR="00000000" w:rsidRDefault="005B0BC3">
      <w:pPr>
        <w:ind w:firstLine="360"/>
        <w:divId w:val="233206816"/>
        <w:rPr>
          <w:rFonts w:eastAsia="Times New Roman"/>
        </w:rPr>
      </w:pPr>
      <w:r>
        <w:rPr>
          <w:rFonts w:eastAsia="Times New Roman"/>
          <w:color w:val="000000"/>
          <w:sz w:val="20"/>
          <w:szCs w:val="20"/>
        </w:rPr>
        <w:t>Our Board and senior management are directly inv</w:t>
      </w:r>
      <w:r>
        <w:rPr>
          <w:rFonts w:eastAsia="Times New Roman"/>
          <w:color w:val="000000"/>
          <w:sz w:val="20"/>
          <w:szCs w:val="20"/>
        </w:rPr>
        <w:t>olved in the development of our capital management policies. Accordingly, capital actions, including proposed changes to the annual capital plan, capital targets and capital policies, are approved by the Board.</w:t>
      </w:r>
    </w:p>
    <w:p w:rsidR="00000000" w:rsidRDefault="005B0BC3">
      <w:pPr>
        <w:divId w:val="521211179"/>
        <w:rPr>
          <w:rFonts w:eastAsia="Times New Roman"/>
        </w:rPr>
      </w:pPr>
      <w:r>
        <w:rPr>
          <w:rFonts w:eastAsia="Times New Roman"/>
          <w:i/>
          <w:iCs/>
          <w:color w:val="000000"/>
          <w:sz w:val="20"/>
          <w:szCs w:val="20"/>
          <w:u w:val="single"/>
        </w:rPr>
        <w:t>Dividends Declared and Paid</w:t>
      </w:r>
    </w:p>
    <w:p w:rsidR="00000000" w:rsidRDefault="005B0BC3">
      <w:pPr>
        <w:ind w:firstLine="360"/>
        <w:divId w:val="1150098385"/>
        <w:rPr>
          <w:rFonts w:eastAsia="Times New Roman"/>
        </w:rPr>
      </w:pPr>
      <w:r>
        <w:rPr>
          <w:rFonts w:eastAsia="Times New Roman"/>
          <w:color w:val="000000"/>
          <w:sz w:val="20"/>
          <w:szCs w:val="20"/>
        </w:rPr>
        <w:t>The declaration a</w:t>
      </w:r>
      <w:r>
        <w:rPr>
          <w:rFonts w:eastAsia="Times New Roman"/>
          <w:color w:val="000000"/>
          <w:sz w:val="20"/>
          <w:szCs w:val="20"/>
        </w:rPr>
        <w:t>nd payment of future dividends is subject to the discretion of our Board of Directors and depends on our financial condition, results of operations, cash requirements, future prospects, regulatory restrictions on the payment of dividends by Holdings’ insur</w:t>
      </w:r>
      <w:r>
        <w:rPr>
          <w:rFonts w:eastAsia="Times New Roman"/>
          <w:color w:val="000000"/>
          <w:sz w:val="20"/>
          <w:szCs w:val="20"/>
        </w:rPr>
        <w:t>ance subsidiaries and other factors deemed relevant by the Board. </w:t>
      </w:r>
    </w:p>
    <w:p w:rsidR="00000000" w:rsidRDefault="005B0BC3">
      <w:pPr>
        <w:ind w:firstLine="360"/>
        <w:divId w:val="1095978173"/>
        <w:rPr>
          <w:rFonts w:eastAsia="Times New Roman"/>
        </w:rPr>
      </w:pPr>
      <w:r>
        <w:rPr>
          <w:rFonts w:eastAsia="Times New Roman"/>
          <w:color w:val="000000"/>
          <w:sz w:val="20"/>
          <w:szCs w:val="20"/>
        </w:rPr>
        <w:t>The payment of dividends will be substantially restricted in the event that we do not declare and pay (or set aside) dividends on the Series A, Series B and Series C Preferred Stock for the</w:t>
      </w:r>
      <w:r>
        <w:rPr>
          <w:rFonts w:eastAsia="Times New Roman"/>
          <w:color w:val="000000"/>
          <w:sz w:val="20"/>
          <w:szCs w:val="20"/>
        </w:rPr>
        <w:t xml:space="preserve"> last proceeding dividend period. For additional information on our preferred stock, see “—Series A, Series B and Series C Preferred Stock”.</w:t>
      </w:r>
    </w:p>
    <w:p w:rsidR="00000000" w:rsidRDefault="005B0BC3">
      <w:pPr>
        <w:ind w:firstLine="360"/>
        <w:divId w:val="134953587"/>
        <w:rPr>
          <w:rFonts w:eastAsia="Times New Roman"/>
        </w:rPr>
      </w:pPr>
      <w:r>
        <w:rPr>
          <w:rFonts w:eastAsia="Times New Roman"/>
          <w:color w:val="000000"/>
          <w:sz w:val="20"/>
          <w:szCs w:val="20"/>
        </w:rPr>
        <w:t>For information regarding activity pertaining to common and preferred dividends declared and paid, see Note 20 of t</w:t>
      </w:r>
      <w:r>
        <w:rPr>
          <w:rFonts w:eastAsia="Times New Roman"/>
          <w:color w:val="000000"/>
          <w:sz w:val="20"/>
          <w:szCs w:val="20"/>
        </w:rPr>
        <w:t xml:space="preserve">he Notes to these Consolidated Financial Statements. </w:t>
      </w:r>
    </w:p>
    <w:p w:rsidR="00000000" w:rsidRDefault="005B0BC3">
      <w:pPr>
        <w:divId w:val="2051414823"/>
        <w:rPr>
          <w:rFonts w:eastAsia="Times New Roman"/>
        </w:rPr>
      </w:pPr>
      <w:r>
        <w:rPr>
          <w:rFonts w:eastAsia="Times New Roman"/>
          <w:i/>
          <w:iCs/>
          <w:color w:val="000000"/>
          <w:sz w:val="20"/>
          <w:szCs w:val="20"/>
          <w:u w:val="single"/>
        </w:rPr>
        <w:t>Share Repurchase Programs</w:t>
      </w:r>
    </w:p>
    <w:p w:rsidR="00000000" w:rsidRDefault="005B0BC3">
      <w:pPr>
        <w:ind w:firstLine="360"/>
        <w:divId w:val="791097148"/>
        <w:rPr>
          <w:rFonts w:eastAsia="Times New Roman"/>
        </w:rPr>
      </w:pPr>
      <w:r>
        <w:rPr>
          <w:rFonts w:eastAsia="Times New Roman"/>
          <w:color w:val="000000"/>
          <w:sz w:val="20"/>
          <w:szCs w:val="20"/>
        </w:rPr>
        <w:t>For information regarding activity pertaining to share repurchase programs, see Note 20 of the Notes to these Consolidated Financial Statements.</w:t>
      </w:r>
    </w:p>
    <w:p w:rsidR="00000000" w:rsidRDefault="005B0BC3">
      <w:pPr>
        <w:jc w:val="both"/>
        <w:divId w:val="961301969"/>
        <w:rPr>
          <w:rFonts w:eastAsia="Times New Roman"/>
        </w:rPr>
      </w:pPr>
      <w:r>
        <w:rPr>
          <w:rFonts w:eastAsia="Times New Roman"/>
          <w:b/>
          <w:bCs/>
          <w:i/>
          <w:iCs/>
          <w:color w:val="000000"/>
          <w:sz w:val="20"/>
          <w:szCs w:val="20"/>
        </w:rPr>
        <w:t>Sources and Uses of Liquidity o</w:t>
      </w:r>
      <w:r>
        <w:rPr>
          <w:rFonts w:eastAsia="Times New Roman"/>
          <w:b/>
          <w:bCs/>
          <w:i/>
          <w:iCs/>
          <w:color w:val="000000"/>
          <w:sz w:val="20"/>
          <w:szCs w:val="20"/>
        </w:rPr>
        <w:t>f Our Insurance Subsidiaries</w:t>
      </w:r>
    </w:p>
    <w:p w:rsidR="00000000" w:rsidRDefault="005B0BC3">
      <w:pPr>
        <w:ind w:firstLine="360"/>
        <w:divId w:val="2086760981"/>
        <w:rPr>
          <w:rFonts w:eastAsia="Times New Roman"/>
        </w:rPr>
      </w:pPr>
      <w:r>
        <w:rPr>
          <w:rFonts w:eastAsia="Times New Roman"/>
          <w:color w:val="000000"/>
          <w:sz w:val="20"/>
          <w:szCs w:val="20"/>
        </w:rPr>
        <w:t>The principal sources of liquidity for our insurance subsidiaries are premiums, investment and fee income, deposits associated with our insurance and annuity operations, cash and invested assets, as well as internal borrowings.</w:t>
      </w:r>
      <w:r>
        <w:rPr>
          <w:rFonts w:eastAsia="Times New Roman"/>
          <w:color w:val="000000"/>
          <w:sz w:val="20"/>
          <w:szCs w:val="20"/>
        </w:rPr>
        <w:t xml:space="preserve"> The principal uses of that liquidity include benefits, claims and dividends paid to policyholders and payments to policyholders in connection with surrenders and withdrawals. Other uses of liquidity include commissions, general and administrative expenses</w:t>
      </w:r>
      <w:r>
        <w:rPr>
          <w:rFonts w:eastAsia="Times New Roman"/>
          <w:color w:val="000000"/>
          <w:sz w:val="20"/>
          <w:szCs w:val="20"/>
        </w:rPr>
        <w:t>, purchases of investments, the payment of dividends to Holdings and hedging activity. Certain of our insurance subsidiaries’ principal sources and uses of liquidity are described in the paragraphs that follow.</w:t>
      </w:r>
    </w:p>
    <w:p w:rsidR="00000000" w:rsidRDefault="005B0BC3">
      <w:pPr>
        <w:ind w:firstLine="360"/>
        <w:divId w:val="1082602857"/>
        <w:rPr>
          <w:rFonts w:eastAsia="Times New Roman"/>
        </w:rPr>
      </w:pPr>
      <w:r>
        <w:rPr>
          <w:rFonts w:eastAsia="Times New Roman"/>
          <w:color w:val="000000"/>
          <w:sz w:val="20"/>
          <w:szCs w:val="20"/>
        </w:rPr>
        <w:t>We manage the liquidity of our insurance subs</w:t>
      </w:r>
      <w:r>
        <w:rPr>
          <w:rFonts w:eastAsia="Times New Roman"/>
          <w:color w:val="000000"/>
          <w:sz w:val="20"/>
          <w:szCs w:val="20"/>
        </w:rPr>
        <w:t>idiaries with the objective of ensuring that they can meet payment obligations linked to our Individual Retirement, Group Retirement and Protection Solutions businesses and to their outstanding debt and derivative positions, including in our hedging progra</w:t>
      </w:r>
      <w:r>
        <w:rPr>
          <w:rFonts w:eastAsia="Times New Roman"/>
          <w:color w:val="000000"/>
          <w:sz w:val="20"/>
          <w:szCs w:val="20"/>
        </w:rPr>
        <w:t>ms, without support from Holdings. We employ an asset/liability management approach specific to the requirements of each of our insurance businesses. We measure liquidity against internally-developed benchmarks that consider the characteristics of our asse</w:t>
      </w:r>
      <w:r>
        <w:rPr>
          <w:rFonts w:eastAsia="Times New Roman"/>
          <w:color w:val="000000"/>
          <w:sz w:val="20"/>
          <w:szCs w:val="20"/>
        </w:rPr>
        <w:t>t portfolio and the liabilities that it supports in both the short-term (the next 12 months) and long-term (beyond the next 12 months). We consider attributes of the various categories of our liquid assets (for example, type of asset and credit quality) in</w:t>
      </w:r>
      <w:r>
        <w:rPr>
          <w:rFonts w:eastAsia="Times New Roman"/>
          <w:color w:val="000000"/>
          <w:sz w:val="20"/>
          <w:szCs w:val="20"/>
        </w:rPr>
        <w:t xml:space="preserve"> calculating internal liquidity indicators for our insurance and reinsurance operations. Our liquidity benchmarks are established for various stress scenarios and durations, including company-specific and market-wide events. The scenarios we use to evaluat</w:t>
      </w:r>
      <w:r>
        <w:rPr>
          <w:rFonts w:eastAsia="Times New Roman"/>
          <w:color w:val="000000"/>
          <w:sz w:val="20"/>
          <w:szCs w:val="20"/>
        </w:rPr>
        <w:t xml:space="preserve">e the liquidity of our subsidiaries are defined to allow operating entities to operate without support from Holdings. </w:t>
      </w:r>
    </w:p>
    <w:p w:rsidR="00000000" w:rsidRDefault="005B0BC3">
      <w:pPr>
        <w:divId w:val="220867328"/>
        <w:rPr>
          <w:rFonts w:eastAsia="Times New Roman"/>
        </w:rPr>
      </w:pPr>
      <w:r>
        <w:rPr>
          <w:rFonts w:eastAsia="Times New Roman"/>
          <w:i/>
          <w:iCs/>
          <w:color w:val="000000"/>
          <w:sz w:val="20"/>
          <w:szCs w:val="20"/>
          <w:u w:val="single"/>
        </w:rPr>
        <w:t>Liquid Assets</w:t>
      </w:r>
    </w:p>
    <w:p w:rsidR="00000000" w:rsidRDefault="005B0BC3">
      <w:pPr>
        <w:ind w:firstLine="360"/>
        <w:divId w:val="602346654"/>
        <w:rPr>
          <w:rFonts w:eastAsia="Times New Roman"/>
        </w:rPr>
      </w:pPr>
      <w:r>
        <w:rPr>
          <w:rFonts w:eastAsia="Times New Roman"/>
          <w:color w:val="000000"/>
          <w:sz w:val="20"/>
          <w:szCs w:val="20"/>
        </w:rPr>
        <w:t>The investment portfolios of our insurance subsidiaries are a significant component of our overall liquidity. Liquid assets</w:t>
      </w:r>
      <w:r>
        <w:rPr>
          <w:rFonts w:eastAsia="Times New Roman"/>
          <w:color w:val="000000"/>
          <w:sz w:val="20"/>
          <w:szCs w:val="20"/>
        </w:rPr>
        <w:t xml:space="preserve"> include cash and cash equivalents, short-term investments, U.S. Treasury fixed maturities, fixed maturities that are not designated as HTM and public equity securities. We believe that our business operations and the liquidity profile of our assets provid</w:t>
      </w:r>
      <w:r>
        <w:rPr>
          <w:rFonts w:eastAsia="Times New Roman"/>
          <w:color w:val="000000"/>
          <w:sz w:val="20"/>
          <w:szCs w:val="20"/>
        </w:rPr>
        <w:t>e sufficient liquidity under reasonably foreseeable stress scenarios for each of our insurance subsidiaries.</w:t>
      </w:r>
    </w:p>
    <w:p w:rsidR="00000000" w:rsidRDefault="005B0BC3">
      <w:pPr>
        <w:ind w:firstLine="360"/>
        <w:divId w:val="1862357936"/>
        <w:rPr>
          <w:rFonts w:eastAsia="Times New Roman"/>
        </w:rPr>
      </w:pPr>
      <w:r>
        <w:rPr>
          <w:rFonts w:eastAsia="Times New Roman"/>
          <w:color w:val="000000"/>
          <w:sz w:val="20"/>
          <w:szCs w:val="20"/>
        </w:rPr>
        <w:t xml:space="preserve">See “—General Account Investment Portfolio” and Note 3 and Note 4 of the Notes to these Consolidated Financial Statements for a description of our </w:t>
      </w:r>
      <w:r>
        <w:rPr>
          <w:rFonts w:eastAsia="Times New Roman"/>
          <w:color w:val="000000"/>
          <w:sz w:val="20"/>
          <w:szCs w:val="20"/>
        </w:rPr>
        <w:t>retirement and protection businesses’ portfolio of liquid assets.</w:t>
      </w:r>
    </w:p>
    <w:p w:rsidR="00000000" w:rsidRDefault="005B0BC3">
      <w:pPr>
        <w:divId w:val="534079400"/>
        <w:rPr>
          <w:rFonts w:eastAsia="Times New Roman"/>
        </w:rPr>
      </w:pPr>
      <w:r>
        <w:rPr>
          <w:rFonts w:eastAsia="Times New Roman"/>
          <w:i/>
          <w:iCs/>
          <w:color w:val="000000"/>
          <w:sz w:val="20"/>
          <w:szCs w:val="20"/>
          <w:u w:val="single"/>
        </w:rPr>
        <w:t>Hedging Activities</w:t>
      </w:r>
    </w:p>
    <w:p w:rsidR="00000000" w:rsidRDefault="005B0BC3">
      <w:pPr>
        <w:jc w:val="center"/>
        <w:divId w:val="1019358060"/>
        <w:rPr>
          <w:rFonts w:eastAsia="Times New Roman"/>
        </w:rPr>
      </w:pPr>
      <w:r>
        <w:rPr>
          <w:rFonts w:eastAsia="Times New Roman"/>
          <w:color w:val="000000"/>
          <w:sz w:val="20"/>
          <w:szCs w:val="20"/>
        </w:rPr>
        <w:t>108</w:t>
      </w:r>
    </w:p>
    <w:p w:rsidR="00000000" w:rsidRDefault="005B0BC3">
      <w:pPr>
        <w:rPr>
          <w:rFonts w:eastAsia="Times New Roman"/>
        </w:rPr>
      </w:pPr>
      <w:r>
        <w:rPr>
          <w:rFonts w:eastAsia="Times New Roman"/>
        </w:rPr>
        <w:pict>
          <v:rect id="_x0000_i1146" style="width:0;height:1.5pt" o:hralign="center" o:hrstd="t" o:hr="t" fillcolor="#a0a0a0" stroked="f"/>
        </w:pict>
      </w:r>
    </w:p>
    <w:p w:rsidR="00000000" w:rsidRDefault="005B0BC3">
      <w:pPr>
        <w:divId w:val="2115322232"/>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ind w:firstLine="360"/>
        <w:divId w:val="147789763"/>
        <w:rPr>
          <w:rFonts w:eastAsia="Times New Roman"/>
        </w:rPr>
      </w:pPr>
      <w:r>
        <w:rPr>
          <w:rFonts w:eastAsia="Times New Roman"/>
          <w:color w:val="000000"/>
          <w:sz w:val="20"/>
          <w:szCs w:val="20"/>
        </w:rPr>
        <w:t>Because the future claims exposure on our insurance products, and in particular our variable annuity products with GMxB features, is sensitive</w:t>
      </w:r>
      <w:r>
        <w:rPr>
          <w:rFonts w:eastAsia="Times New Roman"/>
          <w:color w:val="000000"/>
          <w:sz w:val="20"/>
          <w:szCs w:val="20"/>
        </w:rPr>
        <w:t xml:space="preserve"> to movements in the equity markets and interest rates, we have in place various hedging and reinsurance programs that are designed to mitigate the economic risks of movements in the equity markets and interest rates. We use derivatives as part of our over</w:t>
      </w:r>
      <w:r>
        <w:rPr>
          <w:rFonts w:eastAsia="Times New Roman"/>
          <w:color w:val="000000"/>
          <w:sz w:val="20"/>
          <w:szCs w:val="20"/>
        </w:rPr>
        <w:t xml:space="preserve">all asset/liability risk management program primarily to reduce exposures to equity market and interest rate risks. In addition, we use credit derivatives to replicate exposure to individual securities or pools of securities as a means of achieving credit </w:t>
      </w:r>
      <w:r>
        <w:rPr>
          <w:rFonts w:eastAsia="Times New Roman"/>
          <w:color w:val="000000"/>
          <w:sz w:val="20"/>
          <w:szCs w:val="20"/>
        </w:rPr>
        <w:t>exposure similar to bonds of the underlying issuer(s) more efficiently. The derivative contracts are an integral part of our risk management program, especially for the management of our variable annuities program, and are collectively managed to reduce th</w:t>
      </w:r>
      <w:r>
        <w:rPr>
          <w:rFonts w:eastAsia="Times New Roman"/>
          <w:color w:val="000000"/>
          <w:sz w:val="20"/>
          <w:szCs w:val="20"/>
        </w:rPr>
        <w:t>e economic impact of unfavorable movements in capital markets. These derivative transactions require liquidity to meet payment obligations such as payments for periodic settlements, purchases, maturities and terminations as well as liquid assets pledged as</w:t>
      </w:r>
      <w:r>
        <w:rPr>
          <w:rFonts w:eastAsia="Times New Roman"/>
          <w:color w:val="000000"/>
          <w:sz w:val="20"/>
          <w:szCs w:val="20"/>
        </w:rPr>
        <w:t xml:space="preserve"> collateral related to any decline in the net estimated fair value. Collateral calls represent one of our biggest drivers for liquidity needs for our insurance subsidiaries. Our derivatives contracts reside primarily within Equitable Financial, which has a</w:t>
      </w:r>
      <w:r>
        <w:rPr>
          <w:rFonts w:eastAsia="Times New Roman"/>
          <w:color w:val="000000"/>
          <w:sz w:val="20"/>
          <w:szCs w:val="20"/>
        </w:rPr>
        <w:t xml:space="preserve"> significantly large investment portfolio.</w:t>
      </w:r>
    </w:p>
    <w:p w:rsidR="00000000" w:rsidRDefault="005B0BC3">
      <w:pPr>
        <w:divId w:val="741373396"/>
        <w:rPr>
          <w:rFonts w:eastAsia="Times New Roman"/>
        </w:rPr>
      </w:pPr>
      <w:r>
        <w:rPr>
          <w:rFonts w:eastAsia="Times New Roman"/>
          <w:i/>
          <w:iCs/>
          <w:color w:val="000000"/>
          <w:sz w:val="20"/>
          <w:szCs w:val="20"/>
          <w:u w:val="single"/>
        </w:rPr>
        <w:t>FHLB Membership</w:t>
      </w:r>
      <w:r>
        <w:rPr>
          <w:rFonts w:eastAsia="Times New Roman"/>
          <w:b/>
          <w:bCs/>
          <w:i/>
          <w:iCs/>
          <w:color w:val="000000"/>
          <w:sz w:val="20"/>
          <w:szCs w:val="20"/>
        </w:rPr>
        <w:t xml:space="preserve"> </w:t>
      </w:r>
    </w:p>
    <w:p w:rsidR="00000000" w:rsidRDefault="005B0BC3">
      <w:pPr>
        <w:ind w:firstLine="360"/>
        <w:divId w:val="1925604189"/>
        <w:rPr>
          <w:rFonts w:eastAsia="Times New Roman"/>
        </w:rPr>
      </w:pPr>
      <w:r>
        <w:rPr>
          <w:rFonts w:eastAsia="Times New Roman"/>
          <w:color w:val="000000"/>
          <w:sz w:val="20"/>
          <w:szCs w:val="20"/>
        </w:rPr>
        <w:t xml:space="preserve">Equitable Financial and Equitable America are members of the FHLB, which provides access to collateralized borrowings and other FHLB products. </w:t>
      </w:r>
    </w:p>
    <w:p w:rsidR="00000000" w:rsidRDefault="005B0BC3">
      <w:pPr>
        <w:ind w:firstLine="360"/>
        <w:divId w:val="455292340"/>
        <w:rPr>
          <w:rFonts w:eastAsia="Times New Roman"/>
        </w:rPr>
      </w:pPr>
      <w:r>
        <w:rPr>
          <w:rFonts w:eastAsia="Times New Roman"/>
          <w:color w:val="000000"/>
          <w:sz w:val="20"/>
          <w:szCs w:val="20"/>
        </w:rPr>
        <w:t>See Note 17 of the Notes to these Consolidated Finan</w:t>
      </w:r>
      <w:r>
        <w:rPr>
          <w:rFonts w:eastAsia="Times New Roman"/>
          <w:color w:val="000000"/>
          <w:sz w:val="20"/>
          <w:szCs w:val="20"/>
        </w:rPr>
        <w:t xml:space="preserve">cial Statements for further description of our FHLB program. </w:t>
      </w:r>
    </w:p>
    <w:p w:rsidR="00000000" w:rsidRDefault="005B0BC3">
      <w:pPr>
        <w:divId w:val="1439327964"/>
        <w:rPr>
          <w:rFonts w:eastAsia="Times New Roman"/>
        </w:rPr>
      </w:pPr>
      <w:r>
        <w:rPr>
          <w:rFonts w:eastAsia="Times New Roman"/>
          <w:i/>
          <w:iCs/>
          <w:color w:val="000000"/>
          <w:sz w:val="20"/>
          <w:szCs w:val="20"/>
          <w:u w:val="single"/>
        </w:rPr>
        <w:t>FABN</w:t>
      </w:r>
      <w:r>
        <w:rPr>
          <w:rFonts w:eastAsia="Times New Roman"/>
          <w:b/>
          <w:bCs/>
          <w:i/>
          <w:iCs/>
          <w:color w:val="000000"/>
          <w:sz w:val="20"/>
          <w:szCs w:val="20"/>
        </w:rPr>
        <w:t xml:space="preserve"> </w:t>
      </w:r>
    </w:p>
    <w:p w:rsidR="00000000" w:rsidRDefault="005B0BC3">
      <w:pPr>
        <w:ind w:firstLine="360"/>
        <w:divId w:val="756173403"/>
        <w:rPr>
          <w:rFonts w:eastAsia="Times New Roman"/>
        </w:rPr>
      </w:pPr>
      <w:r>
        <w:rPr>
          <w:rFonts w:eastAsia="Times New Roman"/>
          <w:color w:val="000000"/>
          <w:sz w:val="20"/>
          <w:szCs w:val="20"/>
        </w:rPr>
        <w:t>Under the FABN program, Equitable Financial may issue funding agreements in U.S. dollar or other foreign currencies.</w:t>
      </w:r>
    </w:p>
    <w:p w:rsidR="00000000" w:rsidRDefault="005B0BC3">
      <w:pPr>
        <w:ind w:firstLine="360"/>
        <w:divId w:val="761493293"/>
        <w:rPr>
          <w:rFonts w:eastAsia="Times New Roman"/>
        </w:rPr>
      </w:pPr>
      <w:r>
        <w:rPr>
          <w:rFonts w:eastAsia="Times New Roman"/>
          <w:color w:val="000000"/>
          <w:sz w:val="20"/>
          <w:szCs w:val="20"/>
        </w:rPr>
        <w:t xml:space="preserve">See Note 17 of the Notes to these Consolidated Financial Statements for further description of our FABN program. </w:t>
      </w:r>
    </w:p>
    <w:p w:rsidR="00000000" w:rsidRDefault="005B0BC3">
      <w:pPr>
        <w:divId w:val="614408342"/>
        <w:rPr>
          <w:rFonts w:eastAsia="Times New Roman"/>
        </w:rPr>
      </w:pPr>
      <w:r>
        <w:rPr>
          <w:rFonts w:eastAsia="Times New Roman"/>
          <w:b/>
          <w:bCs/>
          <w:color w:val="000000"/>
          <w:sz w:val="20"/>
          <w:szCs w:val="20"/>
        </w:rPr>
        <w:t>Sources and Uses of Liquidity of our Investment Management and Research Segment</w:t>
      </w:r>
    </w:p>
    <w:p w:rsidR="00000000" w:rsidRDefault="005B0BC3">
      <w:pPr>
        <w:ind w:firstLine="360"/>
        <w:divId w:val="554048254"/>
        <w:rPr>
          <w:rFonts w:eastAsia="Times New Roman"/>
        </w:rPr>
      </w:pPr>
      <w:r>
        <w:rPr>
          <w:rFonts w:eastAsia="Times New Roman"/>
          <w:color w:val="000000"/>
          <w:sz w:val="20"/>
          <w:szCs w:val="20"/>
        </w:rPr>
        <w:t>The principal sources of liquidity for our Investment Manageme</w:t>
      </w:r>
      <w:r>
        <w:rPr>
          <w:rFonts w:eastAsia="Times New Roman"/>
          <w:color w:val="000000"/>
          <w:sz w:val="20"/>
          <w:szCs w:val="20"/>
        </w:rPr>
        <w:t>nt and Research business include investment management fees and borrowings under its credit facilities and commercial paper program. The principal uses of liquidity include general and administrative expenses, business financing and distributions to holder</w:t>
      </w:r>
      <w:r>
        <w:rPr>
          <w:rFonts w:eastAsia="Times New Roman"/>
          <w:color w:val="000000"/>
          <w:sz w:val="20"/>
          <w:szCs w:val="20"/>
        </w:rPr>
        <w:t>s of AB Units and AB Holding Units plus interest and debt service. The primary liquidity risk for our fee-based Investment Management and Research business is its profitability, which is impacted by market conditions and our investment management performan</w:t>
      </w:r>
      <w:r>
        <w:rPr>
          <w:rFonts w:eastAsia="Times New Roman"/>
          <w:color w:val="000000"/>
          <w:sz w:val="20"/>
          <w:szCs w:val="20"/>
        </w:rPr>
        <w:t>ce.</w:t>
      </w:r>
    </w:p>
    <w:p w:rsidR="00000000" w:rsidRDefault="005B0BC3">
      <w:pPr>
        <w:ind w:firstLine="360"/>
        <w:divId w:val="71900108"/>
        <w:rPr>
          <w:rFonts w:eastAsia="Times New Roman"/>
        </w:rPr>
      </w:pPr>
      <w:r>
        <w:rPr>
          <w:rFonts w:eastAsia="Times New Roman"/>
          <w:color w:val="000000"/>
          <w:sz w:val="20"/>
          <w:szCs w:val="20"/>
        </w:rPr>
        <w:t>For information regarding our Investment Management and Research credit facilities and commercial paper program with external parties, see Note 12 of the Notes to these Consolidated Financial Statements.</w:t>
      </w:r>
    </w:p>
    <w:p w:rsidR="00000000" w:rsidRDefault="005B0BC3">
      <w:pPr>
        <w:jc w:val="both"/>
        <w:divId w:val="2146002959"/>
        <w:rPr>
          <w:rFonts w:eastAsia="Times New Roman"/>
        </w:rPr>
      </w:pPr>
      <w:r>
        <w:rPr>
          <w:rFonts w:eastAsia="Times New Roman"/>
          <w:b/>
          <w:bCs/>
          <w:i/>
          <w:iCs/>
          <w:color w:val="000000"/>
          <w:sz w:val="20"/>
          <w:szCs w:val="20"/>
        </w:rPr>
        <w:t>EQH Facility</w:t>
      </w:r>
    </w:p>
    <w:p w:rsidR="00000000" w:rsidRDefault="005B0BC3">
      <w:pPr>
        <w:ind w:firstLine="360"/>
        <w:divId w:val="1017389967"/>
        <w:rPr>
          <w:rFonts w:eastAsia="Times New Roman"/>
        </w:rPr>
      </w:pPr>
      <w:r>
        <w:rPr>
          <w:rFonts w:eastAsia="Times New Roman"/>
          <w:color w:val="000000"/>
          <w:sz w:val="20"/>
          <w:szCs w:val="20"/>
        </w:rPr>
        <w:t>AB has a $900 million committed, un</w:t>
      </w:r>
      <w:r>
        <w:rPr>
          <w:rFonts w:eastAsia="Times New Roman"/>
          <w:color w:val="000000"/>
          <w:sz w:val="20"/>
          <w:szCs w:val="20"/>
        </w:rPr>
        <w:t>secured senior credit facility (the “EQH Facility”). The EQH Facility matures on November 4, 2024 and is available for AB’s general business purposes. Borrowings under the EQH Facility generally bear interest at a rate per annum based on prevailing overnig</w:t>
      </w:r>
      <w:r>
        <w:rPr>
          <w:rFonts w:eastAsia="Times New Roman"/>
          <w:color w:val="000000"/>
          <w:sz w:val="20"/>
          <w:szCs w:val="20"/>
        </w:rPr>
        <w:t>ht commercial paper rates.</w:t>
      </w:r>
    </w:p>
    <w:p w:rsidR="00000000" w:rsidRDefault="005B0BC3">
      <w:pPr>
        <w:ind w:firstLine="360"/>
        <w:divId w:val="1016271226"/>
        <w:rPr>
          <w:rFonts w:eastAsia="Times New Roman"/>
        </w:rPr>
      </w:pPr>
      <w:r>
        <w:rPr>
          <w:rFonts w:eastAsia="Times New Roman"/>
          <w:color w:val="000000"/>
          <w:sz w:val="20"/>
          <w:szCs w:val="20"/>
        </w:rPr>
        <w:t xml:space="preserve">The EQH Facility contains affirmative, negative and financial covenants which are substantially similar to those in AB’s committed bank facilities. The EQH Facility also includes customary events of default substantially similar </w:t>
      </w:r>
      <w:r>
        <w:rPr>
          <w:rFonts w:eastAsia="Times New Roman"/>
          <w:color w:val="000000"/>
          <w:sz w:val="20"/>
          <w:szCs w:val="20"/>
        </w:rPr>
        <w:t xml:space="preserve">to those in AB’s committed bank facilities, including provisions under which, upon the occurrence of an event of default, all outstanding loans may be accelerated and/or the lender’s commitment may be terminated. </w:t>
      </w:r>
    </w:p>
    <w:p w:rsidR="00000000" w:rsidRDefault="005B0BC3">
      <w:pPr>
        <w:ind w:firstLine="360"/>
        <w:divId w:val="265038171"/>
        <w:rPr>
          <w:rFonts w:eastAsia="Times New Roman"/>
        </w:rPr>
      </w:pPr>
      <w:r>
        <w:rPr>
          <w:rFonts w:eastAsia="Times New Roman"/>
          <w:color w:val="000000"/>
          <w:sz w:val="20"/>
          <w:szCs w:val="20"/>
        </w:rPr>
        <w:t>Amounts under the EQH Facility may be borr</w:t>
      </w:r>
      <w:r>
        <w:rPr>
          <w:rFonts w:eastAsia="Times New Roman"/>
          <w:color w:val="000000"/>
          <w:sz w:val="20"/>
          <w:szCs w:val="20"/>
        </w:rPr>
        <w:t>owed, repaid and re-borrowed by AB from time to time until the maturity of the facility. AB or Holdings may reduce or terminate the commitment at any time without penalty upon proper notice. Holdings also may terminate the facility immediately upon a chang</w:t>
      </w:r>
      <w:r>
        <w:rPr>
          <w:rFonts w:eastAsia="Times New Roman"/>
          <w:color w:val="000000"/>
          <w:sz w:val="20"/>
          <w:szCs w:val="20"/>
        </w:rPr>
        <w:t xml:space="preserve">e of control of AB’s general partner. </w:t>
      </w:r>
    </w:p>
    <w:p w:rsidR="00000000" w:rsidRDefault="005B0BC3">
      <w:pPr>
        <w:ind w:firstLine="360"/>
        <w:divId w:val="537856297"/>
        <w:rPr>
          <w:rFonts w:eastAsia="Times New Roman"/>
        </w:rPr>
      </w:pPr>
      <w:r>
        <w:rPr>
          <w:rFonts w:eastAsia="Times New Roman"/>
          <w:color w:val="000000"/>
          <w:sz w:val="20"/>
          <w:szCs w:val="20"/>
        </w:rPr>
        <w:t>As of December 31, 2021 and 2020, AB had $755 million and $675 million outstanding under the EQH Facility, in each case with an interest rate of approximately 0.2%. Average daily borrowing of the EQH Facility during 2</w:t>
      </w:r>
      <w:r>
        <w:rPr>
          <w:rFonts w:eastAsia="Times New Roman"/>
          <w:color w:val="000000"/>
          <w:sz w:val="20"/>
          <w:szCs w:val="20"/>
        </w:rPr>
        <w:t>021 and 2020 were $405 million and $471 million, respectively, with a weighted average interest rate of approximately 0.2% and 0.5% respectively.</w:t>
      </w:r>
    </w:p>
    <w:p w:rsidR="00000000" w:rsidRDefault="005B0BC3">
      <w:pPr>
        <w:divId w:val="2040936133"/>
        <w:rPr>
          <w:rFonts w:eastAsia="Times New Roman"/>
        </w:rPr>
      </w:pPr>
      <w:r>
        <w:rPr>
          <w:rFonts w:eastAsia="Times New Roman"/>
          <w:b/>
          <w:bCs/>
          <w:i/>
          <w:iCs/>
          <w:color w:val="000000"/>
          <w:sz w:val="20"/>
          <w:szCs w:val="20"/>
        </w:rPr>
        <w:t>EQH Uncommitted Facility</w:t>
      </w:r>
    </w:p>
    <w:p w:rsidR="00000000" w:rsidRDefault="005B0BC3">
      <w:pPr>
        <w:jc w:val="center"/>
        <w:divId w:val="743797106"/>
        <w:rPr>
          <w:rFonts w:eastAsia="Times New Roman"/>
        </w:rPr>
      </w:pPr>
      <w:r>
        <w:rPr>
          <w:rFonts w:eastAsia="Times New Roman"/>
          <w:color w:val="000000"/>
          <w:sz w:val="20"/>
          <w:szCs w:val="20"/>
        </w:rPr>
        <w:t>109</w:t>
      </w:r>
    </w:p>
    <w:p w:rsidR="00000000" w:rsidRDefault="005B0BC3">
      <w:pPr>
        <w:rPr>
          <w:rFonts w:eastAsia="Times New Roman"/>
        </w:rPr>
      </w:pPr>
      <w:r>
        <w:rPr>
          <w:rFonts w:eastAsia="Times New Roman"/>
        </w:rPr>
        <w:pict>
          <v:rect id="_x0000_i1147" style="width:0;height:1.5pt" o:hralign="center" o:hrstd="t" o:hr="t" fillcolor="#a0a0a0" stroked="f"/>
        </w:pict>
      </w:r>
    </w:p>
    <w:p w:rsidR="00000000" w:rsidRDefault="005B0BC3">
      <w:pPr>
        <w:divId w:val="1793087402"/>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ind w:firstLine="360"/>
        <w:divId w:val="469401091"/>
        <w:rPr>
          <w:rFonts w:eastAsia="Times New Roman"/>
        </w:rPr>
      </w:pPr>
      <w:r>
        <w:rPr>
          <w:rFonts w:eastAsia="Times New Roman"/>
          <w:color w:val="000000"/>
          <w:sz w:val="20"/>
          <w:szCs w:val="20"/>
        </w:rPr>
        <w:t>In addition to the EQH Facility, on September 1, 2020, AB established a new $300 million uncommitted, unsecured senior credit facility (the “EQH Uncommitted Facility”) with EQH. The EQH Uncommitted Facility matures on Sept</w:t>
      </w:r>
      <w:r>
        <w:rPr>
          <w:rFonts w:eastAsia="Times New Roman"/>
          <w:color w:val="000000"/>
          <w:sz w:val="20"/>
          <w:szCs w:val="20"/>
        </w:rPr>
        <w:t>ember 1, 2024 and is available for AB’s general business purposes. Borrowings under the EQH Uncommitted Facility bear generally interest at a rate per annum based on prevailing overnight commercial paper rates. The EQH Uncommitted Facility contains affirma</w:t>
      </w:r>
      <w:r>
        <w:rPr>
          <w:rFonts w:eastAsia="Times New Roman"/>
          <w:color w:val="000000"/>
          <w:sz w:val="20"/>
          <w:szCs w:val="20"/>
        </w:rPr>
        <w:t>tive, negative and financial covenants, which are substantially similar to those in the EQH Facility.</w:t>
      </w:r>
    </w:p>
    <w:p w:rsidR="00000000" w:rsidRDefault="005B0BC3">
      <w:pPr>
        <w:ind w:firstLine="360"/>
        <w:divId w:val="1504471279"/>
        <w:rPr>
          <w:rFonts w:eastAsia="Times New Roman"/>
        </w:rPr>
      </w:pPr>
      <w:r>
        <w:rPr>
          <w:rFonts w:eastAsia="Times New Roman"/>
          <w:color w:val="000000"/>
          <w:sz w:val="20"/>
          <w:szCs w:val="20"/>
        </w:rPr>
        <w:t>As of December 31, 2021 and 2020, AB had no outstanding balance on the EQH Uncommitted Facility. During the periods ended December 31, 2021 and 2020, AB d</w:t>
      </w:r>
      <w:r>
        <w:rPr>
          <w:rFonts w:eastAsia="Times New Roman"/>
          <w:color w:val="000000"/>
          <w:sz w:val="20"/>
          <w:szCs w:val="20"/>
        </w:rPr>
        <w:t>id not draw upon the EQH Uncommitted Facility.</w:t>
      </w:r>
    </w:p>
    <w:p w:rsidR="00000000" w:rsidRDefault="005B0BC3">
      <w:pPr>
        <w:divId w:val="1086727015"/>
        <w:rPr>
          <w:rFonts w:eastAsia="Times New Roman"/>
        </w:rPr>
      </w:pPr>
      <w:r>
        <w:rPr>
          <w:rFonts w:eastAsia="Times New Roman"/>
          <w:b/>
          <w:bCs/>
          <w:color w:val="000000"/>
          <w:sz w:val="20"/>
          <w:szCs w:val="20"/>
        </w:rPr>
        <w:t>Statutory Capital of Our Insurance Subsidiaries</w:t>
      </w:r>
    </w:p>
    <w:p w:rsidR="00000000" w:rsidRDefault="005B0BC3">
      <w:pPr>
        <w:ind w:firstLine="360"/>
        <w:divId w:val="1241599750"/>
        <w:rPr>
          <w:rFonts w:eastAsia="Times New Roman"/>
        </w:rPr>
      </w:pPr>
      <w:r>
        <w:rPr>
          <w:rFonts w:eastAsia="Times New Roman"/>
          <w:color w:val="000000"/>
          <w:sz w:val="20"/>
          <w:szCs w:val="20"/>
        </w:rPr>
        <w:t>Our capital management framework for our insurance subsidiaries is primarily based on statutory RBC standards and the CTE asset standard for our variable annuity</w:t>
      </w:r>
      <w:r>
        <w:rPr>
          <w:rFonts w:eastAsia="Times New Roman"/>
          <w:color w:val="000000"/>
          <w:sz w:val="20"/>
          <w:szCs w:val="20"/>
        </w:rPr>
        <w:t xml:space="preserve"> business.</w:t>
      </w:r>
    </w:p>
    <w:p w:rsidR="00000000" w:rsidRDefault="005B0BC3">
      <w:pPr>
        <w:ind w:firstLine="360"/>
        <w:divId w:val="1021709585"/>
        <w:rPr>
          <w:rFonts w:eastAsia="Times New Roman"/>
        </w:rPr>
      </w:pPr>
      <w:r>
        <w:rPr>
          <w:rFonts w:eastAsia="Times New Roman"/>
          <w:color w:val="000000"/>
          <w:sz w:val="20"/>
          <w:szCs w:val="20"/>
        </w:rPr>
        <w:t>RBC requirements are used as minimum capital requirements by the NAIC and the state insurance departments to evaluate the capital condition of regulated insurance companies. RBC is based on a formula calculated by applying factors to various ass</w:t>
      </w:r>
      <w:r>
        <w:rPr>
          <w:rFonts w:eastAsia="Times New Roman"/>
          <w:color w:val="000000"/>
          <w:sz w:val="20"/>
          <w:szCs w:val="20"/>
        </w:rPr>
        <w:t xml:space="preserve">et, premium, claim, expense and statutory reserve items. The formula takes into account the risk characteristics of the insurer, including asset risk, insurance risk, interest rate risk, market risk and business risk and is calculated on a quarterly basis </w:t>
      </w:r>
      <w:r>
        <w:rPr>
          <w:rFonts w:eastAsia="Times New Roman"/>
          <w:color w:val="000000"/>
          <w:sz w:val="20"/>
          <w:szCs w:val="20"/>
        </w:rPr>
        <w:t>and made public on an annual basis. The formula is used as an early warning regulatory tool to identify possible inadequately capitalized insurers for purposes of initiating regulatory action, and not as a means to rank insurers generally. These rules appl</w:t>
      </w:r>
      <w:r>
        <w:rPr>
          <w:rFonts w:eastAsia="Times New Roman"/>
          <w:color w:val="000000"/>
          <w:sz w:val="20"/>
          <w:szCs w:val="20"/>
        </w:rPr>
        <w:t>y to our insurance company subsidiaries and not to Holdings. State insurance laws provide insurance regulators the authority to require various actions by, or take various actions against, insurers whose total adjusted capital does not meet or exceed certa</w:t>
      </w:r>
      <w:r>
        <w:rPr>
          <w:rFonts w:eastAsia="Times New Roman"/>
          <w:color w:val="000000"/>
          <w:sz w:val="20"/>
          <w:szCs w:val="20"/>
        </w:rPr>
        <w:t>in RBC levels. At the date of the most recent annual statutory financial statements filed with insurance regulators, the total adjusted capital of each of these insurance company subsidiaries subject to these requirements was in excess of each of those RBC</w:t>
      </w:r>
      <w:r>
        <w:rPr>
          <w:rFonts w:eastAsia="Times New Roman"/>
          <w:color w:val="000000"/>
          <w:sz w:val="20"/>
          <w:szCs w:val="20"/>
        </w:rPr>
        <w:t xml:space="preserve"> levels.</w:t>
      </w:r>
    </w:p>
    <w:p w:rsidR="00000000" w:rsidRDefault="005B0BC3">
      <w:pPr>
        <w:ind w:firstLine="360"/>
        <w:divId w:val="1076394224"/>
        <w:rPr>
          <w:rFonts w:eastAsia="Times New Roman"/>
        </w:rPr>
      </w:pPr>
      <w:r>
        <w:rPr>
          <w:rFonts w:eastAsia="Times New Roman"/>
          <w:color w:val="000000"/>
          <w:sz w:val="20"/>
          <w:szCs w:val="20"/>
        </w:rPr>
        <w:t xml:space="preserve">Please see Note 20 of the Notes to these Consolidated Financial Statements for additional information relating to Permitted Statutory Accounting practices and its impact on our statutory surplus. </w:t>
      </w:r>
    </w:p>
    <w:p w:rsidR="00000000" w:rsidRDefault="005B0BC3">
      <w:pPr>
        <w:divId w:val="707797917"/>
        <w:rPr>
          <w:rFonts w:eastAsia="Times New Roman"/>
        </w:rPr>
      </w:pPr>
      <w:r>
        <w:rPr>
          <w:rFonts w:eastAsia="Times New Roman"/>
          <w:b/>
          <w:bCs/>
          <w:color w:val="000000"/>
          <w:sz w:val="20"/>
          <w:szCs w:val="20"/>
        </w:rPr>
        <w:t>Captive Reinsurance Company</w:t>
      </w:r>
    </w:p>
    <w:p w:rsidR="00000000" w:rsidRDefault="005B0BC3">
      <w:pPr>
        <w:ind w:firstLine="360"/>
        <w:divId w:val="1639990709"/>
        <w:rPr>
          <w:rFonts w:eastAsia="Times New Roman"/>
        </w:rPr>
      </w:pPr>
      <w:r>
        <w:rPr>
          <w:rFonts w:eastAsia="Times New Roman"/>
          <w:color w:val="000000"/>
          <w:sz w:val="20"/>
          <w:szCs w:val="20"/>
        </w:rPr>
        <w:t>We use a captive reinsurance co</w:t>
      </w:r>
      <w:r>
        <w:rPr>
          <w:rFonts w:eastAsia="Times New Roman"/>
          <w:color w:val="000000"/>
          <w:sz w:val="20"/>
          <w:szCs w:val="20"/>
        </w:rPr>
        <w:t>mpany to more effectively manage our reserves and capital on an economic basis and to enable the aggregation and transfer of risks. Our captive reinsurance company assumes business from affiliates only and is closed to new business. Our captive reinsurance</w:t>
      </w:r>
      <w:r>
        <w:rPr>
          <w:rFonts w:eastAsia="Times New Roman"/>
          <w:color w:val="000000"/>
          <w:sz w:val="20"/>
          <w:szCs w:val="20"/>
        </w:rPr>
        <w:t xml:space="preserve"> company is a wholly-owned subsidiaries located in the United States. In addition to state insurance regulation, our captive is subject to internal policies governing its activities. We continue to analyze the use of our existing captive reinsurance struct</w:t>
      </w:r>
      <w:r>
        <w:rPr>
          <w:rFonts w:eastAsia="Times New Roman"/>
          <w:color w:val="000000"/>
          <w:sz w:val="20"/>
          <w:szCs w:val="20"/>
        </w:rPr>
        <w:t>ure, as well as additional third-party reinsurance arrangements.</w:t>
      </w:r>
    </w:p>
    <w:p w:rsidR="00000000" w:rsidRDefault="005B0BC3">
      <w:pPr>
        <w:divId w:val="1390690514"/>
        <w:rPr>
          <w:rFonts w:eastAsia="Times New Roman"/>
        </w:rPr>
      </w:pPr>
      <w:r>
        <w:rPr>
          <w:rFonts w:eastAsia="Times New Roman"/>
          <w:b/>
          <w:bCs/>
          <w:color w:val="000000"/>
          <w:sz w:val="20"/>
          <w:szCs w:val="20"/>
        </w:rPr>
        <w:t>Borrowings</w:t>
      </w:r>
    </w:p>
    <w:p w:rsidR="00000000" w:rsidRDefault="005B0BC3">
      <w:pPr>
        <w:ind w:firstLine="360"/>
        <w:divId w:val="1289050247"/>
        <w:rPr>
          <w:rFonts w:eastAsia="Times New Roman"/>
        </w:rPr>
      </w:pPr>
      <w:r>
        <w:rPr>
          <w:rFonts w:eastAsia="Times New Roman"/>
          <w:color w:val="000000"/>
          <w:sz w:val="20"/>
          <w:szCs w:val="20"/>
        </w:rPr>
        <w:t>Our financial strategy going forward will remain subject to market conditions and other factors. For example, we may from time to time enter into additional bank or other financing</w:t>
      </w:r>
      <w:r>
        <w:rPr>
          <w:rFonts w:eastAsia="Times New Roman"/>
          <w:color w:val="000000"/>
          <w:sz w:val="20"/>
          <w:szCs w:val="20"/>
        </w:rPr>
        <w:t xml:space="preserve"> arrangements, including public or private debt, structured facilities and contingent capital arrangements, under which we could incur additional indebtedness. </w:t>
      </w:r>
    </w:p>
    <w:p w:rsidR="00000000" w:rsidRDefault="005B0BC3">
      <w:pPr>
        <w:ind w:firstLine="360"/>
        <w:divId w:val="1189293874"/>
        <w:rPr>
          <w:rFonts w:eastAsia="Times New Roman"/>
        </w:rPr>
      </w:pPr>
      <w:r>
        <w:rPr>
          <w:rFonts w:eastAsia="Times New Roman"/>
          <w:color w:val="000000"/>
          <w:sz w:val="20"/>
          <w:szCs w:val="20"/>
        </w:rPr>
        <w:t>For information regarding activity pertaining to our total consolidated borrowings, see Note 12</w:t>
      </w:r>
      <w:r>
        <w:rPr>
          <w:rFonts w:eastAsia="Times New Roman"/>
          <w:color w:val="000000"/>
          <w:sz w:val="20"/>
          <w:szCs w:val="20"/>
        </w:rPr>
        <w:t xml:space="preserve"> of the Notes to these Consolidated Financial Statements.</w:t>
      </w:r>
    </w:p>
    <w:p w:rsidR="00000000" w:rsidRDefault="005B0BC3">
      <w:pPr>
        <w:divId w:val="377516068"/>
        <w:rPr>
          <w:rFonts w:eastAsia="Times New Roman"/>
        </w:rPr>
      </w:pPr>
      <w:r>
        <w:rPr>
          <w:rFonts w:eastAsia="Times New Roman"/>
          <w:b/>
          <w:bCs/>
          <w:color w:val="000000"/>
          <w:sz w:val="20"/>
          <w:szCs w:val="20"/>
        </w:rPr>
        <w:t>Ratings</w:t>
      </w:r>
    </w:p>
    <w:p w:rsidR="00000000" w:rsidRDefault="005B0BC3">
      <w:pPr>
        <w:ind w:firstLine="360"/>
        <w:divId w:val="948781318"/>
        <w:rPr>
          <w:rFonts w:eastAsia="Times New Roman"/>
        </w:rPr>
      </w:pPr>
      <w:r>
        <w:rPr>
          <w:rFonts w:eastAsia="Times New Roman"/>
          <w:color w:val="000000"/>
          <w:sz w:val="20"/>
          <w:szCs w:val="20"/>
        </w:rPr>
        <w:t>Financial strength ratings (which are sometimes referred to as “claims-paying” ratings) and credit ratings are important factors affecting public confidence in an insurer and its competitive</w:t>
      </w:r>
      <w:r>
        <w:rPr>
          <w:rFonts w:eastAsia="Times New Roman"/>
          <w:color w:val="000000"/>
          <w:sz w:val="20"/>
          <w:szCs w:val="20"/>
        </w:rPr>
        <w:t xml:space="preserve"> position in marketing products. Our credit ratings are also important for our ability to raise capital through the issuance of debt and for the cost of such financing.</w:t>
      </w:r>
    </w:p>
    <w:p w:rsidR="00000000" w:rsidRDefault="005B0BC3">
      <w:pPr>
        <w:ind w:firstLine="360"/>
        <w:divId w:val="332533900"/>
        <w:rPr>
          <w:rFonts w:eastAsia="Times New Roman"/>
        </w:rPr>
      </w:pPr>
      <w:r>
        <w:rPr>
          <w:rFonts w:eastAsia="Times New Roman"/>
          <w:color w:val="000000"/>
          <w:sz w:val="20"/>
          <w:szCs w:val="20"/>
        </w:rPr>
        <w:t>Financial strength ratings represent the opinions of rating agencies regarding the fina</w:t>
      </w:r>
      <w:r>
        <w:rPr>
          <w:rFonts w:eastAsia="Times New Roman"/>
          <w:color w:val="000000"/>
          <w:sz w:val="20"/>
          <w:szCs w:val="20"/>
        </w:rPr>
        <w:t>ncial ability of an insurance company to meet its obligations under an insurance policy. Credit ratings represent the opinions of rating agencies regarding an entity’s ability to repay its indebtedness. The following table summarizes the ratings for Holdin</w:t>
      </w:r>
      <w:r>
        <w:rPr>
          <w:rFonts w:eastAsia="Times New Roman"/>
          <w:color w:val="000000"/>
          <w:sz w:val="20"/>
          <w:szCs w:val="20"/>
        </w:rPr>
        <w:t>gs and certain of its subsidiaries. AM Best and S&amp;P have a stable outlook while Moody’s has a positive outlook.</w:t>
      </w:r>
    </w:p>
    <w:p w:rsidR="00000000" w:rsidRDefault="005B0BC3">
      <w:pPr>
        <w:jc w:val="center"/>
        <w:divId w:val="1398437120"/>
        <w:rPr>
          <w:rFonts w:eastAsia="Times New Roman"/>
        </w:rPr>
      </w:pPr>
      <w:r>
        <w:rPr>
          <w:rFonts w:eastAsia="Times New Roman"/>
          <w:color w:val="000000"/>
          <w:sz w:val="20"/>
          <w:szCs w:val="20"/>
        </w:rPr>
        <w:t>110</w:t>
      </w:r>
    </w:p>
    <w:p w:rsidR="00000000" w:rsidRDefault="005B0BC3">
      <w:pPr>
        <w:rPr>
          <w:rFonts w:eastAsia="Times New Roman"/>
        </w:rPr>
      </w:pPr>
      <w:r>
        <w:rPr>
          <w:rFonts w:eastAsia="Times New Roman"/>
        </w:rPr>
        <w:pict>
          <v:rect id="_x0000_i1148" style="width:0;height:1.5pt" o:hralign="center" o:hrstd="t" o:hr="t" fillcolor="#a0a0a0" stroked="f"/>
        </w:pict>
      </w:r>
    </w:p>
    <w:p w:rsidR="00000000" w:rsidRDefault="005B0BC3">
      <w:pPr>
        <w:divId w:val="1678263068"/>
        <w:rPr>
          <w:rFonts w:eastAsia="Times New Roman"/>
        </w:rPr>
      </w:pPr>
      <w:hyperlink w:anchor="i2ac35847634046b3a89f93d9b422e8f5_421" w:history="1">
        <w:r>
          <w:rPr>
            <w:rStyle w:val="a3"/>
            <w:rFonts w:eastAsia="Times New Roman"/>
            <w:b/>
            <w:bCs/>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0"/>
        <w:gridCol w:w="4527"/>
        <w:gridCol w:w="39"/>
        <w:gridCol w:w="60"/>
        <w:gridCol w:w="1014"/>
        <w:gridCol w:w="36"/>
        <w:gridCol w:w="36"/>
        <w:gridCol w:w="36"/>
        <w:gridCol w:w="36"/>
        <w:gridCol w:w="45"/>
        <w:gridCol w:w="1101"/>
        <w:gridCol w:w="37"/>
        <w:gridCol w:w="36"/>
        <w:gridCol w:w="36"/>
        <w:gridCol w:w="36"/>
        <w:gridCol w:w="46"/>
        <w:gridCol w:w="1089"/>
        <w:gridCol w:w="36"/>
      </w:tblGrid>
      <w:tr w:rsidR="00000000">
        <w:trPr>
          <w:divId w:val="457528829"/>
        </w:trPr>
        <w:tc>
          <w:tcPr>
            <w:tcW w:w="50" w:type="pct"/>
            <w:vAlign w:val="center"/>
            <w:hideMark/>
          </w:tcPr>
          <w:p w:rsidR="00000000" w:rsidRDefault="005B0BC3">
            <w:pPr>
              <w:rPr>
                <w:rFonts w:eastAsia="Times New Roman"/>
              </w:rPr>
            </w:pPr>
          </w:p>
        </w:tc>
        <w:tc>
          <w:tcPr>
            <w:tcW w:w="273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7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6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457528829"/>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AM Best</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S&amp;P</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Moody’s</w:t>
            </w:r>
          </w:p>
        </w:tc>
      </w:tr>
      <w:tr w:rsidR="00000000">
        <w:trPr>
          <w:divId w:val="457528829"/>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18"/>
                <w:szCs w:val="18"/>
              </w:rPr>
              <w:t>Last review date</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Jan '22</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Nov '21</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Aug '21</w:t>
            </w:r>
          </w:p>
        </w:tc>
      </w:tr>
      <w:tr w:rsidR="00000000">
        <w:trPr>
          <w:divId w:val="457528829"/>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i/>
                <w:iCs/>
                <w:color w:val="000000"/>
                <w:sz w:val="18"/>
                <w:szCs w:val="18"/>
              </w:rPr>
              <w:t>Financial Strength Ratings:</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457528829"/>
        </w:trPr>
        <w:tc>
          <w:tcPr>
            <w:tcW w:w="0" w:type="auto"/>
            <w:gridSpan w:val="3"/>
            <w:shd w:val="clear" w:color="auto" w:fill="CCEEFF"/>
            <w:tcMar>
              <w:top w:w="30" w:type="dxa"/>
              <w:left w:w="140" w:type="dxa"/>
              <w:bottom w:w="30" w:type="dxa"/>
              <w:right w:w="20" w:type="dxa"/>
            </w:tcMar>
            <w:vAlign w:val="bottom"/>
            <w:hideMark/>
          </w:tcPr>
          <w:p w:rsidR="00000000" w:rsidRDefault="005B0BC3">
            <w:pPr>
              <w:spacing w:after="100"/>
              <w:ind w:firstLine="360"/>
              <w:rPr>
                <w:rFonts w:eastAsia="Times New Roman"/>
              </w:rPr>
            </w:pPr>
            <w:r>
              <w:rPr>
                <w:rFonts w:eastAsia="Times New Roman"/>
                <w:color w:val="000000"/>
                <w:sz w:val="20"/>
                <w:szCs w:val="20"/>
              </w:rPr>
              <w:t>Equitable Financial Life Insurance Company</w:t>
            </w: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A</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A+</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A2</w:t>
            </w:r>
          </w:p>
        </w:tc>
      </w:tr>
      <w:tr w:rsidR="00000000">
        <w:trPr>
          <w:divId w:val="457528829"/>
        </w:trPr>
        <w:tc>
          <w:tcPr>
            <w:tcW w:w="0" w:type="auto"/>
            <w:gridSpan w:val="3"/>
            <w:shd w:val="clear" w:color="auto" w:fill="FFFFFF"/>
            <w:tcMar>
              <w:top w:w="30" w:type="dxa"/>
              <w:left w:w="140" w:type="dxa"/>
              <w:bottom w:w="30" w:type="dxa"/>
              <w:right w:w="20" w:type="dxa"/>
            </w:tcMar>
            <w:vAlign w:val="bottom"/>
            <w:hideMark/>
          </w:tcPr>
          <w:p w:rsidR="00000000" w:rsidRDefault="005B0BC3">
            <w:pPr>
              <w:spacing w:after="100"/>
              <w:ind w:firstLine="360"/>
              <w:rPr>
                <w:rFonts w:eastAsia="Times New Roman"/>
              </w:rPr>
            </w:pPr>
            <w:r>
              <w:rPr>
                <w:rFonts w:eastAsia="Times New Roman"/>
                <w:color w:val="000000"/>
                <w:sz w:val="20"/>
                <w:szCs w:val="20"/>
              </w:rPr>
              <w:t>Equitable Financial Life Insurance Company of America</w:t>
            </w:r>
          </w:p>
        </w:tc>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A</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A+</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A2</w:t>
            </w:r>
          </w:p>
        </w:tc>
      </w:tr>
      <w:tr w:rsidR="00000000">
        <w:trPr>
          <w:divId w:val="457528829"/>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i/>
                <w:iCs/>
                <w:color w:val="000000"/>
                <w:sz w:val="18"/>
                <w:szCs w:val="18"/>
              </w:rPr>
              <w:t>Credit Ratings:</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457528829"/>
        </w:trPr>
        <w:tc>
          <w:tcPr>
            <w:tcW w:w="0" w:type="auto"/>
            <w:gridSpan w:val="3"/>
            <w:shd w:val="clear" w:color="auto" w:fill="FFFFFF"/>
            <w:tcMar>
              <w:top w:w="30" w:type="dxa"/>
              <w:left w:w="140" w:type="dxa"/>
              <w:bottom w:w="30" w:type="dxa"/>
              <w:right w:w="20" w:type="dxa"/>
            </w:tcMar>
            <w:vAlign w:val="bottom"/>
            <w:hideMark/>
          </w:tcPr>
          <w:p w:rsidR="00000000" w:rsidRDefault="005B0BC3">
            <w:pPr>
              <w:spacing w:after="100"/>
              <w:ind w:firstLine="360"/>
              <w:rPr>
                <w:rFonts w:eastAsia="Times New Roman"/>
              </w:rPr>
            </w:pPr>
            <w:r>
              <w:rPr>
                <w:rFonts w:eastAsia="Times New Roman"/>
                <w:color w:val="000000"/>
                <w:sz w:val="20"/>
                <w:szCs w:val="20"/>
              </w:rPr>
              <w:t>Equitable Holdings, Inc.</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ind w:firstLine="36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BBB+</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Baa2</w:t>
            </w:r>
          </w:p>
        </w:tc>
      </w:tr>
      <w:tr w:rsidR="00000000">
        <w:trPr>
          <w:divId w:val="457528829"/>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18"/>
                <w:szCs w:val="18"/>
              </w:rPr>
              <w:t>Last review date</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Sep '21</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Dec '21</w:t>
            </w:r>
          </w:p>
        </w:tc>
      </w:tr>
      <w:tr w:rsidR="00000000">
        <w:trPr>
          <w:divId w:val="457528829"/>
        </w:trPr>
        <w:tc>
          <w:tcPr>
            <w:tcW w:w="0" w:type="auto"/>
            <w:gridSpan w:val="3"/>
            <w:shd w:val="clear" w:color="auto" w:fill="FFFFFF"/>
            <w:tcMar>
              <w:top w:w="30" w:type="dxa"/>
              <w:left w:w="140" w:type="dxa"/>
              <w:bottom w:w="30" w:type="dxa"/>
              <w:right w:w="20" w:type="dxa"/>
            </w:tcMar>
            <w:vAlign w:val="bottom"/>
            <w:hideMark/>
          </w:tcPr>
          <w:p w:rsidR="00000000" w:rsidRDefault="005B0BC3">
            <w:pPr>
              <w:spacing w:after="100"/>
              <w:ind w:firstLine="360"/>
              <w:rPr>
                <w:rFonts w:eastAsia="Times New Roman"/>
              </w:rPr>
            </w:pPr>
            <w:r>
              <w:rPr>
                <w:rFonts w:eastAsia="Times New Roman"/>
                <w:color w:val="000000"/>
                <w:sz w:val="20"/>
                <w:szCs w:val="20"/>
              </w:rPr>
              <w:t>AllianceBernstein L.P.</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ind w:firstLine="36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A</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A2</w:t>
            </w:r>
          </w:p>
        </w:tc>
      </w:tr>
    </w:tbl>
    <w:p w:rsidR="00000000" w:rsidRDefault="005B0BC3">
      <w:pPr>
        <w:divId w:val="1907061274"/>
        <w:rPr>
          <w:rFonts w:eastAsia="Times New Roman"/>
        </w:rPr>
      </w:pPr>
    </w:p>
    <w:p w:rsidR="00000000" w:rsidRDefault="005B0BC3">
      <w:pPr>
        <w:divId w:val="2136366682"/>
        <w:rPr>
          <w:rFonts w:eastAsia="Times New Roman"/>
        </w:rPr>
      </w:pPr>
      <w:r>
        <w:rPr>
          <w:rFonts w:eastAsia="Times New Roman"/>
          <w:b/>
          <w:bCs/>
          <w:color w:val="000000"/>
          <w:sz w:val="20"/>
          <w:szCs w:val="20"/>
        </w:rPr>
        <w:t>Material Cash Requirements</w:t>
      </w:r>
    </w:p>
    <w:p w:rsidR="00000000" w:rsidRDefault="005B0BC3">
      <w:pPr>
        <w:ind w:firstLine="360"/>
        <w:divId w:val="991494332"/>
        <w:rPr>
          <w:rFonts w:eastAsia="Times New Roman"/>
        </w:rPr>
      </w:pPr>
      <w:r>
        <w:rPr>
          <w:rFonts w:eastAsia="Times New Roman"/>
          <w:color w:val="000000"/>
          <w:sz w:val="20"/>
          <w:szCs w:val="20"/>
        </w:rPr>
        <w:t>The table below summarizes the material short and long-term cash requirements related to contractual and other obligations as of December 31, 2021. Short-term cash requirements are considered to requirements within the next 12 months and long-term cash req</w:t>
      </w:r>
      <w:r>
        <w:rPr>
          <w:rFonts w:eastAsia="Times New Roman"/>
          <w:color w:val="000000"/>
          <w:sz w:val="20"/>
          <w:szCs w:val="20"/>
        </w:rPr>
        <w:t>uirements are considered to be beyond the next 12 months. We do not believe that our cash flow requirements can be adequately assessed based solely upon an analysis of these obligations, as the table below does not contemplate all aspects of our cash inflo</w:t>
      </w:r>
      <w:r>
        <w:rPr>
          <w:rFonts w:eastAsia="Times New Roman"/>
          <w:color w:val="000000"/>
          <w:sz w:val="20"/>
          <w:szCs w:val="20"/>
        </w:rPr>
        <w:t>ws, such as the level of cash flow generated by certain of our investments, nor all aspects of our cash outflows.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3492"/>
        <w:gridCol w:w="38"/>
        <w:gridCol w:w="120"/>
        <w:gridCol w:w="700"/>
        <w:gridCol w:w="36"/>
        <w:gridCol w:w="36"/>
        <w:gridCol w:w="36"/>
        <w:gridCol w:w="36"/>
        <w:gridCol w:w="120"/>
        <w:gridCol w:w="668"/>
        <w:gridCol w:w="36"/>
        <w:gridCol w:w="36"/>
        <w:gridCol w:w="36"/>
        <w:gridCol w:w="36"/>
        <w:gridCol w:w="120"/>
        <w:gridCol w:w="674"/>
        <w:gridCol w:w="36"/>
        <w:gridCol w:w="36"/>
        <w:gridCol w:w="36"/>
        <w:gridCol w:w="36"/>
        <w:gridCol w:w="120"/>
        <w:gridCol w:w="674"/>
        <w:gridCol w:w="36"/>
        <w:gridCol w:w="36"/>
        <w:gridCol w:w="36"/>
        <w:gridCol w:w="36"/>
        <w:gridCol w:w="120"/>
        <w:gridCol w:w="809"/>
        <w:gridCol w:w="36"/>
      </w:tblGrid>
      <w:tr w:rsidR="00000000">
        <w:trPr>
          <w:divId w:val="720329267"/>
        </w:trPr>
        <w:tc>
          <w:tcPr>
            <w:tcW w:w="50" w:type="pct"/>
            <w:vAlign w:val="center"/>
            <w:hideMark/>
          </w:tcPr>
          <w:p w:rsidR="00000000" w:rsidRDefault="005B0BC3">
            <w:pPr>
              <w:ind w:firstLine="360"/>
              <w:rPr>
                <w:rFonts w:eastAsia="Times New Roman"/>
              </w:rPr>
            </w:pPr>
          </w:p>
        </w:tc>
        <w:tc>
          <w:tcPr>
            <w:tcW w:w="213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4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4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4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4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4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4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4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4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3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720329267"/>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Estimated Payments Due by Year</w:t>
            </w:r>
          </w:p>
        </w:tc>
      </w:tr>
      <w:tr w:rsidR="00000000">
        <w:trPr>
          <w:divId w:val="720329267"/>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Total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2023-2024</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2025-2026</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2027 and thereafter</w:t>
            </w:r>
          </w:p>
        </w:tc>
      </w:tr>
      <w:tr w:rsidR="00000000">
        <w:trPr>
          <w:divId w:val="720329267"/>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27"/>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720329267"/>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Material Cash Requirements:</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720329267"/>
        </w:trPr>
        <w:tc>
          <w:tcPr>
            <w:tcW w:w="0" w:type="auto"/>
            <w:gridSpan w:val="3"/>
            <w:shd w:val="clear" w:color="auto" w:fill="CCEE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Insurance liabilities (1)</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107,485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1,509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4,671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6,426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94,879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720329267"/>
        </w:trPr>
        <w:tc>
          <w:tcPr>
            <w:tcW w:w="0" w:type="auto"/>
            <w:gridSpan w:val="3"/>
            <w:shd w:val="clear" w:color="auto" w:fill="FFFF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FHLB Funding Agreements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6,643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5,353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646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720329267"/>
        </w:trPr>
        <w:tc>
          <w:tcPr>
            <w:tcW w:w="0" w:type="auto"/>
            <w:gridSpan w:val="3"/>
            <w:shd w:val="clear" w:color="auto" w:fill="CCEE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Interest on FHLB Funding Agreements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720329267"/>
        </w:trPr>
        <w:tc>
          <w:tcPr>
            <w:tcW w:w="0" w:type="auto"/>
            <w:gridSpan w:val="3"/>
            <w:shd w:val="clear" w:color="auto" w:fill="FFFF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FABN Funding Agreements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6,759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2,500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2,100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2,159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720329267"/>
        </w:trPr>
        <w:tc>
          <w:tcPr>
            <w:tcW w:w="0" w:type="auto"/>
            <w:gridSpan w:val="3"/>
            <w:shd w:val="clear" w:color="auto" w:fill="CCEE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Interest on FABN Funding Agreements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105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720329267"/>
        </w:trPr>
        <w:tc>
          <w:tcPr>
            <w:tcW w:w="0" w:type="auto"/>
            <w:gridSpan w:val="3"/>
            <w:shd w:val="clear" w:color="auto" w:fill="FFFF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Operating leases, net of sublease commitments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1,106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570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720329267"/>
        </w:trPr>
        <w:tc>
          <w:tcPr>
            <w:tcW w:w="0" w:type="auto"/>
            <w:gridSpan w:val="3"/>
            <w:shd w:val="clear" w:color="auto" w:fill="CCEE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Long-term debt</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3,870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3,350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720329267"/>
        </w:trPr>
        <w:tc>
          <w:tcPr>
            <w:tcW w:w="0" w:type="auto"/>
            <w:gridSpan w:val="3"/>
            <w:shd w:val="clear" w:color="auto" w:fill="FFFF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Interest on long-term debt</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2,602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1,747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720329267"/>
        </w:trPr>
        <w:tc>
          <w:tcPr>
            <w:tcW w:w="0" w:type="auto"/>
            <w:gridSpan w:val="3"/>
            <w:shd w:val="clear" w:color="auto" w:fill="CCEE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Interest on P-Caps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394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720329267"/>
        </w:trPr>
        <w:tc>
          <w:tcPr>
            <w:tcW w:w="0" w:type="auto"/>
            <w:gridSpan w:val="3"/>
            <w:shd w:val="clear" w:color="auto" w:fill="FFFF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Employee benefits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3,498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383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2,453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720329267"/>
        </w:trPr>
        <w:tc>
          <w:tcPr>
            <w:tcW w:w="0" w:type="auto"/>
            <w:gridSpan w:val="3"/>
            <w:shd w:val="clear" w:color="auto" w:fill="CCEE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Funding Commitments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2,118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720329267"/>
        </w:trPr>
        <w:tc>
          <w:tcPr>
            <w:tcW w:w="0" w:type="auto"/>
            <w:gridSpan w:val="3"/>
            <w:shd w:val="clear" w:color="auto" w:fill="FFFFFF"/>
            <w:tcMar>
              <w:top w:w="30" w:type="dxa"/>
              <w:left w:w="26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Material Cash Requirements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134,947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8,058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10,424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10,975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105,490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divId w:val="151485807"/>
        <w:rPr>
          <w:rFonts w:eastAsia="Times New Roman"/>
        </w:rPr>
      </w:pPr>
      <w:r>
        <w:rPr>
          <w:rFonts w:eastAsia="Times New Roman"/>
          <w:color w:val="000000"/>
          <w:sz w:val="18"/>
          <w:szCs w:val="18"/>
        </w:rPr>
        <w:t>______________</w:t>
      </w:r>
    </w:p>
    <w:p w:rsidR="00000000" w:rsidRDefault="005B0BC3">
      <w:pPr>
        <w:ind w:hanging="270"/>
        <w:divId w:val="695472269"/>
        <w:rPr>
          <w:rFonts w:eastAsia="Times New Roman"/>
        </w:rPr>
      </w:pPr>
      <w:r>
        <w:rPr>
          <w:rFonts w:eastAsia="Times New Roman"/>
          <w:color w:val="000000"/>
          <w:sz w:val="18"/>
          <w:szCs w:val="18"/>
        </w:rPr>
        <w:t>(1) Policyholders’ liabilities represent estimated cash flows out of the General Account related to the payment of death and disability claims, policy surrenders and</w:t>
      </w:r>
      <w:r>
        <w:rPr>
          <w:rFonts w:eastAsia="Times New Roman"/>
          <w:color w:val="000000"/>
          <w:sz w:val="18"/>
          <w:szCs w:val="18"/>
        </w:rPr>
        <w:t xml:space="preserve"> withdrawals, annuity payments, minimum guarantees on Separate Account funded contracts, matured endowments, benefits under accident and health contracts, policyholder dividends and future renewal premium-based and fund-based commissions offset by contract</w:t>
      </w:r>
      <w:r>
        <w:rPr>
          <w:rFonts w:eastAsia="Times New Roman"/>
          <w:color w:val="000000"/>
          <w:sz w:val="18"/>
          <w:szCs w:val="18"/>
        </w:rPr>
        <w:t>ual future premiums and deposits on in-force contracts. These estimated cash flows are based on mortality, morbidity and lapse assumptions comparable with the Company’s experience and assume market growth and interest crediting consistent with actuarial as</w:t>
      </w:r>
      <w:r>
        <w:rPr>
          <w:rFonts w:eastAsia="Times New Roman"/>
          <w:color w:val="000000"/>
          <w:sz w:val="18"/>
          <w:szCs w:val="18"/>
        </w:rPr>
        <w:t>sumptions. These amounts are undiscounted and, therefore, exceed the policyholders’ account balances and future policy benefits and other policyholder liabilities included in the consolidated balance sheet included elsewhere in this Annual Report on Form 1</w:t>
      </w:r>
      <w:r>
        <w:rPr>
          <w:rFonts w:eastAsia="Times New Roman"/>
          <w:color w:val="000000"/>
          <w:sz w:val="18"/>
          <w:szCs w:val="18"/>
        </w:rPr>
        <w:t xml:space="preserve">0-K. They do not reflect projected recoveries from reinsurance agreements. Due to the use of assumptions, actual cash flows will differ from these estimates, see “— Summary of Critical Accounting Estimates — Liability for Future Policy Benefits.” Separate </w:t>
      </w:r>
      <w:r>
        <w:rPr>
          <w:rFonts w:eastAsia="Times New Roman"/>
          <w:color w:val="000000"/>
          <w:sz w:val="18"/>
          <w:szCs w:val="18"/>
        </w:rPr>
        <w:t>Accounts liabilities have been excluded as they are legally insulated from General Account obligations and will be funded by cash flows from Separate Accounts assets.</w:t>
      </w:r>
    </w:p>
    <w:p w:rsidR="00000000" w:rsidRDefault="005B0BC3">
      <w:pPr>
        <w:ind w:firstLine="360"/>
        <w:divId w:val="2075616845"/>
        <w:rPr>
          <w:rFonts w:eastAsia="Times New Roman"/>
        </w:rPr>
      </w:pPr>
      <w:r>
        <w:rPr>
          <w:rFonts w:eastAsia="Times New Roman"/>
          <w:color w:val="000000"/>
          <w:sz w:val="20"/>
          <w:szCs w:val="20"/>
        </w:rPr>
        <w:t xml:space="preserve">Unrecognized tax benefits of $323 million, including </w:t>
      </w:r>
      <w:r>
        <w:rPr>
          <w:rFonts w:eastAsia="Times New Roman"/>
          <w:color w:val="000000"/>
          <w:sz w:val="20"/>
          <w:szCs w:val="20"/>
          <w:shd w:val="clear" w:color="auto" w:fill="FFFFFF"/>
        </w:rPr>
        <w:t>$3 million</w:t>
      </w:r>
      <w:r>
        <w:rPr>
          <w:rFonts w:eastAsia="Times New Roman"/>
          <w:color w:val="000000"/>
          <w:sz w:val="20"/>
          <w:szCs w:val="20"/>
        </w:rPr>
        <w:t xml:space="preserve"> related to AB were not in</w:t>
      </w:r>
      <w:r>
        <w:rPr>
          <w:rFonts w:eastAsia="Times New Roman"/>
          <w:color w:val="000000"/>
          <w:sz w:val="20"/>
          <w:szCs w:val="20"/>
        </w:rPr>
        <w:t>cluded in the above table because it is not possible to make reasonably reliable estimates of the occurrence or timing of cash settlements with the respective taxing authorities.</w:t>
      </w:r>
    </w:p>
    <w:p w:rsidR="00000000" w:rsidRDefault="005B0BC3">
      <w:pPr>
        <w:ind w:firstLine="360"/>
        <w:divId w:val="1231040372"/>
        <w:rPr>
          <w:rFonts w:eastAsia="Times New Roman"/>
        </w:rPr>
      </w:pPr>
      <w:r>
        <w:rPr>
          <w:rFonts w:eastAsia="Times New Roman"/>
          <w:color w:val="000000"/>
          <w:sz w:val="20"/>
          <w:szCs w:val="20"/>
        </w:rPr>
        <w:t>In addition, the below items are included as part of AB’s aggregate contractu</w:t>
      </w:r>
      <w:r>
        <w:rPr>
          <w:rFonts w:eastAsia="Times New Roman"/>
          <w:color w:val="000000"/>
          <w:sz w:val="20"/>
          <w:szCs w:val="20"/>
        </w:rPr>
        <w:t xml:space="preserve">al obligations: </w:t>
      </w:r>
    </w:p>
    <w:p w:rsidR="00000000" w:rsidRDefault="005B0BC3">
      <w:pPr>
        <w:jc w:val="center"/>
        <w:divId w:val="87848874"/>
        <w:rPr>
          <w:rFonts w:eastAsia="Times New Roman"/>
        </w:rPr>
      </w:pPr>
      <w:r>
        <w:rPr>
          <w:rFonts w:eastAsia="Times New Roman"/>
          <w:color w:val="000000"/>
          <w:sz w:val="20"/>
          <w:szCs w:val="20"/>
        </w:rPr>
        <w:t>111</w:t>
      </w:r>
    </w:p>
    <w:p w:rsidR="00000000" w:rsidRDefault="005B0BC3">
      <w:pPr>
        <w:rPr>
          <w:rFonts w:eastAsia="Times New Roman"/>
        </w:rPr>
      </w:pPr>
      <w:r>
        <w:rPr>
          <w:rFonts w:eastAsia="Times New Roman"/>
        </w:rPr>
        <w:pict>
          <v:rect id="_x0000_i1149" style="width:0;height:1.5pt" o:hralign="center" o:hrstd="t" o:hr="t" fillcolor="#a0a0a0" stroked="f"/>
        </w:pict>
      </w:r>
    </w:p>
    <w:p w:rsidR="00000000" w:rsidRDefault="005B0BC3">
      <w:pPr>
        <w:divId w:val="768113606"/>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ind w:hanging="360"/>
        <w:divId w:val="397241520"/>
        <w:rPr>
          <w:rFonts w:eastAsia="Times New Roman"/>
        </w:rPr>
      </w:pPr>
      <w:r>
        <w:rPr>
          <w:rFonts w:eastAsia="Times New Roman"/>
          <w:color w:val="000000"/>
          <w:sz w:val="20"/>
          <w:szCs w:val="20"/>
        </w:rPr>
        <w:t xml:space="preserve">•As of December 31, 2021, AB had a </w:t>
      </w:r>
      <w:r>
        <w:rPr>
          <w:rFonts w:eastAsia="Times New Roman"/>
          <w:color w:val="000000"/>
          <w:sz w:val="20"/>
          <w:szCs w:val="20"/>
          <w:shd w:val="clear" w:color="auto" w:fill="FFFFFF"/>
        </w:rPr>
        <w:t>$354 million</w:t>
      </w:r>
      <w:r>
        <w:rPr>
          <w:rFonts w:eastAsia="Times New Roman"/>
          <w:color w:val="000000"/>
          <w:sz w:val="20"/>
          <w:szCs w:val="20"/>
        </w:rPr>
        <w:t xml:space="preserve"> accrual for compensation and benefits, of which </w:t>
      </w:r>
      <w:r>
        <w:rPr>
          <w:rFonts w:eastAsia="Times New Roman"/>
          <w:color w:val="000000"/>
          <w:sz w:val="20"/>
          <w:szCs w:val="20"/>
          <w:shd w:val="clear" w:color="auto" w:fill="FFFFFF"/>
        </w:rPr>
        <w:t>$9 million</w:t>
      </w:r>
      <w:r>
        <w:rPr>
          <w:rFonts w:eastAsia="Times New Roman"/>
          <w:color w:val="000000"/>
          <w:sz w:val="20"/>
          <w:szCs w:val="20"/>
        </w:rPr>
        <w:t xml:space="preserve"> </w:t>
      </w:r>
      <w:r>
        <w:rPr>
          <w:rFonts w:eastAsia="Times New Roman"/>
          <w:color w:val="000000"/>
          <w:sz w:val="20"/>
          <w:szCs w:val="20"/>
        </w:rPr>
        <w:t xml:space="preserve">is expected to be paid in 2022, $15 million in 2023-2024, </w:t>
      </w:r>
      <w:r>
        <w:rPr>
          <w:rFonts w:eastAsia="Times New Roman"/>
          <w:color w:val="000000"/>
          <w:sz w:val="20"/>
          <w:szCs w:val="20"/>
          <w:shd w:val="clear" w:color="auto" w:fill="FFFFFF"/>
        </w:rPr>
        <w:t>$18 million</w:t>
      </w:r>
      <w:r>
        <w:rPr>
          <w:rFonts w:eastAsia="Times New Roman"/>
          <w:color w:val="000000"/>
          <w:sz w:val="20"/>
          <w:szCs w:val="20"/>
        </w:rPr>
        <w:t xml:space="preserve"> in 2025-2026 and $46 million in 2027 and thereafter. Further, AB expects to make contributions to its qualified profit-sharing plan of </w:t>
      </w:r>
      <w:r>
        <w:rPr>
          <w:rFonts w:eastAsia="Times New Roman"/>
          <w:color w:val="000000"/>
          <w:sz w:val="20"/>
          <w:szCs w:val="20"/>
          <w:shd w:val="clear" w:color="auto" w:fill="FFFFFF"/>
        </w:rPr>
        <w:t>$16 million</w:t>
      </w:r>
      <w:r>
        <w:rPr>
          <w:rFonts w:eastAsia="Times New Roman"/>
          <w:color w:val="000000"/>
          <w:sz w:val="20"/>
          <w:szCs w:val="20"/>
        </w:rPr>
        <w:t xml:space="preserve"> in each of the next four years.</w:t>
      </w:r>
    </w:p>
    <w:p w:rsidR="00000000" w:rsidRDefault="005B0BC3">
      <w:pPr>
        <w:ind w:hanging="360"/>
        <w:divId w:val="1433432268"/>
        <w:rPr>
          <w:rFonts w:eastAsia="Times New Roman"/>
        </w:rPr>
      </w:pPr>
      <w:r>
        <w:rPr>
          <w:rFonts w:eastAsia="Times New Roman"/>
          <w:color w:val="000000"/>
          <w:sz w:val="20"/>
          <w:szCs w:val="20"/>
        </w:rPr>
        <w:t>•During</w:t>
      </w:r>
      <w:r>
        <w:rPr>
          <w:rFonts w:eastAsia="Times New Roman"/>
          <w:color w:val="000000"/>
          <w:sz w:val="20"/>
          <w:szCs w:val="20"/>
        </w:rPr>
        <w:t xml:space="preserve"> 2010, as general partner of AllianceBernstein U.S. Real Estate L.P. (“Real Estate Fund”), AB committed to invest </w:t>
      </w:r>
      <w:r>
        <w:rPr>
          <w:rFonts w:eastAsia="Times New Roman"/>
          <w:color w:val="000000"/>
          <w:sz w:val="20"/>
          <w:szCs w:val="20"/>
          <w:shd w:val="clear" w:color="auto" w:fill="FFFFFF"/>
        </w:rPr>
        <w:t>$25 million</w:t>
      </w:r>
      <w:r>
        <w:rPr>
          <w:rFonts w:eastAsia="Times New Roman"/>
          <w:color w:val="000000"/>
          <w:sz w:val="20"/>
          <w:szCs w:val="20"/>
        </w:rPr>
        <w:t xml:space="preserve"> in the Real Estate Fund. As of December 31, 2021, AB funded </w:t>
      </w:r>
      <w:r>
        <w:rPr>
          <w:rFonts w:eastAsia="Times New Roman"/>
          <w:color w:val="000000"/>
          <w:sz w:val="20"/>
          <w:szCs w:val="20"/>
          <w:shd w:val="clear" w:color="auto" w:fill="FFFFFF"/>
        </w:rPr>
        <w:t>$22 million</w:t>
      </w:r>
      <w:r>
        <w:rPr>
          <w:rFonts w:eastAsia="Times New Roman"/>
          <w:color w:val="000000"/>
          <w:sz w:val="20"/>
          <w:szCs w:val="20"/>
        </w:rPr>
        <w:t xml:space="preserve"> of this commitment. During 2014, as general partner of All</w:t>
      </w:r>
      <w:r>
        <w:rPr>
          <w:rFonts w:eastAsia="Times New Roman"/>
          <w:color w:val="000000"/>
          <w:sz w:val="20"/>
          <w:szCs w:val="20"/>
        </w:rPr>
        <w:t xml:space="preserve">ianceBernstein U.S. Real Estate II L.P. (“Real Estate Fund II”), AB committed to invest </w:t>
      </w:r>
      <w:r>
        <w:rPr>
          <w:rFonts w:eastAsia="Times New Roman"/>
          <w:color w:val="000000"/>
          <w:sz w:val="20"/>
          <w:szCs w:val="20"/>
          <w:shd w:val="clear" w:color="auto" w:fill="FFFFFF"/>
        </w:rPr>
        <w:t>$27 million</w:t>
      </w:r>
      <w:r>
        <w:rPr>
          <w:rFonts w:eastAsia="Times New Roman"/>
          <w:color w:val="000000"/>
          <w:sz w:val="20"/>
          <w:szCs w:val="20"/>
        </w:rPr>
        <w:t xml:space="preserve"> as amended in 2020, in the Real Estate Fund II. As of December 31, 2021, AB had funded </w:t>
      </w:r>
      <w:r>
        <w:rPr>
          <w:rFonts w:eastAsia="Times New Roman"/>
          <w:color w:val="000000"/>
          <w:sz w:val="20"/>
          <w:szCs w:val="20"/>
          <w:shd w:val="clear" w:color="auto" w:fill="FFFFFF"/>
        </w:rPr>
        <w:t>$21 million</w:t>
      </w:r>
      <w:r>
        <w:rPr>
          <w:rFonts w:eastAsia="Times New Roman"/>
          <w:color w:val="000000"/>
          <w:sz w:val="20"/>
          <w:szCs w:val="20"/>
        </w:rPr>
        <w:t xml:space="preserve"> of this commitment.</w:t>
      </w:r>
    </w:p>
    <w:p w:rsidR="00000000" w:rsidRDefault="005B0BC3">
      <w:pPr>
        <w:divId w:val="1802382947"/>
        <w:rPr>
          <w:rFonts w:eastAsia="Times New Roman"/>
        </w:rPr>
      </w:pPr>
    </w:p>
    <w:p w:rsidR="00000000" w:rsidRDefault="005B0BC3">
      <w:pPr>
        <w:divId w:val="423654427"/>
        <w:rPr>
          <w:rFonts w:eastAsia="Times New Roman"/>
        </w:rPr>
      </w:pPr>
      <w:r>
        <w:rPr>
          <w:rFonts w:eastAsia="Times New Roman"/>
          <w:b/>
          <w:bCs/>
          <w:color w:val="000000"/>
          <w:sz w:val="20"/>
          <w:szCs w:val="20"/>
        </w:rPr>
        <w:t>Summary of Critical Accounting Esti</w:t>
      </w:r>
      <w:r>
        <w:rPr>
          <w:rFonts w:eastAsia="Times New Roman"/>
          <w:b/>
          <w:bCs/>
          <w:color w:val="000000"/>
          <w:sz w:val="20"/>
          <w:szCs w:val="20"/>
        </w:rPr>
        <w:t>mates</w:t>
      </w:r>
    </w:p>
    <w:p w:rsidR="00000000" w:rsidRDefault="005B0BC3">
      <w:pPr>
        <w:ind w:firstLine="360"/>
        <w:divId w:val="1258829252"/>
        <w:rPr>
          <w:rFonts w:eastAsia="Times New Roman"/>
        </w:rPr>
      </w:pPr>
      <w:r>
        <w:rPr>
          <w:rFonts w:eastAsia="Times New Roman"/>
          <w:color w:val="000000"/>
          <w:sz w:val="20"/>
          <w:szCs w:val="20"/>
        </w:rPr>
        <w:t xml:space="preserve">The preparation of financial statements in conformity with U.S. GAAP requires management to adopt accounting policies and make estimates and assumptions that affect amounts reported in our consolidated financial statements included elsewhere herein. </w:t>
      </w:r>
      <w:r>
        <w:rPr>
          <w:rFonts w:eastAsia="Times New Roman"/>
          <w:color w:val="000000"/>
          <w:sz w:val="20"/>
          <w:szCs w:val="20"/>
        </w:rPr>
        <w:t>For a discussion of our significant accounting policies, see Note 2 of the Notes to these Consolidated Financial Statements. The most critical estimates include those used in determining:</w:t>
      </w:r>
    </w:p>
    <w:p w:rsidR="00000000" w:rsidRDefault="005B0BC3">
      <w:pPr>
        <w:ind w:hanging="360"/>
        <w:jc w:val="both"/>
        <w:divId w:val="725957543"/>
        <w:rPr>
          <w:rFonts w:eastAsia="Times New Roman"/>
        </w:rPr>
      </w:pPr>
      <w:r>
        <w:rPr>
          <w:rFonts w:eastAsia="Times New Roman"/>
          <w:color w:val="000000"/>
          <w:sz w:val="20"/>
          <w:szCs w:val="20"/>
        </w:rPr>
        <w:t>•liabilities for future policy benefits;</w:t>
      </w:r>
    </w:p>
    <w:p w:rsidR="00000000" w:rsidRDefault="005B0BC3">
      <w:pPr>
        <w:ind w:hanging="360"/>
        <w:jc w:val="both"/>
        <w:divId w:val="503785106"/>
        <w:rPr>
          <w:rFonts w:eastAsia="Times New Roman"/>
        </w:rPr>
      </w:pPr>
      <w:r>
        <w:rPr>
          <w:rFonts w:eastAsia="Times New Roman"/>
          <w:color w:val="000000"/>
          <w:sz w:val="20"/>
          <w:szCs w:val="20"/>
        </w:rPr>
        <w:t>•accounting for reinsurance</w:t>
      </w:r>
      <w:r>
        <w:rPr>
          <w:rFonts w:eastAsia="Times New Roman"/>
          <w:color w:val="000000"/>
          <w:sz w:val="20"/>
          <w:szCs w:val="20"/>
        </w:rPr>
        <w:t>;</w:t>
      </w:r>
    </w:p>
    <w:p w:rsidR="00000000" w:rsidRDefault="005B0BC3">
      <w:pPr>
        <w:ind w:hanging="360"/>
        <w:jc w:val="both"/>
        <w:divId w:val="1016540310"/>
        <w:rPr>
          <w:rFonts w:eastAsia="Times New Roman"/>
        </w:rPr>
      </w:pPr>
      <w:r>
        <w:rPr>
          <w:rFonts w:eastAsia="Times New Roman"/>
          <w:color w:val="000000"/>
          <w:sz w:val="20"/>
          <w:szCs w:val="20"/>
        </w:rPr>
        <w:t>•capitalization and amortization of DAC;</w:t>
      </w:r>
    </w:p>
    <w:p w:rsidR="00000000" w:rsidRDefault="005B0BC3">
      <w:pPr>
        <w:ind w:hanging="360"/>
        <w:jc w:val="both"/>
        <w:divId w:val="2041122127"/>
        <w:rPr>
          <w:rFonts w:eastAsia="Times New Roman"/>
        </w:rPr>
      </w:pPr>
      <w:r>
        <w:rPr>
          <w:rFonts w:eastAsia="Times New Roman"/>
          <w:color w:val="000000"/>
          <w:sz w:val="20"/>
          <w:szCs w:val="20"/>
        </w:rPr>
        <w:t>•estimated fair values of investments in the absence of quoted market values and investment impairments;</w:t>
      </w:r>
    </w:p>
    <w:p w:rsidR="00000000" w:rsidRDefault="005B0BC3">
      <w:pPr>
        <w:ind w:hanging="360"/>
        <w:jc w:val="both"/>
        <w:divId w:val="453183116"/>
        <w:rPr>
          <w:rFonts w:eastAsia="Times New Roman"/>
        </w:rPr>
      </w:pPr>
      <w:r>
        <w:rPr>
          <w:rFonts w:eastAsia="Times New Roman"/>
          <w:color w:val="000000"/>
          <w:sz w:val="20"/>
          <w:szCs w:val="20"/>
        </w:rPr>
        <w:t>•</w:t>
      </w:r>
      <w:r>
        <w:rPr>
          <w:rFonts w:eastAsia="Times New Roman"/>
          <w:color w:val="000000"/>
          <w:sz w:val="20"/>
          <w:szCs w:val="20"/>
        </w:rPr>
        <w:t>estimated fair values of freestanding derivatives and the recognition and estimated fair value of embedded derivatives requiring bifurcation;</w:t>
      </w:r>
    </w:p>
    <w:p w:rsidR="00000000" w:rsidRDefault="005B0BC3">
      <w:pPr>
        <w:ind w:hanging="360"/>
        <w:jc w:val="both"/>
        <w:divId w:val="840125828"/>
        <w:rPr>
          <w:rFonts w:eastAsia="Times New Roman"/>
        </w:rPr>
      </w:pPr>
      <w:r>
        <w:rPr>
          <w:rFonts w:eastAsia="Times New Roman"/>
          <w:color w:val="000000"/>
          <w:sz w:val="20"/>
          <w:szCs w:val="20"/>
        </w:rPr>
        <w:t>•goodwill and related impairment;</w:t>
      </w:r>
    </w:p>
    <w:p w:rsidR="00000000" w:rsidRDefault="005B0BC3">
      <w:pPr>
        <w:ind w:hanging="360"/>
        <w:jc w:val="both"/>
        <w:divId w:val="1458333347"/>
        <w:rPr>
          <w:rFonts w:eastAsia="Times New Roman"/>
        </w:rPr>
      </w:pPr>
      <w:r>
        <w:rPr>
          <w:rFonts w:eastAsia="Times New Roman"/>
          <w:color w:val="000000"/>
          <w:sz w:val="20"/>
          <w:szCs w:val="20"/>
        </w:rPr>
        <w:t>•measurement of income taxes and the valuation of deferred tax assets; and</w:t>
      </w:r>
    </w:p>
    <w:p w:rsidR="00000000" w:rsidRDefault="005B0BC3">
      <w:pPr>
        <w:ind w:hanging="360"/>
        <w:divId w:val="521477263"/>
        <w:rPr>
          <w:rFonts w:eastAsia="Times New Roman"/>
        </w:rPr>
      </w:pPr>
      <w:r>
        <w:rPr>
          <w:rFonts w:eastAsia="Times New Roman"/>
          <w:color w:val="000000"/>
          <w:sz w:val="20"/>
          <w:szCs w:val="20"/>
        </w:rPr>
        <w:t>•liab</w:t>
      </w:r>
      <w:r>
        <w:rPr>
          <w:rFonts w:eastAsia="Times New Roman"/>
          <w:color w:val="000000"/>
          <w:sz w:val="20"/>
          <w:szCs w:val="20"/>
        </w:rPr>
        <w:t>ilities for litigation and regulatory matters.</w:t>
      </w:r>
    </w:p>
    <w:p w:rsidR="00000000" w:rsidRDefault="005B0BC3">
      <w:pPr>
        <w:ind w:firstLine="360"/>
        <w:divId w:val="839076770"/>
        <w:rPr>
          <w:rFonts w:eastAsia="Times New Roman"/>
        </w:rPr>
      </w:pPr>
      <w:r>
        <w:rPr>
          <w:rFonts w:eastAsia="Times New Roman"/>
          <w:color w:val="000000"/>
          <w:sz w:val="20"/>
          <w:szCs w:val="20"/>
        </w:rPr>
        <w:t>In applying our accounting policies, we make subjective and complex judgments that frequently require estimates about matters that are inherently uncertain. Many of these policies, estimates and related judgme</w:t>
      </w:r>
      <w:r>
        <w:rPr>
          <w:rFonts w:eastAsia="Times New Roman"/>
          <w:color w:val="000000"/>
          <w:sz w:val="20"/>
          <w:szCs w:val="20"/>
        </w:rPr>
        <w:t>nts are common in the insurance and financial services industries while others are specific to our business and operations. Actual results could differ from these estimates.</w:t>
      </w:r>
    </w:p>
    <w:p w:rsidR="00000000" w:rsidRDefault="005B0BC3">
      <w:pPr>
        <w:jc w:val="both"/>
        <w:divId w:val="469827654"/>
        <w:rPr>
          <w:rFonts w:eastAsia="Times New Roman"/>
        </w:rPr>
      </w:pPr>
      <w:r>
        <w:rPr>
          <w:rFonts w:eastAsia="Times New Roman"/>
          <w:b/>
          <w:bCs/>
          <w:i/>
          <w:iCs/>
          <w:color w:val="000000"/>
          <w:sz w:val="20"/>
          <w:szCs w:val="20"/>
        </w:rPr>
        <w:t>Liability for Future Policy Benefits</w:t>
      </w:r>
    </w:p>
    <w:p w:rsidR="00000000" w:rsidRDefault="005B0BC3">
      <w:pPr>
        <w:ind w:firstLine="360"/>
        <w:divId w:val="193538577"/>
        <w:rPr>
          <w:rFonts w:eastAsia="Times New Roman"/>
        </w:rPr>
      </w:pPr>
      <w:r>
        <w:rPr>
          <w:rFonts w:eastAsia="Times New Roman"/>
          <w:color w:val="000000"/>
          <w:sz w:val="20"/>
          <w:szCs w:val="20"/>
        </w:rPr>
        <w:t>We establish reserves for future policy benef</w:t>
      </w:r>
      <w:r>
        <w:rPr>
          <w:rFonts w:eastAsia="Times New Roman"/>
          <w:color w:val="000000"/>
          <w:sz w:val="20"/>
          <w:szCs w:val="20"/>
        </w:rPr>
        <w:t>its to, or on behalf of, policyholders in the same period in which the policy is issued or acquired, using methodologies prescribed by U.S. GAAP. The assumptions used in establishing reserves are generally based on our experience, industry experience or ot</w:t>
      </w:r>
      <w:r>
        <w:rPr>
          <w:rFonts w:eastAsia="Times New Roman"/>
          <w:color w:val="000000"/>
          <w:sz w:val="20"/>
          <w:szCs w:val="20"/>
        </w:rPr>
        <w:t>her factors, as applicable. At least annually we review our actuarial assumptions, such as mortality, morbidity, retirement and policyholder behavior assumptions, and update assumptions when appropriate. Generally, we do not expect trends to change signifi</w:t>
      </w:r>
      <w:r>
        <w:rPr>
          <w:rFonts w:eastAsia="Times New Roman"/>
          <w:color w:val="000000"/>
          <w:sz w:val="20"/>
          <w:szCs w:val="20"/>
        </w:rPr>
        <w:t>cantly in the short-term and, to the extent these trends may change, we expect such changes to be gradual over the long-term. The reserving methodologies used include the following:</w:t>
      </w:r>
    </w:p>
    <w:p w:rsidR="00000000" w:rsidRDefault="005B0BC3">
      <w:pPr>
        <w:ind w:hanging="360"/>
        <w:jc w:val="both"/>
        <w:divId w:val="1405253720"/>
        <w:rPr>
          <w:rFonts w:eastAsia="Times New Roman"/>
        </w:rPr>
      </w:pPr>
      <w:r>
        <w:rPr>
          <w:rFonts w:eastAsia="Times New Roman"/>
          <w:color w:val="000000"/>
          <w:sz w:val="20"/>
          <w:szCs w:val="20"/>
        </w:rPr>
        <w:t>•UL and investment-type contract policyholder account balances are equal t</w:t>
      </w:r>
      <w:r>
        <w:rPr>
          <w:rFonts w:eastAsia="Times New Roman"/>
          <w:color w:val="000000"/>
          <w:sz w:val="20"/>
          <w:szCs w:val="20"/>
        </w:rPr>
        <w:t>o the policy AV. The policy AV represent an accumulation of gross premium payments plus credited interest less expense and mortality charges and withdrawals.</w:t>
      </w:r>
    </w:p>
    <w:p w:rsidR="00000000" w:rsidRDefault="005B0BC3">
      <w:pPr>
        <w:ind w:hanging="360"/>
        <w:jc w:val="both"/>
        <w:divId w:val="2119638103"/>
        <w:rPr>
          <w:rFonts w:eastAsia="Times New Roman"/>
        </w:rPr>
      </w:pPr>
      <w:r>
        <w:rPr>
          <w:rFonts w:eastAsia="Times New Roman"/>
          <w:color w:val="000000"/>
          <w:sz w:val="20"/>
          <w:szCs w:val="20"/>
        </w:rPr>
        <w:t>•Participating traditional life insurance future policy benefit liabilities are calculated using a</w:t>
      </w:r>
      <w:r>
        <w:rPr>
          <w:rFonts w:eastAsia="Times New Roman"/>
          <w:color w:val="000000"/>
          <w:sz w:val="20"/>
          <w:szCs w:val="20"/>
        </w:rPr>
        <w:t xml:space="preserve"> net level premium method on the basis of actuarial assumptions equal to guaranteed mortality and dividend fund interest rates.</w:t>
      </w:r>
    </w:p>
    <w:p w:rsidR="00000000" w:rsidRDefault="005B0BC3">
      <w:pPr>
        <w:ind w:hanging="360"/>
        <w:divId w:val="1444107729"/>
        <w:rPr>
          <w:rFonts w:eastAsia="Times New Roman"/>
        </w:rPr>
      </w:pPr>
      <w:r>
        <w:rPr>
          <w:rFonts w:eastAsia="Times New Roman"/>
          <w:color w:val="000000"/>
          <w:sz w:val="20"/>
          <w:szCs w:val="20"/>
        </w:rPr>
        <w:t>•Non-participating traditional life insurance future policy benefit liabilities are estimated using a net level premium method o</w:t>
      </w:r>
      <w:r>
        <w:rPr>
          <w:rFonts w:eastAsia="Times New Roman"/>
          <w:color w:val="000000"/>
          <w:sz w:val="20"/>
          <w:szCs w:val="20"/>
        </w:rPr>
        <w:t>n the basis of actuarial assumptions as to mortality, persistency and interest.</w:t>
      </w:r>
    </w:p>
    <w:p w:rsidR="00000000" w:rsidRDefault="005B0BC3">
      <w:pPr>
        <w:ind w:firstLine="360"/>
        <w:divId w:val="1336416702"/>
        <w:rPr>
          <w:rFonts w:eastAsia="Times New Roman"/>
        </w:rPr>
      </w:pPr>
      <w:r>
        <w:rPr>
          <w:rFonts w:eastAsia="Times New Roman"/>
          <w:color w:val="000000"/>
          <w:sz w:val="20"/>
          <w:szCs w:val="20"/>
        </w:rPr>
        <w:t>For most long-duration contracts, we utilize best estimate assumptions as of the date the policy is issued or acquired with provisions for the risk of adverse deviation, as app</w:t>
      </w:r>
      <w:r>
        <w:rPr>
          <w:rFonts w:eastAsia="Times New Roman"/>
          <w:color w:val="000000"/>
          <w:sz w:val="20"/>
          <w:szCs w:val="20"/>
        </w:rPr>
        <w:t>ropriate. After the liabilities are initially established, we perform premium deficiency tests using best estimate assumptions as of the testing date without provisions for adverse deviation. If the liabilities determined based on these best estimate assum</w:t>
      </w:r>
      <w:r>
        <w:rPr>
          <w:rFonts w:eastAsia="Times New Roman"/>
          <w:color w:val="000000"/>
          <w:sz w:val="20"/>
          <w:szCs w:val="20"/>
        </w:rPr>
        <w:t xml:space="preserve">ptions are greater than the net reserves (i.e., U.S. GAAP reserves net of any </w:t>
      </w:r>
    </w:p>
    <w:p w:rsidR="00000000" w:rsidRDefault="005B0BC3">
      <w:pPr>
        <w:jc w:val="center"/>
        <w:divId w:val="563879568"/>
        <w:rPr>
          <w:rFonts w:eastAsia="Times New Roman"/>
        </w:rPr>
      </w:pPr>
      <w:r>
        <w:rPr>
          <w:rFonts w:eastAsia="Times New Roman"/>
          <w:color w:val="000000"/>
          <w:sz w:val="20"/>
          <w:szCs w:val="20"/>
        </w:rPr>
        <w:t>112</w:t>
      </w:r>
    </w:p>
    <w:p w:rsidR="00000000" w:rsidRDefault="005B0BC3">
      <w:pPr>
        <w:rPr>
          <w:rFonts w:eastAsia="Times New Roman"/>
        </w:rPr>
      </w:pPr>
      <w:r>
        <w:rPr>
          <w:rFonts w:eastAsia="Times New Roman"/>
        </w:rPr>
        <w:pict>
          <v:rect id="_x0000_i1150" style="width:0;height:1.5pt" o:hralign="center" o:hrstd="t" o:hr="t" fillcolor="#a0a0a0" stroked="f"/>
        </w:pict>
      </w:r>
    </w:p>
    <w:p w:rsidR="00000000" w:rsidRDefault="005B0BC3">
      <w:pPr>
        <w:divId w:val="461774674"/>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divId w:val="1087575907"/>
        <w:rPr>
          <w:rFonts w:eastAsia="Times New Roman"/>
        </w:rPr>
      </w:pPr>
      <w:r>
        <w:rPr>
          <w:rFonts w:eastAsia="Times New Roman"/>
          <w:color w:val="000000"/>
          <w:sz w:val="20"/>
          <w:szCs w:val="20"/>
        </w:rPr>
        <w:t>DAC or DSI), the existing net reserves are adjusted by first reducing the DAC or DSI by the amount of the deficiency or to zero through a charge to current period earnings. If the deficiency is more than these asset balances for insurance contracts, we the</w:t>
      </w:r>
      <w:r>
        <w:rPr>
          <w:rFonts w:eastAsia="Times New Roman"/>
          <w:color w:val="000000"/>
          <w:sz w:val="20"/>
          <w:szCs w:val="20"/>
        </w:rPr>
        <w:t>n increase the net reserves by the excess, again through a charge to current period earnings. If a premium deficiency is recognized, the assumptions as of the premium deficiency test date are locked in and used in subsequent valuations and the net reserves</w:t>
      </w:r>
      <w:r>
        <w:rPr>
          <w:rFonts w:eastAsia="Times New Roman"/>
          <w:color w:val="000000"/>
          <w:sz w:val="20"/>
          <w:szCs w:val="20"/>
        </w:rPr>
        <w:t xml:space="preserve"> continue to be subject to premium deficiency testing.</w:t>
      </w:r>
    </w:p>
    <w:p w:rsidR="00000000" w:rsidRDefault="005B0BC3">
      <w:pPr>
        <w:ind w:firstLine="360"/>
        <w:divId w:val="975523503"/>
        <w:rPr>
          <w:rFonts w:eastAsia="Times New Roman"/>
        </w:rPr>
      </w:pPr>
      <w:r>
        <w:rPr>
          <w:rFonts w:eastAsia="Times New Roman"/>
          <w:color w:val="000000"/>
          <w:sz w:val="20"/>
          <w:szCs w:val="20"/>
        </w:rPr>
        <w:t>For certain reserves, such as those related to GMDB and GMIB features, we use current best estimate assumptions in establishing reserves. The reserves are subject to adjustments based on periodic revie</w:t>
      </w:r>
      <w:r>
        <w:rPr>
          <w:rFonts w:eastAsia="Times New Roman"/>
          <w:color w:val="000000"/>
          <w:sz w:val="20"/>
          <w:szCs w:val="20"/>
        </w:rPr>
        <w:t>ws of assumptions and quarterly adjustments for experience, including market performance, and the reserves may be adjusted through a benefit or charge to current period earnings.</w:t>
      </w:r>
    </w:p>
    <w:p w:rsidR="00000000" w:rsidRDefault="005B0BC3">
      <w:pPr>
        <w:ind w:firstLine="360"/>
        <w:divId w:val="501507128"/>
        <w:rPr>
          <w:rFonts w:eastAsia="Times New Roman"/>
        </w:rPr>
      </w:pPr>
      <w:r>
        <w:rPr>
          <w:rFonts w:eastAsia="Times New Roman"/>
          <w:color w:val="000000"/>
          <w:sz w:val="20"/>
          <w:szCs w:val="20"/>
        </w:rPr>
        <w:t xml:space="preserve">For certain GMxB features in our Individual Retirement segment, the benefits </w:t>
      </w:r>
      <w:r>
        <w:rPr>
          <w:rFonts w:eastAsia="Times New Roman"/>
          <w:color w:val="000000"/>
          <w:sz w:val="20"/>
          <w:szCs w:val="20"/>
        </w:rPr>
        <w:t>are accounted for as embedded derivatives, with fair values calculated as the present value of expected future benefit payments to contract holders less the present value of assessed rider fees attributable to the embedded derivative feature. Under U.S. GA</w:t>
      </w:r>
      <w:r>
        <w:rPr>
          <w:rFonts w:eastAsia="Times New Roman"/>
          <w:color w:val="000000"/>
          <w:sz w:val="20"/>
          <w:szCs w:val="20"/>
        </w:rPr>
        <w:t>AP, the fair values of these benefit features are based on assumptions a market participant would use in valuing these embedded derivatives. Changes in the fair value of the embedded derivatives are recorded quarterly through a benefit or charge to current</w:t>
      </w:r>
      <w:r>
        <w:rPr>
          <w:rFonts w:eastAsia="Times New Roman"/>
          <w:color w:val="000000"/>
          <w:sz w:val="20"/>
          <w:szCs w:val="20"/>
        </w:rPr>
        <w:t xml:space="preserve"> period earnings.</w:t>
      </w:r>
    </w:p>
    <w:p w:rsidR="00000000" w:rsidRDefault="005B0BC3">
      <w:pPr>
        <w:ind w:firstLine="360"/>
        <w:divId w:val="1896163285"/>
        <w:rPr>
          <w:rFonts w:eastAsia="Times New Roman"/>
        </w:rPr>
      </w:pPr>
      <w:r>
        <w:rPr>
          <w:rFonts w:eastAsia="Times New Roman"/>
          <w:color w:val="000000"/>
          <w:sz w:val="20"/>
          <w:szCs w:val="20"/>
        </w:rPr>
        <w:t>The assumptions used in establishing reserves are generally based on our experience, industry experience and/or other factors, as applicable. We typically update our actuarial assumptions, such as mortality, morbidity, retirement and poli</w:t>
      </w:r>
      <w:r>
        <w:rPr>
          <w:rFonts w:eastAsia="Times New Roman"/>
          <w:color w:val="000000"/>
          <w:sz w:val="20"/>
          <w:szCs w:val="20"/>
        </w:rPr>
        <w:t>cyholder behavior assumptions, annually, unless a material change is observed in an interim period that we feel is indicative of a long-term trend. Generally, we do not expect trends to change significantly in the short-term and, to the extent these trends</w:t>
      </w:r>
      <w:r>
        <w:rPr>
          <w:rFonts w:eastAsia="Times New Roman"/>
          <w:color w:val="000000"/>
          <w:sz w:val="20"/>
          <w:szCs w:val="20"/>
        </w:rPr>
        <w:t xml:space="preserve"> may change, we expect such changes to be gradual over the long-term. In a sustained low interest rate environment, there is an increased likelihood that the reserves determined based on best estimate assumptions may be greater than the net liabilities.</w:t>
      </w:r>
    </w:p>
    <w:p w:rsidR="00000000" w:rsidRDefault="005B0BC3">
      <w:pPr>
        <w:ind w:firstLine="360"/>
        <w:divId w:val="772360868"/>
        <w:rPr>
          <w:rFonts w:eastAsia="Times New Roman"/>
        </w:rPr>
      </w:pPr>
      <w:r>
        <w:rPr>
          <w:rFonts w:eastAsia="Times New Roman"/>
          <w:color w:val="000000"/>
          <w:sz w:val="20"/>
          <w:szCs w:val="20"/>
        </w:rPr>
        <w:t>Se</w:t>
      </w:r>
      <w:r>
        <w:rPr>
          <w:rFonts w:eastAsia="Times New Roman"/>
          <w:color w:val="000000"/>
          <w:sz w:val="20"/>
          <w:szCs w:val="20"/>
        </w:rPr>
        <w:t>e Note 2 of the Notes to these Consolidated Financial Statements for additional information on our accounting policy relating to GMxB features and liability for future policy benefits and Note 9 of the Notes to these Consolidated Financial Statements for f</w:t>
      </w:r>
      <w:r>
        <w:rPr>
          <w:rFonts w:eastAsia="Times New Roman"/>
          <w:color w:val="000000"/>
          <w:sz w:val="20"/>
          <w:szCs w:val="20"/>
        </w:rPr>
        <w:t>uture policyholder benefit liabilities.</w:t>
      </w:r>
    </w:p>
    <w:p w:rsidR="00000000" w:rsidRDefault="005B0BC3">
      <w:pPr>
        <w:divId w:val="149444760"/>
        <w:rPr>
          <w:rFonts w:eastAsia="Times New Roman"/>
        </w:rPr>
      </w:pPr>
      <w:r>
        <w:rPr>
          <w:rFonts w:eastAsia="Times New Roman"/>
          <w:i/>
          <w:iCs/>
          <w:color w:val="000000"/>
          <w:sz w:val="20"/>
          <w:szCs w:val="20"/>
          <w:u w:val="single"/>
        </w:rPr>
        <w:t>Sensitivity of Future Rate of Return Assumptions on GMDB/GMIB Reserves</w:t>
      </w:r>
    </w:p>
    <w:p w:rsidR="00000000" w:rsidRDefault="005B0BC3">
      <w:pPr>
        <w:ind w:firstLine="360"/>
        <w:divId w:val="1919171103"/>
        <w:rPr>
          <w:rFonts w:eastAsia="Times New Roman"/>
        </w:rPr>
      </w:pPr>
      <w:r>
        <w:rPr>
          <w:rFonts w:eastAsia="Times New Roman"/>
          <w:color w:val="000000"/>
          <w:sz w:val="20"/>
          <w:szCs w:val="20"/>
        </w:rPr>
        <w:t>The Separate Account future rate of return assumptions that are used in establishing reserves for GMxB features are set using a long term-view of</w:t>
      </w:r>
      <w:r>
        <w:rPr>
          <w:rFonts w:eastAsia="Times New Roman"/>
          <w:color w:val="000000"/>
          <w:sz w:val="20"/>
          <w:szCs w:val="20"/>
        </w:rPr>
        <w:t xml:space="preserve"> expected average market returns by applying a reversion to the mean approach, consistent with that used for DAC amortization. For additional information regarding the future expected rate of return assumptions and the reversion to the mean approach, see, </w:t>
      </w:r>
      <w:r>
        <w:rPr>
          <w:rFonts w:eastAsia="Times New Roman"/>
          <w:color w:val="000000"/>
          <w:sz w:val="20"/>
          <w:szCs w:val="20"/>
        </w:rPr>
        <w:t>“—DAC and Policyholder Bonus Interest Credits.”</w:t>
      </w:r>
    </w:p>
    <w:p w:rsidR="00000000" w:rsidRDefault="005B0BC3">
      <w:pPr>
        <w:ind w:firstLine="360"/>
        <w:divId w:val="1566838195"/>
        <w:rPr>
          <w:rFonts w:eastAsia="Times New Roman"/>
        </w:rPr>
      </w:pPr>
      <w:r>
        <w:rPr>
          <w:rFonts w:eastAsia="Times New Roman"/>
          <w:color w:val="000000"/>
          <w:sz w:val="20"/>
          <w:szCs w:val="20"/>
        </w:rPr>
        <w:t>The GMDB/GMIB reserve balance before reinsurance ceded was $10.8 billion as of December 31, 2021. The following table provides the sensitivity of the reserves GMxB features related to variable annuity contrac</w:t>
      </w:r>
      <w:r>
        <w:rPr>
          <w:rFonts w:eastAsia="Times New Roman"/>
          <w:color w:val="000000"/>
          <w:sz w:val="20"/>
          <w:szCs w:val="20"/>
        </w:rPr>
        <w:t>ts relative to the future rate of return assumptions by quantifying the adjustments to these reserves that would be required assuming both a 1% increase and decrease in the future rate of return. This sensitivity considers only the direct effect of changes</w:t>
      </w:r>
      <w:r>
        <w:rPr>
          <w:rFonts w:eastAsia="Times New Roman"/>
          <w:color w:val="000000"/>
          <w:sz w:val="20"/>
          <w:szCs w:val="20"/>
        </w:rPr>
        <w:t xml:space="preserve"> in the future rate of return on operating results due to the change in the reserve balance before reinsurance ceded and not changes in any other assumptions such as persistency, mortality, or expenses included in the evaluation of the reserves, or any cha</w:t>
      </w:r>
      <w:r>
        <w:rPr>
          <w:rFonts w:eastAsia="Times New Roman"/>
          <w:color w:val="000000"/>
          <w:sz w:val="20"/>
          <w:szCs w:val="20"/>
        </w:rPr>
        <w:t>nges on DAC or other balances including hedging derivatives and the GMIB reinsurance asset.</w:t>
      </w:r>
    </w:p>
    <w:p w:rsidR="00000000" w:rsidRDefault="005B0BC3">
      <w:pPr>
        <w:jc w:val="center"/>
        <w:rPr>
          <w:rFonts w:eastAsia="Times New Roman"/>
        </w:rPr>
      </w:pPr>
      <w:r>
        <w:rPr>
          <w:rFonts w:eastAsia="Times New Roman"/>
          <w:b/>
          <w:bCs/>
          <w:color w:val="000000"/>
          <w:sz w:val="20"/>
          <w:szCs w:val="20"/>
        </w:rPr>
        <w:t>GMDB/GMIB Reserves</w:t>
      </w:r>
    </w:p>
    <w:p w:rsidR="00000000" w:rsidRDefault="005B0BC3">
      <w:pPr>
        <w:jc w:val="center"/>
        <w:rPr>
          <w:rFonts w:eastAsia="Times New Roman"/>
        </w:rPr>
      </w:pPr>
      <w:r>
        <w:rPr>
          <w:rFonts w:eastAsia="Times New Roman"/>
          <w:b/>
          <w:bCs/>
          <w:color w:val="000000"/>
          <w:sz w:val="20"/>
          <w:szCs w:val="20"/>
        </w:rPr>
        <w:t>Sensitivity - Rate of Return</w:t>
      </w:r>
    </w:p>
    <w:p w:rsidR="00000000" w:rsidRDefault="005B0BC3">
      <w:pPr>
        <w:jc w:val="center"/>
        <w:divId w:val="431127814"/>
        <w:rPr>
          <w:rFonts w:eastAsia="Times New Roman"/>
        </w:rPr>
      </w:pPr>
      <w:r>
        <w:rPr>
          <w:rFonts w:eastAsia="Times New Roman"/>
          <w:b/>
          <w:bCs/>
          <w:color w:val="000000"/>
          <w:sz w:val="20"/>
          <w:szCs w:val="20"/>
        </w:rPr>
        <w:t xml:space="preserve">December 31, 2021 </w:t>
      </w:r>
    </w:p>
    <w:tbl>
      <w:tblPr>
        <w:tblW w:w="4992" w:type="pct"/>
        <w:tblCellMar>
          <w:top w:w="15" w:type="dxa"/>
          <w:left w:w="15" w:type="dxa"/>
          <w:bottom w:w="15" w:type="dxa"/>
          <w:right w:w="15" w:type="dxa"/>
        </w:tblCellMar>
        <w:tblLook w:val="04A0" w:firstRow="1" w:lastRow="0" w:firstColumn="1" w:lastColumn="0" w:noHBand="0" w:noVBand="1"/>
      </w:tblPr>
      <w:tblGrid>
        <w:gridCol w:w="52"/>
        <w:gridCol w:w="6192"/>
        <w:gridCol w:w="36"/>
        <w:gridCol w:w="121"/>
        <w:gridCol w:w="1856"/>
        <w:gridCol w:w="36"/>
      </w:tblGrid>
      <w:tr w:rsidR="00000000">
        <w:trPr>
          <w:divId w:val="1068452974"/>
        </w:trPr>
        <w:tc>
          <w:tcPr>
            <w:tcW w:w="50" w:type="pct"/>
            <w:vAlign w:val="center"/>
            <w:hideMark/>
          </w:tcPr>
          <w:p w:rsidR="00000000" w:rsidRDefault="005B0BC3">
            <w:pPr>
              <w:jc w:val="center"/>
              <w:rPr>
                <w:rFonts w:eastAsia="Times New Roman"/>
              </w:rPr>
            </w:pPr>
          </w:p>
        </w:tc>
        <w:tc>
          <w:tcPr>
            <w:tcW w:w="375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113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068452974"/>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Increase/(Decrease) in</w:t>
            </w:r>
          </w:p>
          <w:p w:rsidR="00000000" w:rsidRDefault="005B0BC3">
            <w:pPr>
              <w:spacing w:after="100"/>
              <w:jc w:val="center"/>
              <w:rPr>
                <w:rFonts w:eastAsia="Times New Roman"/>
              </w:rPr>
            </w:pPr>
            <w:r>
              <w:rPr>
                <w:rFonts w:eastAsia="Times New Roman"/>
                <w:b/>
                <w:bCs/>
                <w:color w:val="000000"/>
                <w:sz w:val="16"/>
                <w:szCs w:val="16"/>
              </w:rPr>
              <w:t>GMDB/GMIB Reserves    </w:t>
            </w:r>
          </w:p>
        </w:tc>
      </w:tr>
      <w:tr w:rsidR="00000000">
        <w:trPr>
          <w:divId w:val="1068452974"/>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1068452974"/>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1% decrease in future rate of return</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1,363 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068452974"/>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1% increase in future rate of return</w:t>
            </w: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(1,667)</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divId w:val="747535230"/>
        <w:rPr>
          <w:rFonts w:eastAsia="Times New Roman"/>
        </w:rPr>
      </w:pPr>
      <w:r>
        <w:rPr>
          <w:rFonts w:eastAsia="Times New Roman"/>
          <w:i/>
          <w:iCs/>
          <w:color w:val="000000"/>
          <w:sz w:val="20"/>
          <w:szCs w:val="20"/>
          <w:u w:val="single"/>
        </w:rPr>
        <w:t>Traditional Annuities</w:t>
      </w:r>
    </w:p>
    <w:p w:rsidR="00000000" w:rsidRDefault="005B0BC3">
      <w:pPr>
        <w:ind w:firstLine="360"/>
        <w:divId w:val="1063333832"/>
        <w:rPr>
          <w:rFonts w:eastAsia="Times New Roman"/>
        </w:rPr>
      </w:pPr>
      <w:r>
        <w:rPr>
          <w:rFonts w:eastAsia="Times New Roman"/>
          <w:color w:val="000000"/>
          <w:sz w:val="20"/>
          <w:szCs w:val="20"/>
        </w:rPr>
        <w:t>The reserves for future policy benefits for annuities include group pension and payout annuities, and, during the accumulation period, are equal to accumulated policyholders’ fund balances and, after annuitization, are equal to the present value of expecte</w:t>
      </w:r>
      <w:r>
        <w:rPr>
          <w:rFonts w:eastAsia="Times New Roman"/>
          <w:color w:val="000000"/>
          <w:sz w:val="20"/>
          <w:szCs w:val="20"/>
        </w:rPr>
        <w:t xml:space="preserve">d future payments based on assumptions as to mortality, retirement, maintenance expense, and interest rates. </w:t>
      </w:r>
    </w:p>
    <w:p w:rsidR="00000000" w:rsidRDefault="005B0BC3">
      <w:pPr>
        <w:jc w:val="center"/>
        <w:divId w:val="863985341"/>
        <w:rPr>
          <w:rFonts w:eastAsia="Times New Roman"/>
        </w:rPr>
      </w:pPr>
      <w:r>
        <w:rPr>
          <w:rFonts w:eastAsia="Times New Roman"/>
          <w:color w:val="000000"/>
          <w:sz w:val="20"/>
          <w:szCs w:val="20"/>
        </w:rPr>
        <w:t>113</w:t>
      </w:r>
    </w:p>
    <w:p w:rsidR="00000000" w:rsidRDefault="005B0BC3">
      <w:pPr>
        <w:rPr>
          <w:rFonts w:eastAsia="Times New Roman"/>
        </w:rPr>
      </w:pPr>
      <w:r>
        <w:rPr>
          <w:rFonts w:eastAsia="Times New Roman"/>
        </w:rPr>
        <w:pict>
          <v:rect id="_x0000_i1151" style="width:0;height:1.5pt" o:hralign="center" o:hrstd="t" o:hr="t" fillcolor="#a0a0a0" stroked="f"/>
        </w:pict>
      </w:r>
    </w:p>
    <w:p w:rsidR="00000000" w:rsidRDefault="005B0BC3">
      <w:pPr>
        <w:divId w:val="1694071936"/>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divId w:val="1793861076"/>
        <w:rPr>
          <w:rFonts w:eastAsia="Times New Roman"/>
        </w:rPr>
      </w:pPr>
      <w:r>
        <w:rPr>
          <w:rFonts w:eastAsia="Times New Roman"/>
          <w:color w:val="000000"/>
          <w:sz w:val="20"/>
          <w:szCs w:val="20"/>
        </w:rPr>
        <w:t>Interest rates used in estab</w:t>
      </w:r>
      <w:r>
        <w:rPr>
          <w:rFonts w:eastAsia="Times New Roman"/>
          <w:color w:val="000000"/>
          <w:sz w:val="20"/>
          <w:szCs w:val="20"/>
        </w:rPr>
        <w:t>lishing such liabilities range from 1.5% to 5.4% (weighted average of 3.5%). If reserves determined based on these assumptions are greater than the existing reserves, the existing reserves are adjusted to the greater amount.</w:t>
      </w:r>
    </w:p>
    <w:p w:rsidR="00000000" w:rsidRDefault="005B0BC3">
      <w:pPr>
        <w:divId w:val="1358390153"/>
        <w:rPr>
          <w:rFonts w:eastAsia="Times New Roman"/>
        </w:rPr>
      </w:pPr>
      <w:r>
        <w:rPr>
          <w:rFonts w:eastAsia="Times New Roman"/>
          <w:i/>
          <w:iCs/>
          <w:color w:val="000000"/>
          <w:sz w:val="20"/>
          <w:szCs w:val="20"/>
          <w:u w:val="single"/>
        </w:rPr>
        <w:t>Health</w:t>
      </w:r>
    </w:p>
    <w:p w:rsidR="00000000" w:rsidRDefault="005B0BC3">
      <w:pPr>
        <w:ind w:firstLine="360"/>
        <w:divId w:val="507403695"/>
        <w:rPr>
          <w:rFonts w:eastAsia="Times New Roman"/>
        </w:rPr>
      </w:pPr>
      <w:r>
        <w:rPr>
          <w:rFonts w:eastAsia="Times New Roman"/>
          <w:color w:val="000000"/>
          <w:sz w:val="20"/>
          <w:szCs w:val="20"/>
        </w:rPr>
        <w:t>Individual health benefi</w:t>
      </w:r>
      <w:r>
        <w:rPr>
          <w:rFonts w:eastAsia="Times New Roman"/>
          <w:color w:val="000000"/>
          <w:sz w:val="20"/>
          <w:szCs w:val="20"/>
        </w:rPr>
        <w:t>t liabilities for active lives are estimated using the net level premium method and assumptions as to future morbidity, withdrawals and interest. Benefit liabilities for disabled lives are estimated using the present value of benefits method and experience</w:t>
      </w:r>
      <w:r>
        <w:rPr>
          <w:rFonts w:eastAsia="Times New Roman"/>
          <w:color w:val="000000"/>
          <w:sz w:val="20"/>
          <w:szCs w:val="20"/>
        </w:rPr>
        <w:t xml:space="preserve"> assumptions as to claim terminations, expenses and interest.</w:t>
      </w:r>
    </w:p>
    <w:p w:rsidR="00000000" w:rsidRDefault="005B0BC3">
      <w:pPr>
        <w:jc w:val="both"/>
        <w:divId w:val="961230018"/>
        <w:rPr>
          <w:rFonts w:eastAsia="Times New Roman"/>
        </w:rPr>
      </w:pPr>
      <w:r>
        <w:rPr>
          <w:rFonts w:eastAsia="Times New Roman"/>
          <w:b/>
          <w:bCs/>
          <w:i/>
          <w:iCs/>
          <w:color w:val="000000"/>
          <w:sz w:val="20"/>
          <w:szCs w:val="20"/>
        </w:rPr>
        <w:t xml:space="preserve">Reinsurance </w:t>
      </w:r>
    </w:p>
    <w:p w:rsidR="00000000" w:rsidRDefault="005B0BC3">
      <w:pPr>
        <w:ind w:firstLine="360"/>
        <w:divId w:val="366564749"/>
        <w:rPr>
          <w:rFonts w:eastAsia="Times New Roman"/>
        </w:rPr>
      </w:pPr>
      <w:r>
        <w:rPr>
          <w:rFonts w:eastAsia="Times New Roman"/>
          <w:color w:val="000000"/>
          <w:sz w:val="20"/>
          <w:szCs w:val="20"/>
        </w:rPr>
        <w:t>Accounting for reinsurance requires extensive use of assumptions and estimates, particularly related to the future performance of the underlying business and the potential impact of</w:t>
      </w:r>
      <w:r>
        <w:rPr>
          <w:rFonts w:eastAsia="Times New Roman"/>
          <w:color w:val="000000"/>
          <w:sz w:val="20"/>
          <w:szCs w:val="20"/>
        </w:rPr>
        <w:t xml:space="preserve"> counterparty credit risk with respect to reinsurance receivables. We periodically review actual and anticipated experience compared to the aforementioned assumptions used to establish assets and liabilities relating to ceded and assumed reinsurance and ev</w:t>
      </w:r>
      <w:r>
        <w:rPr>
          <w:rFonts w:eastAsia="Times New Roman"/>
          <w:color w:val="000000"/>
          <w:sz w:val="20"/>
          <w:szCs w:val="20"/>
        </w:rPr>
        <w:t>aluate the financial strength of counterparties to our reinsurance agreements using criteria similar to those evaluated in our security impairment process. See “—Estimated Fair Value of Investments.” Additionally, for each of our reinsurance agreements, we</w:t>
      </w:r>
      <w:r>
        <w:rPr>
          <w:rFonts w:eastAsia="Times New Roman"/>
          <w:color w:val="000000"/>
          <w:sz w:val="20"/>
          <w:szCs w:val="20"/>
        </w:rPr>
        <w:t xml:space="preserve"> determine whether the agreement provides indemnification against loss or liability relating to insurance risk, in accordance with applicable accounting standards. We review all contractual features, including those that may limit the amount of insurance r</w:t>
      </w:r>
      <w:r>
        <w:rPr>
          <w:rFonts w:eastAsia="Times New Roman"/>
          <w:color w:val="000000"/>
          <w:sz w:val="20"/>
          <w:szCs w:val="20"/>
        </w:rPr>
        <w:t>isk to which the reinsurer is subject or features that delay the timely reimbursement of claims. If we determine that a reinsurance agreement does not expose the reinsurer to a reasonable possibility of a significant loss from insurance risk, we record the</w:t>
      </w:r>
      <w:r>
        <w:rPr>
          <w:rFonts w:eastAsia="Times New Roman"/>
          <w:color w:val="000000"/>
          <w:sz w:val="20"/>
          <w:szCs w:val="20"/>
        </w:rPr>
        <w:t xml:space="preserve"> agreement using the deposit method of accounting. </w:t>
      </w:r>
    </w:p>
    <w:p w:rsidR="00000000" w:rsidRDefault="005B0BC3">
      <w:pPr>
        <w:ind w:firstLine="360"/>
        <w:divId w:val="479687308"/>
        <w:rPr>
          <w:rFonts w:eastAsia="Times New Roman"/>
        </w:rPr>
      </w:pPr>
      <w:r>
        <w:rPr>
          <w:rFonts w:eastAsia="Times New Roman"/>
          <w:color w:val="000000"/>
          <w:sz w:val="20"/>
          <w:szCs w:val="20"/>
        </w:rPr>
        <w:t xml:space="preserve">For reinsurance contracts other than those covering GMIB exposure, reinsurance recoverable balances are calculated using methodologies and assumptions that are consistent with those used to calculate the </w:t>
      </w:r>
      <w:r>
        <w:rPr>
          <w:rFonts w:eastAsia="Times New Roman"/>
          <w:color w:val="000000"/>
          <w:sz w:val="20"/>
          <w:szCs w:val="20"/>
        </w:rPr>
        <w:t>direct liabilities. GMIB reinsurance contracts are used to cede affiliated and non-affiliated reinsurers a portion of the exposure on variable annuity products that offer the GMIB feature. The GMIB reinsurance contracts are accounted for as derivatives and</w:t>
      </w:r>
      <w:r>
        <w:rPr>
          <w:rFonts w:eastAsia="Times New Roman"/>
          <w:color w:val="000000"/>
          <w:sz w:val="20"/>
          <w:szCs w:val="20"/>
        </w:rPr>
        <w:t xml:space="preserve"> are reported at fair value. Gross reserves for GMIB, on the other hand, are calculated on the basis of assumptions related to projected benefits and related contract charges over the lives of the contracts, therefore, will not immediately reflect the offs</w:t>
      </w:r>
      <w:r>
        <w:rPr>
          <w:rFonts w:eastAsia="Times New Roman"/>
          <w:color w:val="000000"/>
          <w:sz w:val="20"/>
          <w:szCs w:val="20"/>
        </w:rPr>
        <w:t>etting impact on future claims exposure resulting from the same capital market and/or interest rate fluctuations that cause gains or losses on the fair value of the GMIB reinsurance contracts.</w:t>
      </w:r>
    </w:p>
    <w:p w:rsidR="00000000" w:rsidRDefault="005B0BC3">
      <w:pPr>
        <w:ind w:firstLine="360"/>
        <w:divId w:val="116486785"/>
        <w:rPr>
          <w:rFonts w:eastAsia="Times New Roman"/>
        </w:rPr>
      </w:pPr>
      <w:r>
        <w:rPr>
          <w:rFonts w:eastAsia="Times New Roman"/>
          <w:color w:val="000000"/>
          <w:sz w:val="20"/>
          <w:szCs w:val="20"/>
        </w:rPr>
        <w:t>See Note 11 of the Notes to these Consolidated Financial Statem</w:t>
      </w:r>
      <w:r>
        <w:rPr>
          <w:rFonts w:eastAsia="Times New Roman"/>
          <w:color w:val="000000"/>
          <w:sz w:val="20"/>
          <w:szCs w:val="20"/>
        </w:rPr>
        <w:t>ents for additional information on our reinsurance.</w:t>
      </w:r>
    </w:p>
    <w:p w:rsidR="00000000" w:rsidRDefault="005B0BC3">
      <w:pPr>
        <w:jc w:val="both"/>
        <w:divId w:val="1531652157"/>
        <w:rPr>
          <w:rFonts w:eastAsia="Times New Roman"/>
        </w:rPr>
      </w:pPr>
      <w:r>
        <w:rPr>
          <w:rFonts w:eastAsia="Times New Roman"/>
          <w:b/>
          <w:bCs/>
          <w:i/>
          <w:iCs/>
          <w:color w:val="000000"/>
          <w:sz w:val="20"/>
          <w:szCs w:val="20"/>
        </w:rPr>
        <w:t>DAC</w:t>
      </w:r>
    </w:p>
    <w:p w:rsidR="00000000" w:rsidRDefault="005B0BC3">
      <w:pPr>
        <w:ind w:firstLine="360"/>
        <w:divId w:val="1381131804"/>
        <w:rPr>
          <w:rFonts w:eastAsia="Times New Roman"/>
        </w:rPr>
      </w:pPr>
      <w:r>
        <w:rPr>
          <w:rFonts w:eastAsia="Times New Roman"/>
          <w:color w:val="000000"/>
          <w:sz w:val="20"/>
          <w:szCs w:val="20"/>
        </w:rPr>
        <w:t>We incur significant costs in connection with acquiring new and renewal insurance business. Costs that relate directly to the successful acquisition or renewal of insurance contracts, are deferred as DAC. In addition to commissions, certain direct-response</w:t>
      </w:r>
      <w:r>
        <w:rPr>
          <w:rFonts w:eastAsia="Times New Roman"/>
          <w:color w:val="000000"/>
          <w:sz w:val="20"/>
          <w:szCs w:val="20"/>
        </w:rPr>
        <w:t xml:space="preserve"> advertising expenses and other direct costs, other deferrable costs include the portion of an employee’s total compensation and benefits related to time spent selling, underwriting or processing the issuance of new and renewal insurance business only with</w:t>
      </w:r>
      <w:r>
        <w:rPr>
          <w:rFonts w:eastAsia="Times New Roman"/>
          <w:color w:val="000000"/>
          <w:sz w:val="20"/>
          <w:szCs w:val="20"/>
        </w:rPr>
        <w:t xml:space="preserve"> respect to actual policies acquired or renewed. We utilize various techniques to estimate the portion of an employee’s time spent on qualifying acquisition activities that result in actual sales, including surveys, interviews, representative time studies </w:t>
      </w:r>
      <w:r>
        <w:rPr>
          <w:rFonts w:eastAsia="Times New Roman"/>
          <w:color w:val="000000"/>
          <w:sz w:val="20"/>
          <w:szCs w:val="20"/>
        </w:rPr>
        <w:t xml:space="preserve">and other methods. These estimates include assumptions that are reviewed and updated on a periodic basis or more frequently to reflect significant changes in processes or distribution methods. </w:t>
      </w:r>
    </w:p>
    <w:p w:rsidR="00000000" w:rsidRDefault="005B0BC3">
      <w:pPr>
        <w:divId w:val="1543635601"/>
        <w:rPr>
          <w:rFonts w:eastAsia="Times New Roman"/>
        </w:rPr>
      </w:pPr>
      <w:r>
        <w:rPr>
          <w:rFonts w:eastAsia="Times New Roman"/>
          <w:i/>
          <w:iCs/>
          <w:color w:val="000000"/>
          <w:sz w:val="20"/>
          <w:szCs w:val="20"/>
          <w:u w:val="single"/>
        </w:rPr>
        <w:t>Amortization Methodologies</w:t>
      </w:r>
    </w:p>
    <w:p w:rsidR="00000000" w:rsidRDefault="005B0BC3">
      <w:pPr>
        <w:divId w:val="236668177"/>
        <w:rPr>
          <w:rFonts w:eastAsia="Times New Roman"/>
        </w:rPr>
      </w:pPr>
      <w:r>
        <w:rPr>
          <w:rFonts w:eastAsia="Times New Roman"/>
          <w:b/>
          <w:bCs/>
          <w:color w:val="000000"/>
          <w:sz w:val="20"/>
          <w:szCs w:val="20"/>
        </w:rPr>
        <w:t>Participating Traditional Life Poli</w:t>
      </w:r>
      <w:r>
        <w:rPr>
          <w:rFonts w:eastAsia="Times New Roman"/>
          <w:b/>
          <w:bCs/>
          <w:color w:val="000000"/>
          <w:sz w:val="20"/>
          <w:szCs w:val="20"/>
        </w:rPr>
        <w:t>cies</w:t>
      </w:r>
    </w:p>
    <w:p w:rsidR="00000000" w:rsidRDefault="005B0BC3">
      <w:pPr>
        <w:ind w:firstLine="360"/>
        <w:divId w:val="722338378"/>
        <w:rPr>
          <w:rFonts w:eastAsia="Times New Roman"/>
        </w:rPr>
      </w:pPr>
      <w:r>
        <w:rPr>
          <w:rFonts w:eastAsia="Times New Roman"/>
          <w:color w:val="000000"/>
          <w:sz w:val="20"/>
          <w:szCs w:val="20"/>
        </w:rPr>
        <w:t>For participating traditional life policies (substantially all of which are in the Closed Block), DAC is amortized over the expected total life of the contract group as a constant percentage based on the present value of the estimated gross margin amo</w:t>
      </w:r>
      <w:r>
        <w:rPr>
          <w:rFonts w:eastAsia="Times New Roman"/>
          <w:color w:val="000000"/>
          <w:sz w:val="20"/>
          <w:szCs w:val="20"/>
        </w:rPr>
        <w:t>unts expected to be realized over the life of the contracts using the expected investment yield.</w:t>
      </w:r>
    </w:p>
    <w:p w:rsidR="00000000" w:rsidRDefault="005B0BC3">
      <w:pPr>
        <w:ind w:firstLine="360"/>
        <w:divId w:val="1197963182"/>
        <w:rPr>
          <w:rFonts w:eastAsia="Times New Roman"/>
        </w:rPr>
      </w:pPr>
      <w:r>
        <w:rPr>
          <w:rFonts w:eastAsia="Times New Roman"/>
          <w:color w:val="000000"/>
          <w:sz w:val="20"/>
          <w:szCs w:val="20"/>
        </w:rPr>
        <w:t>As of December 31, 2021, the average investment yields assumed (excluding policy loans) were 4.5% grading to 4.3% in 2026. Estimated gross margins include anti</w:t>
      </w:r>
      <w:r>
        <w:rPr>
          <w:rFonts w:eastAsia="Times New Roman"/>
          <w:color w:val="000000"/>
          <w:sz w:val="20"/>
          <w:szCs w:val="20"/>
        </w:rPr>
        <w:t xml:space="preserve">cipated premiums and investment results less claims and administrative expenses, changes in the net level premium reserve and expected annual policyholder dividends. The effect on the accumulated amortization of DAC of revisions to estimated gross margins </w:t>
      </w:r>
      <w:r>
        <w:rPr>
          <w:rFonts w:eastAsia="Times New Roman"/>
          <w:color w:val="000000"/>
          <w:sz w:val="20"/>
          <w:szCs w:val="20"/>
        </w:rPr>
        <w:t>is reflected in earnings in the period such estimated gross margins are revised. The effect on the DAC assets that would result from realization of unrealized gains (losses) is recognized with an offset to AOCI in consolidated equity as of the balance shee</w:t>
      </w:r>
      <w:r>
        <w:rPr>
          <w:rFonts w:eastAsia="Times New Roman"/>
          <w:color w:val="000000"/>
          <w:sz w:val="20"/>
          <w:szCs w:val="20"/>
        </w:rPr>
        <w:t xml:space="preserve">t date. Many of the factors that affect gross margins are included in </w:t>
      </w:r>
    </w:p>
    <w:p w:rsidR="00000000" w:rsidRDefault="005B0BC3">
      <w:pPr>
        <w:jc w:val="center"/>
        <w:divId w:val="153842494"/>
        <w:rPr>
          <w:rFonts w:eastAsia="Times New Roman"/>
        </w:rPr>
      </w:pPr>
      <w:r>
        <w:rPr>
          <w:rFonts w:eastAsia="Times New Roman"/>
          <w:color w:val="000000"/>
          <w:sz w:val="20"/>
          <w:szCs w:val="20"/>
        </w:rPr>
        <w:t>114</w:t>
      </w:r>
    </w:p>
    <w:p w:rsidR="00000000" w:rsidRDefault="005B0BC3">
      <w:pPr>
        <w:rPr>
          <w:rFonts w:eastAsia="Times New Roman"/>
        </w:rPr>
      </w:pPr>
      <w:r>
        <w:rPr>
          <w:rFonts w:eastAsia="Times New Roman"/>
        </w:rPr>
        <w:pict>
          <v:rect id="_x0000_i1152" style="width:0;height:1.5pt" o:hralign="center" o:hrstd="t" o:hr="t" fillcolor="#a0a0a0" stroked="f"/>
        </w:pict>
      </w:r>
    </w:p>
    <w:p w:rsidR="00000000" w:rsidRDefault="005B0BC3">
      <w:pPr>
        <w:divId w:val="1630280107"/>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divId w:val="1101297129"/>
        <w:rPr>
          <w:rFonts w:eastAsia="Times New Roman"/>
        </w:rPr>
      </w:pPr>
      <w:r>
        <w:rPr>
          <w:rFonts w:eastAsia="Times New Roman"/>
          <w:color w:val="000000"/>
          <w:sz w:val="20"/>
          <w:szCs w:val="20"/>
        </w:rPr>
        <w:t>the determination of the Company’</w:t>
      </w:r>
      <w:r>
        <w:rPr>
          <w:rFonts w:eastAsia="Times New Roman"/>
          <w:color w:val="000000"/>
          <w:sz w:val="20"/>
          <w:szCs w:val="20"/>
        </w:rPr>
        <w:t>s dividends to these policyholders. DAC adjustments related to participating traditional life policies do not create significant volatility in results of operations as the Closed Block recognizes a cumulative policyholder dividend obligation expense in “Po</w:t>
      </w:r>
      <w:r>
        <w:rPr>
          <w:rFonts w:eastAsia="Times New Roman"/>
          <w:color w:val="000000"/>
          <w:sz w:val="20"/>
          <w:szCs w:val="20"/>
        </w:rPr>
        <w:t>licyholders’ dividends,” for the excess of actual cumulative earnings over expected cumulative earnings as determined at the time of demutualization.</w:t>
      </w:r>
    </w:p>
    <w:p w:rsidR="00000000" w:rsidRDefault="005B0BC3">
      <w:pPr>
        <w:divId w:val="689571763"/>
        <w:rPr>
          <w:rFonts w:eastAsia="Times New Roman"/>
        </w:rPr>
      </w:pPr>
      <w:r>
        <w:rPr>
          <w:rFonts w:eastAsia="Times New Roman"/>
          <w:b/>
          <w:bCs/>
          <w:color w:val="000000"/>
          <w:sz w:val="20"/>
          <w:szCs w:val="20"/>
        </w:rPr>
        <w:t>Non-participating Traditional Life Insurance Policies</w:t>
      </w:r>
    </w:p>
    <w:p w:rsidR="00000000" w:rsidRDefault="005B0BC3">
      <w:pPr>
        <w:ind w:firstLine="360"/>
        <w:divId w:val="1473324658"/>
        <w:rPr>
          <w:rFonts w:eastAsia="Times New Roman"/>
        </w:rPr>
      </w:pPr>
      <w:r>
        <w:rPr>
          <w:rFonts w:eastAsia="Times New Roman"/>
          <w:color w:val="000000"/>
          <w:sz w:val="20"/>
          <w:szCs w:val="20"/>
        </w:rPr>
        <w:t>DAC associated with non-participating traditional li</w:t>
      </w:r>
      <w:r>
        <w:rPr>
          <w:rFonts w:eastAsia="Times New Roman"/>
          <w:color w:val="000000"/>
          <w:sz w:val="20"/>
          <w:szCs w:val="20"/>
        </w:rPr>
        <w:t>fe policies is amortized in proportion to anticipated premiums. Assumptions as to anticipated premiums are estimated at the date of policy issue and are consistently applied during the life of the contracts. Deviations from estimated experience are reflect</w:t>
      </w:r>
      <w:r>
        <w:rPr>
          <w:rFonts w:eastAsia="Times New Roman"/>
          <w:color w:val="000000"/>
          <w:sz w:val="20"/>
          <w:szCs w:val="20"/>
        </w:rPr>
        <w:t>ed in earnings (loss) in the period such deviations occur. For these contracts, the amortization periods generally are for the total life of the policy.</w:t>
      </w:r>
    </w:p>
    <w:p w:rsidR="00000000" w:rsidRDefault="005B0BC3">
      <w:pPr>
        <w:divId w:val="113987736"/>
        <w:rPr>
          <w:rFonts w:eastAsia="Times New Roman"/>
        </w:rPr>
      </w:pPr>
      <w:r>
        <w:rPr>
          <w:rFonts w:eastAsia="Times New Roman"/>
          <w:b/>
          <w:bCs/>
          <w:color w:val="000000"/>
          <w:sz w:val="20"/>
          <w:szCs w:val="20"/>
        </w:rPr>
        <w:t>Universal Life and Investment-type Contracts</w:t>
      </w:r>
    </w:p>
    <w:p w:rsidR="00000000" w:rsidRDefault="005B0BC3">
      <w:pPr>
        <w:ind w:firstLine="360"/>
        <w:divId w:val="36859543"/>
        <w:rPr>
          <w:rFonts w:eastAsia="Times New Roman"/>
        </w:rPr>
      </w:pPr>
      <w:r>
        <w:rPr>
          <w:rFonts w:eastAsia="Times New Roman"/>
          <w:color w:val="000000"/>
          <w:sz w:val="20"/>
          <w:szCs w:val="20"/>
        </w:rPr>
        <w:t>DAC associated with certain variable annuity products is a</w:t>
      </w:r>
      <w:r>
        <w:rPr>
          <w:rFonts w:eastAsia="Times New Roman"/>
          <w:color w:val="000000"/>
          <w:sz w:val="20"/>
          <w:szCs w:val="20"/>
        </w:rPr>
        <w:t>mortized based on estimated assessments, with the remainder of variable annuity products, UL and investment-type products amortized over the expected total life of the contract group as a constant percentage of estimated gross profits arising principally f</w:t>
      </w:r>
      <w:r>
        <w:rPr>
          <w:rFonts w:eastAsia="Times New Roman"/>
          <w:color w:val="000000"/>
          <w:sz w:val="20"/>
          <w:szCs w:val="20"/>
        </w:rPr>
        <w:t>rom investment results, Separate Account fees, mortality and expense margins and surrender charges based on historical and anticipated future experience, updated at the end of each accounting period. When estimated gross profits are expected to be negative</w:t>
      </w:r>
      <w:r>
        <w:rPr>
          <w:rFonts w:eastAsia="Times New Roman"/>
          <w:color w:val="000000"/>
          <w:sz w:val="20"/>
          <w:szCs w:val="20"/>
        </w:rPr>
        <w:t xml:space="preserve"> for multiple years of a contract life, DAC is amortized using the present value of estimated assessments. The effect on the amortization of DAC of revisions to estimated gross profits or assessments is reflected in net income (loss) in the period such est</w:t>
      </w:r>
      <w:r>
        <w:rPr>
          <w:rFonts w:eastAsia="Times New Roman"/>
          <w:color w:val="000000"/>
          <w:sz w:val="20"/>
          <w:szCs w:val="20"/>
        </w:rPr>
        <w:t>imated gross profits or assessments are revised. A decrease in expected gross profits or assessments would accelerate DAC amortization. Conversely, an increase in expected gross profits or assessments would slow DAC amortization. The effect on the DAC asse</w:t>
      </w:r>
      <w:r>
        <w:rPr>
          <w:rFonts w:eastAsia="Times New Roman"/>
          <w:color w:val="000000"/>
          <w:sz w:val="20"/>
          <w:szCs w:val="20"/>
        </w:rPr>
        <w:t>ts that would result from realization of unrealized gains (losses) is recognized with an offset to AOCI in consolidated equity as of the balance sheet date.</w:t>
      </w:r>
    </w:p>
    <w:p w:rsidR="00000000" w:rsidRDefault="005B0BC3">
      <w:pPr>
        <w:ind w:firstLine="360"/>
        <w:divId w:val="916599973"/>
        <w:rPr>
          <w:rFonts w:eastAsia="Times New Roman"/>
        </w:rPr>
      </w:pPr>
      <w:r>
        <w:rPr>
          <w:rFonts w:eastAsia="Times New Roman"/>
          <w:color w:val="000000"/>
          <w:sz w:val="20"/>
          <w:szCs w:val="20"/>
        </w:rPr>
        <w:t>Quarterly adjustments to the DAC balance are made for current period experience and market performa</w:t>
      </w:r>
      <w:r>
        <w:rPr>
          <w:rFonts w:eastAsia="Times New Roman"/>
          <w:color w:val="000000"/>
          <w:sz w:val="20"/>
          <w:szCs w:val="20"/>
        </w:rPr>
        <w:t>nce related adjustments, and the impact of reviews of estimated total gross profits. The quarterly adjustments for current period experience reflect the impact of differences between actual and previously estimated expected gross profits for a given period</w:t>
      </w:r>
      <w:r>
        <w:rPr>
          <w:rFonts w:eastAsia="Times New Roman"/>
          <w:color w:val="000000"/>
          <w:sz w:val="20"/>
          <w:szCs w:val="20"/>
        </w:rPr>
        <w:t>. Total estimated gross profits include both actual experience and estimates of gross profits for future periods. To the extent each period’s actual experience differs from the previous estimate for that period, the assumed level of total gross profits may</w:t>
      </w:r>
      <w:r>
        <w:rPr>
          <w:rFonts w:eastAsia="Times New Roman"/>
          <w:color w:val="000000"/>
          <w:sz w:val="20"/>
          <w:szCs w:val="20"/>
        </w:rPr>
        <w:t xml:space="preserve"> change. In these cases, cumulative adjustment to all previous periods’ costs is recognized.</w:t>
      </w:r>
    </w:p>
    <w:p w:rsidR="00000000" w:rsidRDefault="005B0BC3">
      <w:pPr>
        <w:ind w:firstLine="360"/>
        <w:divId w:val="1117525013"/>
        <w:rPr>
          <w:rFonts w:eastAsia="Times New Roman"/>
        </w:rPr>
      </w:pPr>
      <w:r>
        <w:rPr>
          <w:rFonts w:eastAsia="Times New Roman"/>
          <w:color w:val="000000"/>
          <w:sz w:val="20"/>
          <w:szCs w:val="20"/>
        </w:rPr>
        <w:t xml:space="preserve">During each accounting period, the DAC balances are evaluated and adjusted with a corresponding charge or credit to current period earnings for the effects of the </w:t>
      </w:r>
      <w:r>
        <w:rPr>
          <w:rFonts w:eastAsia="Times New Roman"/>
          <w:color w:val="000000"/>
          <w:sz w:val="20"/>
          <w:szCs w:val="20"/>
        </w:rPr>
        <w:t xml:space="preserve">Company’s actual gross profits and changes in the assumptions regarding estimated future gross profits. A decrease in expected gross profits or assessments would accelerate DAC amortization. Conversely, an increase in expected gross profits or assessments </w:t>
      </w:r>
      <w:r>
        <w:rPr>
          <w:rFonts w:eastAsia="Times New Roman"/>
          <w:color w:val="000000"/>
          <w:sz w:val="20"/>
          <w:szCs w:val="20"/>
        </w:rPr>
        <w:t>would slow DAC amortization. The effect on the DAC assets that would result from realization of unrealized gains (losses) is recognized with an offset to AOCI in consolidated equity as of the balance sheet date.</w:t>
      </w:r>
    </w:p>
    <w:p w:rsidR="00000000" w:rsidRDefault="005B0BC3">
      <w:pPr>
        <w:ind w:firstLine="360"/>
        <w:divId w:val="1885798664"/>
        <w:rPr>
          <w:rFonts w:eastAsia="Times New Roman"/>
        </w:rPr>
      </w:pPr>
      <w:r>
        <w:rPr>
          <w:rFonts w:eastAsia="Times New Roman"/>
          <w:color w:val="000000"/>
          <w:sz w:val="20"/>
          <w:szCs w:val="20"/>
        </w:rPr>
        <w:t>For the variable and UL policies a significa</w:t>
      </w:r>
      <w:r>
        <w:rPr>
          <w:rFonts w:eastAsia="Times New Roman"/>
          <w:color w:val="000000"/>
          <w:sz w:val="20"/>
          <w:szCs w:val="20"/>
        </w:rPr>
        <w:t>nt portion of the gross profits is derived from mortality margins and therefore, are significantly influenced by the mortality assumptions used. Mortality assumptions represent our expected claims experience over the life of these policies and are based on</w:t>
      </w:r>
      <w:r>
        <w:rPr>
          <w:rFonts w:eastAsia="Times New Roman"/>
          <w:color w:val="000000"/>
          <w:sz w:val="20"/>
          <w:szCs w:val="20"/>
        </w:rPr>
        <w:t xml:space="preserve"> a long-term average of actual company experience. This assumption is updated periodically to reflect recent experience as it emerges. Improvement of life mortality in future periods from that currently projected would result in future deceleration of DAC </w:t>
      </w:r>
      <w:r>
        <w:rPr>
          <w:rFonts w:eastAsia="Times New Roman"/>
          <w:color w:val="000000"/>
          <w:sz w:val="20"/>
          <w:szCs w:val="20"/>
        </w:rPr>
        <w:t>amortization. Conversely, deterioration of life mortality in future periods from that currently projected would result in future acceleration of DAC amortization.</w:t>
      </w:r>
    </w:p>
    <w:p w:rsidR="00000000" w:rsidRDefault="005B0BC3">
      <w:pPr>
        <w:divId w:val="369917768"/>
        <w:rPr>
          <w:rFonts w:eastAsia="Times New Roman"/>
        </w:rPr>
      </w:pPr>
      <w:r>
        <w:rPr>
          <w:rFonts w:eastAsia="Times New Roman"/>
          <w:i/>
          <w:iCs/>
          <w:color w:val="000000"/>
          <w:sz w:val="20"/>
          <w:szCs w:val="20"/>
          <w:u w:val="single"/>
        </w:rPr>
        <w:t>Loss Recognition Testing</w:t>
      </w:r>
    </w:p>
    <w:p w:rsidR="00000000" w:rsidRDefault="005B0BC3">
      <w:pPr>
        <w:ind w:firstLine="360"/>
        <w:divId w:val="589315211"/>
        <w:rPr>
          <w:rFonts w:eastAsia="Times New Roman"/>
        </w:rPr>
      </w:pPr>
      <w:r>
        <w:rPr>
          <w:rFonts w:eastAsia="Times New Roman"/>
          <w:color w:val="000000"/>
          <w:sz w:val="20"/>
          <w:szCs w:val="20"/>
        </w:rPr>
        <w:t xml:space="preserve">After the initial establishment of reserves, loss recognition tests </w:t>
      </w:r>
      <w:r>
        <w:rPr>
          <w:rFonts w:eastAsia="Times New Roman"/>
          <w:color w:val="000000"/>
          <w:sz w:val="20"/>
          <w:szCs w:val="20"/>
        </w:rPr>
        <w:t>are performed using best estimate assumptions as of the testing date without provisions for adverse deviation. When the liabilities for future policy benefits plus the present value of expected future gross premiums for the aggregate product group are insu</w:t>
      </w:r>
      <w:r>
        <w:rPr>
          <w:rFonts w:eastAsia="Times New Roman"/>
          <w:color w:val="000000"/>
          <w:sz w:val="20"/>
          <w:szCs w:val="20"/>
        </w:rPr>
        <w:t>fficient to provide for expected future policy benefits and expenses for that line of business (i.e., reserves net of any DAC asset), loss recognition accounting is triggered and DAC is first written off, and thereafter a premium deficiency reserve is esta</w:t>
      </w:r>
      <w:r>
        <w:rPr>
          <w:rFonts w:eastAsia="Times New Roman"/>
          <w:color w:val="000000"/>
          <w:sz w:val="20"/>
          <w:szCs w:val="20"/>
        </w:rPr>
        <w:t>blished by a charge to earnings.</w:t>
      </w:r>
    </w:p>
    <w:p w:rsidR="00000000" w:rsidRDefault="005B0BC3">
      <w:pPr>
        <w:ind w:firstLine="360"/>
        <w:divId w:val="1290741054"/>
        <w:rPr>
          <w:rFonts w:eastAsia="Times New Roman"/>
        </w:rPr>
      </w:pPr>
      <w:r>
        <w:rPr>
          <w:rFonts w:eastAsia="Times New Roman"/>
          <w:color w:val="000000"/>
          <w:sz w:val="20"/>
          <w:szCs w:val="20"/>
        </w:rPr>
        <w:t>In 2020, we determined that certain of our variable interest-sensitive life insurance products triggered loss recognition accounting due to low interest rates and we reduced DAC by $945 million through accelerated amortizat</w:t>
      </w:r>
      <w:r>
        <w:rPr>
          <w:rFonts w:eastAsia="Times New Roman"/>
          <w:color w:val="000000"/>
          <w:sz w:val="20"/>
          <w:szCs w:val="20"/>
        </w:rPr>
        <w:t>ion. We did not have a loss recognition event in 2021 or 2019.</w:t>
      </w:r>
    </w:p>
    <w:p w:rsidR="00000000" w:rsidRDefault="005B0BC3">
      <w:pPr>
        <w:jc w:val="center"/>
        <w:divId w:val="1620649759"/>
        <w:rPr>
          <w:rFonts w:eastAsia="Times New Roman"/>
        </w:rPr>
      </w:pPr>
      <w:r>
        <w:rPr>
          <w:rFonts w:eastAsia="Times New Roman"/>
          <w:color w:val="000000"/>
          <w:sz w:val="20"/>
          <w:szCs w:val="20"/>
        </w:rPr>
        <w:t>115</w:t>
      </w:r>
    </w:p>
    <w:p w:rsidR="00000000" w:rsidRDefault="005B0BC3">
      <w:pPr>
        <w:rPr>
          <w:rFonts w:eastAsia="Times New Roman"/>
        </w:rPr>
      </w:pPr>
      <w:r>
        <w:rPr>
          <w:rFonts w:eastAsia="Times New Roman"/>
        </w:rPr>
        <w:pict>
          <v:rect id="_x0000_i1153" style="width:0;height:1.5pt" o:hralign="center" o:hrstd="t" o:hr="t" fillcolor="#a0a0a0" stroked="f"/>
        </w:pict>
      </w:r>
    </w:p>
    <w:p w:rsidR="00000000" w:rsidRDefault="005B0BC3">
      <w:pPr>
        <w:divId w:val="1279989616"/>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ind w:firstLine="360"/>
        <w:divId w:val="1546453896"/>
        <w:rPr>
          <w:rFonts w:eastAsia="Times New Roman"/>
        </w:rPr>
      </w:pPr>
      <w:r>
        <w:rPr>
          <w:rFonts w:eastAsia="Times New Roman"/>
          <w:color w:val="000000"/>
          <w:sz w:val="20"/>
          <w:szCs w:val="20"/>
        </w:rPr>
        <w:t>Additionally, policyholder liability balances for a particular line of bus</w:t>
      </w:r>
      <w:r>
        <w:rPr>
          <w:rFonts w:eastAsia="Times New Roman"/>
          <w:color w:val="000000"/>
          <w:sz w:val="20"/>
          <w:szCs w:val="20"/>
        </w:rPr>
        <w:t xml:space="preserve">iness may not be deficient in the aggregate to trigger loss recognition accounting; however, the pattern of earnings may be such that annual profits are expected to be recognized in earlier years and then followed by losses in later years. This pattern of </w:t>
      </w:r>
      <w:r>
        <w:rPr>
          <w:rFonts w:eastAsia="Times New Roman"/>
          <w:color w:val="000000"/>
          <w:sz w:val="20"/>
          <w:szCs w:val="20"/>
        </w:rPr>
        <w:t>profits followed by losses is exhibited in our VISL business and has caused us to increase policyholder liability balances by an amount that accounts for losses in future years. This pattern is caused by the cost structure of the product or secondary guara</w:t>
      </w:r>
      <w:r>
        <w:rPr>
          <w:rFonts w:eastAsia="Times New Roman"/>
          <w:color w:val="000000"/>
          <w:sz w:val="20"/>
          <w:szCs w:val="20"/>
        </w:rPr>
        <w:t>ntees in the contract. The secondary guarantee ensures that, subject to specified conditions, the policy will not terminate even if there is insufficient policy account value to cover the monthly deductions and charges. We estimate the PFBL accrual using a</w:t>
      </w:r>
      <w:r>
        <w:rPr>
          <w:rFonts w:eastAsia="Times New Roman"/>
          <w:color w:val="000000"/>
          <w:sz w:val="20"/>
          <w:szCs w:val="20"/>
        </w:rPr>
        <w:t xml:space="preserve"> dynamic approach that changes over time as the projection and timing of future losses change. </w:t>
      </w:r>
    </w:p>
    <w:p w:rsidR="00000000" w:rsidRDefault="005B0BC3">
      <w:pPr>
        <w:ind w:firstLine="360"/>
        <w:divId w:val="193856670"/>
        <w:rPr>
          <w:rFonts w:eastAsia="Times New Roman"/>
        </w:rPr>
      </w:pPr>
      <w:r>
        <w:rPr>
          <w:rFonts w:eastAsia="Times New Roman"/>
          <w:color w:val="000000"/>
          <w:sz w:val="20"/>
          <w:szCs w:val="20"/>
        </w:rPr>
        <w:t>In addition, we are required to analyze how net unrealized investment gains and losses on our AFS investment securities backing insurance liabilities affects pr</w:t>
      </w:r>
      <w:r>
        <w:rPr>
          <w:rFonts w:eastAsia="Times New Roman"/>
          <w:color w:val="000000"/>
          <w:sz w:val="20"/>
          <w:szCs w:val="20"/>
        </w:rPr>
        <w:t>oduct profitability,, as if those unrealized investment gains and losses were realized. This may result in the recognition of unrealized gains and losses on related insurance assets and liabilities in a manner consistent with the recognition of the unreali</w:t>
      </w:r>
      <w:r>
        <w:rPr>
          <w:rFonts w:eastAsia="Times New Roman"/>
          <w:color w:val="000000"/>
          <w:sz w:val="20"/>
          <w:szCs w:val="20"/>
        </w:rPr>
        <w:t>zed gains and losses on AFS investment securities within the statements of comprehensive income and changes in equity. Changes to net unrealized investment (gains) losses may increase or decrease DAC. Similar to a loss recognition event, if the DAC balance</w:t>
      </w:r>
      <w:r>
        <w:rPr>
          <w:rFonts w:eastAsia="Times New Roman"/>
          <w:color w:val="000000"/>
          <w:sz w:val="20"/>
          <w:szCs w:val="20"/>
        </w:rPr>
        <w:t xml:space="preserve"> is reduced to zero, additional insurance liabilities are established. Unlike a loss recognition event, these adjustments may reverse from period to period.</w:t>
      </w:r>
    </w:p>
    <w:p w:rsidR="00000000" w:rsidRDefault="005B0BC3">
      <w:pPr>
        <w:divId w:val="678000195"/>
        <w:rPr>
          <w:rFonts w:eastAsia="Times New Roman"/>
        </w:rPr>
      </w:pPr>
      <w:r>
        <w:rPr>
          <w:rFonts w:eastAsia="Times New Roman"/>
          <w:i/>
          <w:iCs/>
          <w:color w:val="000000"/>
          <w:sz w:val="20"/>
          <w:szCs w:val="20"/>
          <w:u w:val="single"/>
        </w:rPr>
        <w:t>Sensitivity of DAC to Changes in Future Mortality Assumptions</w:t>
      </w:r>
    </w:p>
    <w:p w:rsidR="00000000" w:rsidRDefault="005B0BC3">
      <w:pPr>
        <w:ind w:firstLine="360"/>
        <w:divId w:val="334235092"/>
        <w:rPr>
          <w:rFonts w:eastAsia="Times New Roman"/>
        </w:rPr>
      </w:pPr>
      <w:r>
        <w:rPr>
          <w:rFonts w:eastAsia="Times New Roman"/>
          <w:color w:val="000000"/>
          <w:sz w:val="20"/>
          <w:szCs w:val="20"/>
        </w:rPr>
        <w:t xml:space="preserve">The following table demonstrates the </w:t>
      </w:r>
      <w:r>
        <w:rPr>
          <w:rFonts w:eastAsia="Times New Roman"/>
          <w:color w:val="000000"/>
          <w:sz w:val="20"/>
          <w:szCs w:val="20"/>
        </w:rPr>
        <w:t>sensitivity of the DAC balance relative to future mortality assumptions by quantifying the adjustments that would be required, assuming an increase and decrease in the future mortality rate by 1.0%. This information considers only the direct effect of chan</w:t>
      </w:r>
      <w:r>
        <w:rPr>
          <w:rFonts w:eastAsia="Times New Roman"/>
          <w:color w:val="000000"/>
          <w:sz w:val="20"/>
          <w:szCs w:val="20"/>
        </w:rPr>
        <w:t>ges in the mortality assumptions on the DAC balance and not changes in any other assumptions used in the measurement of the DAC balance and does not assume changes in reserves.</w:t>
      </w:r>
    </w:p>
    <w:p w:rsidR="00000000" w:rsidRDefault="005B0BC3">
      <w:pPr>
        <w:jc w:val="center"/>
        <w:rPr>
          <w:rFonts w:eastAsia="Times New Roman"/>
        </w:rPr>
      </w:pPr>
      <w:r>
        <w:rPr>
          <w:rFonts w:eastAsia="Times New Roman"/>
          <w:b/>
          <w:bCs/>
          <w:color w:val="000000"/>
          <w:sz w:val="20"/>
          <w:szCs w:val="20"/>
        </w:rPr>
        <w:t>DAC Sensitivity - Mortality</w:t>
      </w:r>
    </w:p>
    <w:p w:rsidR="00000000" w:rsidRDefault="005B0BC3">
      <w:pPr>
        <w:jc w:val="center"/>
        <w:divId w:val="655492556"/>
        <w:rPr>
          <w:rFonts w:eastAsia="Times New Roman"/>
        </w:rPr>
      </w:pPr>
      <w:r>
        <w:rPr>
          <w:rFonts w:eastAsia="Times New Roman"/>
          <w:b/>
          <w:bCs/>
          <w:color w:val="000000"/>
          <w:sz w:val="20"/>
          <w:szCs w:val="20"/>
        </w:rPr>
        <w:t>December 31, 2021</w:t>
      </w:r>
      <w:r>
        <w:rPr>
          <w:rFonts w:eastAsia="Times New Roman"/>
          <w:color w:val="000000"/>
          <w:sz w:val="20"/>
          <w:szCs w:val="20"/>
        </w:rPr>
        <w:t xml:space="preserve"> </w:t>
      </w:r>
    </w:p>
    <w:tbl>
      <w:tblPr>
        <w:tblW w:w="4992" w:type="pct"/>
        <w:tblCellMar>
          <w:top w:w="15" w:type="dxa"/>
          <w:left w:w="15" w:type="dxa"/>
          <w:bottom w:w="15" w:type="dxa"/>
          <w:right w:w="15" w:type="dxa"/>
        </w:tblCellMar>
        <w:tblLook w:val="04A0" w:firstRow="1" w:lastRow="0" w:firstColumn="1" w:lastColumn="0" w:noHBand="0" w:noVBand="1"/>
      </w:tblPr>
      <w:tblGrid>
        <w:gridCol w:w="37"/>
        <w:gridCol w:w="5873"/>
        <w:gridCol w:w="36"/>
        <w:gridCol w:w="621"/>
        <w:gridCol w:w="1690"/>
        <w:gridCol w:w="36"/>
      </w:tblGrid>
      <w:tr w:rsidR="00000000">
        <w:trPr>
          <w:divId w:val="900748021"/>
        </w:trPr>
        <w:tc>
          <w:tcPr>
            <w:tcW w:w="50" w:type="pct"/>
            <w:vAlign w:val="center"/>
            <w:hideMark/>
          </w:tcPr>
          <w:p w:rsidR="00000000" w:rsidRDefault="005B0BC3">
            <w:pPr>
              <w:jc w:val="center"/>
              <w:rPr>
                <w:rFonts w:eastAsia="Times New Roman"/>
              </w:rPr>
            </w:pPr>
          </w:p>
        </w:tc>
        <w:tc>
          <w:tcPr>
            <w:tcW w:w="375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113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900748021"/>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Increase/(Decrease)</w:t>
            </w:r>
          </w:p>
          <w:p w:rsidR="00000000" w:rsidRDefault="005B0BC3">
            <w:pPr>
              <w:spacing w:after="100"/>
              <w:jc w:val="center"/>
              <w:rPr>
                <w:rFonts w:eastAsia="Times New Roman"/>
              </w:rPr>
            </w:pPr>
            <w:r>
              <w:rPr>
                <w:rFonts w:eastAsia="Times New Roman"/>
                <w:b/>
                <w:bCs/>
                <w:color w:val="000000"/>
                <w:sz w:val="16"/>
                <w:szCs w:val="16"/>
              </w:rPr>
              <w:t>in DAC</w:t>
            </w:r>
          </w:p>
        </w:tc>
      </w:tr>
      <w:tr w:rsidR="00000000">
        <w:trPr>
          <w:divId w:val="900748021"/>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900748021"/>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Decrease in future mortality by 1%</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900748021"/>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Increase in future mortality by 1%</w:t>
            </w: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(16)</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divId w:val="284115221"/>
        <w:rPr>
          <w:rFonts w:eastAsia="Times New Roman"/>
        </w:rPr>
      </w:pPr>
      <w:r>
        <w:rPr>
          <w:rFonts w:eastAsia="Times New Roman"/>
          <w:i/>
          <w:iCs/>
          <w:color w:val="000000"/>
          <w:sz w:val="20"/>
          <w:szCs w:val="20"/>
          <w:u w:val="single"/>
        </w:rPr>
        <w:t>Sensitivity of DAC to Changes in Future Rate of Return Assumptions</w:t>
      </w:r>
    </w:p>
    <w:p w:rsidR="00000000" w:rsidRDefault="005B0BC3">
      <w:pPr>
        <w:ind w:firstLine="360"/>
        <w:divId w:val="1756509621"/>
        <w:rPr>
          <w:rFonts w:eastAsia="Times New Roman"/>
        </w:rPr>
      </w:pPr>
      <w:r>
        <w:rPr>
          <w:rFonts w:eastAsia="Times New Roman"/>
          <w:color w:val="000000"/>
          <w:sz w:val="20"/>
          <w:szCs w:val="20"/>
        </w:rPr>
        <w:t>A significant assumption in the amortization of DAC on variable annuity products and, to a lesser extent, on variable and interest-sensitive life insurance relates to projected future Separ</w:t>
      </w:r>
      <w:r>
        <w:rPr>
          <w:rFonts w:eastAsia="Times New Roman"/>
          <w:color w:val="000000"/>
          <w:sz w:val="20"/>
          <w:szCs w:val="20"/>
        </w:rPr>
        <w:t>ate Accounts performance. Management sets estimated future gross profit or assessment assumptions related to Separate Account performance using a long-term view of expected average market returns by applying a RTM approach, a commonly used industry practic</w:t>
      </w:r>
      <w:r>
        <w:rPr>
          <w:rFonts w:eastAsia="Times New Roman"/>
          <w:color w:val="000000"/>
          <w:sz w:val="20"/>
          <w:szCs w:val="20"/>
        </w:rPr>
        <w:t>e. This future return approach influences the projection of fees earned, as well as other sources of estimated gross profits. Returns that are higher than expectations for a given period produce higher than expected account balances, increase the fees earn</w:t>
      </w:r>
      <w:r>
        <w:rPr>
          <w:rFonts w:eastAsia="Times New Roman"/>
          <w:color w:val="000000"/>
          <w:sz w:val="20"/>
          <w:szCs w:val="20"/>
        </w:rPr>
        <w:t>ed resulting in higher expected future gross profits and lower DAC amortization for the period. The opposite occurs when returns are lower than expected.</w:t>
      </w:r>
    </w:p>
    <w:p w:rsidR="00000000" w:rsidRDefault="005B0BC3">
      <w:pPr>
        <w:ind w:firstLine="360"/>
        <w:divId w:val="152795553"/>
        <w:rPr>
          <w:rFonts w:eastAsia="Times New Roman"/>
        </w:rPr>
      </w:pPr>
      <w:r>
        <w:rPr>
          <w:rFonts w:eastAsia="Times New Roman"/>
          <w:color w:val="000000"/>
          <w:sz w:val="20"/>
          <w:szCs w:val="20"/>
        </w:rPr>
        <w:t>In applying this approach to develop estimates of future returns, it is assumed that the market will r</w:t>
      </w:r>
      <w:r>
        <w:rPr>
          <w:rFonts w:eastAsia="Times New Roman"/>
          <w:color w:val="000000"/>
          <w:sz w:val="20"/>
          <w:szCs w:val="20"/>
        </w:rPr>
        <w:t xml:space="preserve">eturn to an average gross long-term return estimate, developed with reference to historical long-term equity market performance. In second quarter 2015, based upon management’s then-current expectations of interest rates and future fund growth, we updated </w:t>
      </w:r>
      <w:r>
        <w:rPr>
          <w:rFonts w:eastAsia="Times New Roman"/>
          <w:color w:val="000000"/>
          <w:sz w:val="20"/>
          <w:szCs w:val="20"/>
        </w:rPr>
        <w:t xml:space="preserve">our reversion to the mean assumption from 9.0% to 7.0%. The average gross long-term return measurement start date was also updated to December 31, 2014. Management has set limitations as to maximum and minimum future rate of return assumptions, as well as </w:t>
      </w:r>
      <w:r>
        <w:rPr>
          <w:rFonts w:eastAsia="Times New Roman"/>
          <w:color w:val="000000"/>
          <w:sz w:val="20"/>
          <w:szCs w:val="20"/>
        </w:rPr>
        <w:t xml:space="preserve">a limitation on the duration of use of these maximum or minimum rates of return. As of December 31, 2021, the average gross short-term and long-term annual return estimate on variable and interest-sensitive life insurance and variable annuity products was </w:t>
      </w:r>
      <w:r>
        <w:rPr>
          <w:rFonts w:eastAsia="Times New Roman"/>
          <w:color w:val="000000"/>
          <w:sz w:val="20"/>
          <w:szCs w:val="20"/>
        </w:rPr>
        <w:t>7.0% (4.7% net of product weighted average Separate Accounts fees), and the gross maximum and minimum short-term annual rate of return limitations were 15.0% (12.7% net of product weighted average Separate Accounts fees and Investment Advisory fees) and 0.</w:t>
      </w:r>
      <w:r>
        <w:rPr>
          <w:rFonts w:eastAsia="Times New Roman"/>
          <w:color w:val="000000"/>
          <w:sz w:val="20"/>
          <w:szCs w:val="20"/>
        </w:rPr>
        <w:t xml:space="preserve">0% ((2.3%) net of product weighted average Separate Account fees and Investment Advisory fees), respectively. The maximum duration over which these rate limitations may be applied is five years. This approach will continue to be applied in future periods. </w:t>
      </w:r>
      <w:r>
        <w:rPr>
          <w:rFonts w:eastAsia="Times New Roman"/>
          <w:color w:val="000000"/>
          <w:sz w:val="20"/>
          <w:szCs w:val="20"/>
        </w:rPr>
        <w:t>These assumptions of long-term growth are subject to assessment of the reasonableness of resulting estimates of future return assumptions.</w:t>
      </w:r>
    </w:p>
    <w:p w:rsidR="00000000" w:rsidRDefault="005B0BC3">
      <w:pPr>
        <w:ind w:firstLine="360"/>
        <w:divId w:val="1122767002"/>
        <w:rPr>
          <w:rFonts w:eastAsia="Times New Roman"/>
        </w:rPr>
      </w:pPr>
      <w:r>
        <w:rPr>
          <w:rFonts w:eastAsia="Times New Roman"/>
          <w:color w:val="000000"/>
          <w:sz w:val="20"/>
          <w:szCs w:val="20"/>
        </w:rPr>
        <w:t>If actual market returns continue at levels that would result in assuming future market returns of 15.0% for more tha</w:t>
      </w:r>
      <w:r>
        <w:rPr>
          <w:rFonts w:eastAsia="Times New Roman"/>
          <w:color w:val="000000"/>
          <w:sz w:val="20"/>
          <w:szCs w:val="20"/>
        </w:rPr>
        <w:t xml:space="preserve">n five years in order to reach the average gross long-term return estimate, the application of the five-year maximum duration </w:t>
      </w:r>
    </w:p>
    <w:p w:rsidR="00000000" w:rsidRDefault="005B0BC3">
      <w:pPr>
        <w:jc w:val="center"/>
        <w:divId w:val="2122651339"/>
        <w:rPr>
          <w:rFonts w:eastAsia="Times New Roman"/>
        </w:rPr>
      </w:pPr>
      <w:r>
        <w:rPr>
          <w:rFonts w:eastAsia="Times New Roman"/>
          <w:color w:val="000000"/>
          <w:sz w:val="20"/>
          <w:szCs w:val="20"/>
        </w:rPr>
        <w:t>116</w:t>
      </w:r>
    </w:p>
    <w:p w:rsidR="00000000" w:rsidRDefault="005B0BC3">
      <w:pPr>
        <w:rPr>
          <w:rFonts w:eastAsia="Times New Roman"/>
        </w:rPr>
      </w:pPr>
      <w:r>
        <w:rPr>
          <w:rFonts w:eastAsia="Times New Roman"/>
        </w:rPr>
        <w:pict>
          <v:rect id="_x0000_i1154" style="width:0;height:1.5pt" o:hralign="center" o:hrstd="t" o:hr="t" fillcolor="#a0a0a0" stroked="f"/>
        </w:pict>
      </w:r>
    </w:p>
    <w:p w:rsidR="00000000" w:rsidRDefault="005B0BC3">
      <w:pPr>
        <w:divId w:val="563493313"/>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divId w:val="1008992891"/>
        <w:rPr>
          <w:rFonts w:eastAsia="Times New Roman"/>
        </w:rPr>
      </w:pPr>
      <w:r>
        <w:rPr>
          <w:rFonts w:eastAsia="Times New Roman"/>
          <w:color w:val="000000"/>
          <w:sz w:val="20"/>
          <w:szCs w:val="20"/>
        </w:rPr>
        <w:t>limitation</w:t>
      </w:r>
      <w:r>
        <w:rPr>
          <w:rFonts w:eastAsia="Times New Roman"/>
          <w:color w:val="000000"/>
          <w:sz w:val="20"/>
          <w:szCs w:val="20"/>
        </w:rPr>
        <w:t xml:space="preserve"> would result in an acceleration of DAC amortization. Conversely, actual market returns resulting in assumed future market returns of 0.0% for more than five years would result in a required deceleration of DAC amortization. As of December 31, 2021, curren</w:t>
      </w:r>
      <w:r>
        <w:rPr>
          <w:rFonts w:eastAsia="Times New Roman"/>
          <w:color w:val="000000"/>
          <w:sz w:val="20"/>
          <w:szCs w:val="20"/>
        </w:rPr>
        <w:t>t projections of future returns assume a 0.0% annualized return for the next nine quarters grading to a reversion to the mean of 7.0% in nineteen quarters.</w:t>
      </w:r>
    </w:p>
    <w:p w:rsidR="00000000" w:rsidRDefault="005B0BC3">
      <w:pPr>
        <w:ind w:firstLine="360"/>
        <w:divId w:val="715202267"/>
        <w:rPr>
          <w:rFonts w:eastAsia="Times New Roman"/>
        </w:rPr>
      </w:pPr>
      <w:r>
        <w:rPr>
          <w:rFonts w:eastAsia="Times New Roman"/>
          <w:color w:val="000000"/>
          <w:sz w:val="20"/>
          <w:szCs w:val="20"/>
        </w:rPr>
        <w:t> Other significant assumptions underlying gross profit estimates for UL and investment type products</w:t>
      </w:r>
      <w:r>
        <w:rPr>
          <w:rFonts w:eastAsia="Times New Roman"/>
          <w:color w:val="000000"/>
          <w:sz w:val="20"/>
          <w:szCs w:val="20"/>
        </w:rPr>
        <w:t xml:space="preserve"> relate to contract persistency and General Account investment spread.</w:t>
      </w:r>
    </w:p>
    <w:p w:rsidR="00000000" w:rsidRDefault="005B0BC3">
      <w:pPr>
        <w:ind w:firstLine="360"/>
        <w:divId w:val="1280262508"/>
        <w:rPr>
          <w:rFonts w:eastAsia="Times New Roman"/>
        </w:rPr>
      </w:pPr>
      <w:r>
        <w:rPr>
          <w:rFonts w:eastAsia="Times New Roman"/>
          <w:color w:val="000000"/>
          <w:sz w:val="20"/>
          <w:szCs w:val="20"/>
        </w:rPr>
        <w:t>The following table provides an example of the sensitivity of the DAC balance of variable annuity products and variable and interest-sensitive life insurance relative to future return a</w:t>
      </w:r>
      <w:r>
        <w:rPr>
          <w:rFonts w:eastAsia="Times New Roman"/>
          <w:color w:val="000000"/>
          <w:sz w:val="20"/>
          <w:szCs w:val="20"/>
        </w:rPr>
        <w:t>ssumptions by quantifying the adjustments to the DAC balance that would be required assuming both an increase and decrease in the future rate of return by 1.0%. This information considers only the effect of changes in the future Separate Accounts rate of r</w:t>
      </w:r>
      <w:r>
        <w:rPr>
          <w:rFonts w:eastAsia="Times New Roman"/>
          <w:color w:val="000000"/>
          <w:sz w:val="20"/>
          <w:szCs w:val="20"/>
        </w:rPr>
        <w:t>eturn and not changes in any other assumptions used in the measurement of the DAC balance.</w:t>
      </w:r>
    </w:p>
    <w:p w:rsidR="00000000" w:rsidRDefault="005B0BC3">
      <w:pPr>
        <w:jc w:val="center"/>
        <w:rPr>
          <w:rFonts w:eastAsia="Times New Roman"/>
        </w:rPr>
      </w:pPr>
      <w:r>
        <w:rPr>
          <w:rFonts w:eastAsia="Times New Roman"/>
          <w:b/>
          <w:bCs/>
          <w:color w:val="000000"/>
          <w:sz w:val="20"/>
          <w:szCs w:val="20"/>
        </w:rPr>
        <w:t>DAC Sensitivity - Rate of Return</w:t>
      </w:r>
    </w:p>
    <w:p w:rsidR="00000000" w:rsidRDefault="005B0BC3">
      <w:pPr>
        <w:jc w:val="center"/>
        <w:divId w:val="2018193122"/>
        <w:rPr>
          <w:rFonts w:eastAsia="Times New Roman"/>
        </w:rPr>
      </w:pPr>
      <w:r>
        <w:rPr>
          <w:rFonts w:eastAsia="Times New Roman"/>
          <w:b/>
          <w:bCs/>
          <w:color w:val="000000"/>
          <w:sz w:val="20"/>
          <w:szCs w:val="20"/>
        </w:rPr>
        <w:t>December 31, 2021</w:t>
      </w:r>
    </w:p>
    <w:tbl>
      <w:tblPr>
        <w:tblW w:w="4992" w:type="pct"/>
        <w:jc w:val="center"/>
        <w:tblCellMar>
          <w:top w:w="15" w:type="dxa"/>
          <w:left w:w="15" w:type="dxa"/>
          <w:bottom w:w="15" w:type="dxa"/>
          <w:right w:w="15" w:type="dxa"/>
        </w:tblCellMar>
        <w:tblLook w:val="04A0" w:firstRow="1" w:lastRow="0" w:firstColumn="1" w:lastColumn="0" w:noHBand="0" w:noVBand="1"/>
      </w:tblPr>
      <w:tblGrid>
        <w:gridCol w:w="52"/>
        <w:gridCol w:w="6192"/>
        <w:gridCol w:w="36"/>
        <w:gridCol w:w="121"/>
        <w:gridCol w:w="1856"/>
        <w:gridCol w:w="36"/>
      </w:tblGrid>
      <w:tr w:rsidR="00000000">
        <w:trPr>
          <w:divId w:val="93139933"/>
          <w:jc w:val="center"/>
        </w:trPr>
        <w:tc>
          <w:tcPr>
            <w:tcW w:w="50" w:type="pct"/>
            <w:vAlign w:val="center"/>
            <w:hideMark/>
          </w:tcPr>
          <w:p w:rsidR="00000000" w:rsidRDefault="005B0BC3">
            <w:pPr>
              <w:jc w:val="center"/>
              <w:rPr>
                <w:rFonts w:eastAsia="Times New Roman"/>
              </w:rPr>
            </w:pPr>
          </w:p>
        </w:tc>
        <w:tc>
          <w:tcPr>
            <w:tcW w:w="375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113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93139933"/>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Increase/(Decrease)</w:t>
            </w:r>
          </w:p>
          <w:p w:rsidR="00000000" w:rsidRDefault="005B0BC3">
            <w:pPr>
              <w:spacing w:after="100"/>
              <w:jc w:val="center"/>
              <w:rPr>
                <w:rFonts w:eastAsia="Times New Roman"/>
              </w:rPr>
            </w:pPr>
            <w:r>
              <w:rPr>
                <w:rFonts w:eastAsia="Times New Roman"/>
                <w:b/>
                <w:bCs/>
                <w:color w:val="000000"/>
                <w:sz w:val="16"/>
                <w:szCs w:val="16"/>
              </w:rPr>
              <w:t>in DAC</w:t>
            </w:r>
          </w:p>
        </w:tc>
      </w:tr>
      <w:tr w:rsidR="00000000">
        <w:trPr>
          <w:divId w:val="93139933"/>
          <w:jc w:val="center"/>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93139933"/>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Decrease in future rate of return by 1%</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(115)</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93139933"/>
          <w:jc w:val="center"/>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Increase in future rate of return by 1%</w:t>
            </w: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jc w:val="both"/>
        <w:divId w:val="879436155"/>
        <w:rPr>
          <w:rFonts w:eastAsia="Times New Roman"/>
        </w:rPr>
      </w:pPr>
      <w:r>
        <w:rPr>
          <w:rFonts w:eastAsia="Times New Roman"/>
          <w:b/>
          <w:bCs/>
          <w:i/>
          <w:iCs/>
          <w:color w:val="000000"/>
          <w:sz w:val="20"/>
          <w:szCs w:val="20"/>
        </w:rPr>
        <w:t>Estimated Fair Value of Investments</w:t>
      </w:r>
    </w:p>
    <w:p w:rsidR="00000000" w:rsidRDefault="005B0BC3">
      <w:pPr>
        <w:ind w:firstLine="360"/>
        <w:divId w:val="257563285"/>
        <w:rPr>
          <w:rFonts w:eastAsia="Times New Roman"/>
        </w:rPr>
      </w:pPr>
      <w:r>
        <w:rPr>
          <w:rFonts w:eastAsia="Times New Roman"/>
          <w:color w:val="000000"/>
          <w:sz w:val="20"/>
          <w:szCs w:val="20"/>
        </w:rPr>
        <w:t>The Company’</w:t>
      </w:r>
      <w:r>
        <w:rPr>
          <w:rFonts w:eastAsia="Times New Roman"/>
          <w:color w:val="000000"/>
          <w:sz w:val="20"/>
          <w:szCs w:val="20"/>
        </w:rPr>
        <w:t xml:space="preserve">s investment portfolio principally consists of public and private fixed maturities, mortgage loans, equity securities and derivative financial instruments, including exchange traded equity, currency and interest rate futures contracts, total return and/or </w:t>
      </w:r>
      <w:r>
        <w:rPr>
          <w:rFonts w:eastAsia="Times New Roman"/>
          <w:color w:val="000000"/>
          <w:sz w:val="20"/>
          <w:szCs w:val="20"/>
        </w:rPr>
        <w:t>other equity swaps, interest rate swap and floor contracts, swaptions, variance swaps, as well as equity options used to manage various risks relating to its business operations.</w:t>
      </w:r>
    </w:p>
    <w:p w:rsidR="00000000" w:rsidRDefault="005B0BC3">
      <w:pPr>
        <w:divId w:val="1536885552"/>
        <w:rPr>
          <w:rFonts w:eastAsia="Times New Roman"/>
        </w:rPr>
      </w:pPr>
      <w:r>
        <w:rPr>
          <w:rFonts w:eastAsia="Times New Roman"/>
          <w:i/>
          <w:iCs/>
          <w:color w:val="000000"/>
          <w:sz w:val="20"/>
          <w:szCs w:val="20"/>
          <w:u w:val="single"/>
        </w:rPr>
        <w:t>Fair Value Measurements</w:t>
      </w:r>
    </w:p>
    <w:p w:rsidR="00000000" w:rsidRDefault="005B0BC3">
      <w:pPr>
        <w:ind w:firstLine="360"/>
        <w:divId w:val="1328822623"/>
        <w:rPr>
          <w:rFonts w:eastAsia="Times New Roman"/>
        </w:rPr>
      </w:pPr>
      <w:r>
        <w:rPr>
          <w:rFonts w:eastAsia="Times New Roman"/>
          <w:color w:val="000000"/>
          <w:sz w:val="20"/>
          <w:szCs w:val="20"/>
        </w:rPr>
        <w:t>Investments reported at fair value in the consolidate</w:t>
      </w:r>
      <w:r>
        <w:rPr>
          <w:rFonts w:eastAsia="Times New Roman"/>
          <w:color w:val="000000"/>
          <w:sz w:val="20"/>
          <w:szCs w:val="20"/>
        </w:rPr>
        <w:t>d balance sheets of the Company include fixed maturity securities classified as AFS, equity and trading securities and certain other invested assets, such as freestanding derivatives. In addition, reinsurance contracts covering GMIB exposure and the liabil</w:t>
      </w:r>
      <w:r>
        <w:rPr>
          <w:rFonts w:eastAsia="Times New Roman"/>
          <w:color w:val="000000"/>
          <w:sz w:val="20"/>
          <w:szCs w:val="20"/>
        </w:rPr>
        <w:t>ities in the SCS variable annuity products, SIO in the EQUI-VEST variable annuity product series, MSO in the variable life insurance products, IUL insurance products and the GMAB, GIB, GMWB and GWBL feature in certain variable annuity products issued by th</w:t>
      </w:r>
      <w:r>
        <w:rPr>
          <w:rFonts w:eastAsia="Times New Roman"/>
          <w:color w:val="000000"/>
          <w:sz w:val="20"/>
          <w:szCs w:val="20"/>
        </w:rPr>
        <w:t>e Company are considered embedded derivatives and reported at fair value.</w:t>
      </w:r>
    </w:p>
    <w:p w:rsidR="00000000" w:rsidRDefault="005B0BC3">
      <w:pPr>
        <w:ind w:firstLine="360"/>
        <w:divId w:val="370035843"/>
        <w:rPr>
          <w:rFonts w:eastAsia="Times New Roman"/>
        </w:rPr>
      </w:pPr>
      <w:r>
        <w:rPr>
          <w:rFonts w:eastAsia="Times New Roman"/>
          <w:color w:val="000000"/>
          <w:sz w:val="20"/>
          <w:szCs w:val="20"/>
        </w:rPr>
        <w:t>When available, the estimated fair value of securities is based on quoted prices in active markets that are readily and regularly obtainable; these generally are the most liquid hold</w:t>
      </w:r>
      <w:r>
        <w:rPr>
          <w:rFonts w:eastAsia="Times New Roman"/>
          <w:color w:val="000000"/>
          <w:sz w:val="20"/>
          <w:szCs w:val="20"/>
        </w:rPr>
        <w:t>ings and their valuation does not involve management judgment. When quoted prices in active markets are not available, we estimate fair value based on market standard valuation methodologies. These alternative approaches include matrix or model pricing and</w:t>
      </w:r>
      <w:r>
        <w:rPr>
          <w:rFonts w:eastAsia="Times New Roman"/>
          <w:color w:val="000000"/>
          <w:sz w:val="20"/>
          <w:szCs w:val="20"/>
        </w:rPr>
        <w:t xml:space="preserve"> use of independent pricing services, each supported by reference to principal market trades or other observable market assumptions for similar securities. More specifically, the matrix pricing approach to fair value is a discounted cash flow methodology t</w:t>
      </w:r>
      <w:r>
        <w:rPr>
          <w:rFonts w:eastAsia="Times New Roman"/>
          <w:color w:val="000000"/>
          <w:sz w:val="20"/>
          <w:szCs w:val="20"/>
        </w:rPr>
        <w:t>hat incorporates market interest rates commensurate with the credit quality and duration of the investment. For securities with reasonable price transparency, the significant inputs to these valuation methodologies either are observable in the market or ca</w:t>
      </w:r>
      <w:r>
        <w:rPr>
          <w:rFonts w:eastAsia="Times New Roman"/>
          <w:color w:val="000000"/>
          <w:sz w:val="20"/>
          <w:szCs w:val="20"/>
        </w:rPr>
        <w:t xml:space="preserve">n be derived principally from or corroborated by observable market data. When the volume or level of activity results in little or no price transparency, significant inputs no longer can be supported by reference to market observable data but instead must </w:t>
      </w:r>
      <w:r>
        <w:rPr>
          <w:rFonts w:eastAsia="Times New Roman"/>
          <w:color w:val="000000"/>
          <w:sz w:val="20"/>
          <w:szCs w:val="20"/>
        </w:rPr>
        <w:t xml:space="preserve">be based on management’s estimation and judgment. Substantially the same approach is used by us to measure the fair values of freestanding and embedded derivatives with exception for consideration of the effects of master netting agreements and collateral </w:t>
      </w:r>
      <w:r>
        <w:rPr>
          <w:rFonts w:eastAsia="Times New Roman"/>
          <w:color w:val="000000"/>
          <w:sz w:val="20"/>
          <w:szCs w:val="20"/>
        </w:rPr>
        <w:t>arrangements as well as incremental value or risk ascribed to changes in own or counterparty credit risk.</w:t>
      </w:r>
    </w:p>
    <w:p w:rsidR="00000000" w:rsidRDefault="005B0BC3">
      <w:pPr>
        <w:ind w:firstLine="360"/>
        <w:divId w:val="1250695070"/>
        <w:rPr>
          <w:rFonts w:eastAsia="Times New Roman"/>
        </w:rPr>
      </w:pPr>
      <w:r>
        <w:rPr>
          <w:rFonts w:eastAsia="Times New Roman"/>
          <w:color w:val="000000"/>
          <w:sz w:val="20"/>
          <w:szCs w:val="20"/>
        </w:rPr>
        <w:t>As required by the accounting guidance, we categorize our assets and liabilities measured at fair value into a three-level hierarchy, based on the pri</w:t>
      </w:r>
      <w:r>
        <w:rPr>
          <w:rFonts w:eastAsia="Times New Roman"/>
          <w:color w:val="000000"/>
          <w:sz w:val="20"/>
          <w:szCs w:val="20"/>
        </w:rPr>
        <w:t>ority of the inputs to the respective valuation technique, giving the highest priority to quoted prices in active markets for identical assets and liabilities (Level 1) and the lowest priority to unobservable inputs (Level 3). For additional information re</w:t>
      </w:r>
      <w:r>
        <w:rPr>
          <w:rFonts w:eastAsia="Times New Roman"/>
          <w:color w:val="000000"/>
          <w:sz w:val="20"/>
          <w:szCs w:val="20"/>
        </w:rPr>
        <w:t>garding the key estimates and assumptions surrounding the determinations of fair value measurements, see Note 8 of the Notes to these Consolidated Financial Statements.</w:t>
      </w:r>
    </w:p>
    <w:p w:rsidR="00000000" w:rsidRDefault="005B0BC3">
      <w:pPr>
        <w:jc w:val="center"/>
        <w:divId w:val="403258993"/>
        <w:rPr>
          <w:rFonts w:eastAsia="Times New Roman"/>
        </w:rPr>
      </w:pPr>
      <w:r>
        <w:rPr>
          <w:rFonts w:eastAsia="Times New Roman"/>
          <w:color w:val="000000"/>
          <w:sz w:val="20"/>
          <w:szCs w:val="20"/>
        </w:rPr>
        <w:t>117</w:t>
      </w:r>
    </w:p>
    <w:p w:rsidR="00000000" w:rsidRDefault="005B0BC3">
      <w:pPr>
        <w:rPr>
          <w:rFonts w:eastAsia="Times New Roman"/>
        </w:rPr>
      </w:pPr>
      <w:r>
        <w:rPr>
          <w:rFonts w:eastAsia="Times New Roman"/>
        </w:rPr>
        <w:pict>
          <v:rect id="_x0000_i1155" style="width:0;height:1.5pt" o:hralign="center" o:hrstd="t" o:hr="t" fillcolor="#a0a0a0" stroked="f"/>
        </w:pict>
      </w:r>
    </w:p>
    <w:p w:rsidR="00000000" w:rsidRDefault="005B0BC3">
      <w:pPr>
        <w:divId w:val="1524660810"/>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divId w:val="466699948"/>
        <w:rPr>
          <w:rFonts w:eastAsia="Times New Roman"/>
        </w:rPr>
      </w:pPr>
      <w:r>
        <w:rPr>
          <w:rFonts w:eastAsia="Times New Roman"/>
          <w:i/>
          <w:iCs/>
          <w:color w:val="000000"/>
          <w:sz w:val="20"/>
          <w:szCs w:val="20"/>
          <w:u w:val="single"/>
        </w:rPr>
        <w:t>Impairments and Valuation Allowances</w:t>
      </w:r>
    </w:p>
    <w:p w:rsidR="00000000" w:rsidRDefault="005B0BC3">
      <w:pPr>
        <w:ind w:firstLine="360"/>
        <w:divId w:val="1464496861"/>
        <w:rPr>
          <w:rFonts w:eastAsia="Times New Roman"/>
        </w:rPr>
      </w:pPr>
      <w:r>
        <w:rPr>
          <w:rFonts w:eastAsia="Times New Roman"/>
          <w:color w:val="000000"/>
          <w:sz w:val="20"/>
          <w:szCs w:val="20"/>
        </w:rPr>
        <w:t>The carrying values of fixed maturities classified as AFS are reported at fair value. Changes in fair value are reported in OCI, net of allowance for credit losses, policy related amounts</w:t>
      </w:r>
      <w:r>
        <w:rPr>
          <w:rFonts w:eastAsia="Times New Roman"/>
          <w:color w:val="000000"/>
          <w:sz w:val="20"/>
          <w:szCs w:val="20"/>
        </w:rPr>
        <w:t xml:space="preserve"> and deferred income taxes. With the adoption of the Financial Instruments-Credit Losses standard, changes in credit losses are recognized in investment gains (losses), net. </w:t>
      </w:r>
    </w:p>
    <w:p w:rsidR="00000000" w:rsidRDefault="005B0BC3">
      <w:pPr>
        <w:ind w:firstLine="360"/>
        <w:divId w:val="548224432"/>
        <w:rPr>
          <w:rFonts w:eastAsia="Times New Roman"/>
        </w:rPr>
      </w:pPr>
      <w:r>
        <w:rPr>
          <w:rFonts w:eastAsia="Times New Roman"/>
          <w:color w:val="000000"/>
          <w:sz w:val="20"/>
          <w:szCs w:val="20"/>
        </w:rPr>
        <w:t>With the assistance of our investment advisors, we evaluate AFS debt securities that experience a decline in fair value below amortized cost for credit losses which are evaluated in accordance with the financial instruments credit losses guidance. The rema</w:t>
      </w:r>
      <w:r>
        <w:rPr>
          <w:rFonts w:eastAsia="Times New Roman"/>
          <w:color w:val="000000"/>
          <w:sz w:val="20"/>
          <w:szCs w:val="20"/>
        </w:rPr>
        <w:t>inder of the unrealized loss related to other factors, if any, is recognized in OCI. Integral to this review is an assessment made each quarter, on a security-by-security basis, by our IUS Committee, of various indicators of credit deterioration to determi</w:t>
      </w:r>
      <w:r>
        <w:rPr>
          <w:rFonts w:eastAsia="Times New Roman"/>
          <w:color w:val="000000"/>
          <w:sz w:val="20"/>
          <w:szCs w:val="20"/>
        </w:rPr>
        <w:t>ne whether the investment security has experienced a credit loss. This assessment includes, but is not limited to, consideration of the severity of the unrealized loss, failure, if any, of the issuer of the security to make scheduled payments, actions take</w:t>
      </w:r>
      <w:r>
        <w:rPr>
          <w:rFonts w:eastAsia="Times New Roman"/>
          <w:color w:val="000000"/>
          <w:sz w:val="20"/>
          <w:szCs w:val="20"/>
        </w:rPr>
        <w:t>n by rating agencies, adverse conditions specifically related to the security or sector, the financial strength, liquidity and continued viability of the issuer.</w:t>
      </w:r>
    </w:p>
    <w:p w:rsidR="00000000" w:rsidRDefault="005B0BC3">
      <w:pPr>
        <w:ind w:firstLine="360"/>
        <w:divId w:val="546071201"/>
        <w:rPr>
          <w:rFonts w:eastAsia="Times New Roman"/>
        </w:rPr>
      </w:pPr>
      <w:r>
        <w:rPr>
          <w:rFonts w:eastAsia="Times New Roman"/>
          <w:color w:val="000000"/>
          <w:sz w:val="20"/>
          <w:szCs w:val="20"/>
        </w:rPr>
        <w:t>We recognize an allowance for credit losses on AFS debt securities with a corresponding adjust</w:t>
      </w:r>
      <w:r>
        <w:rPr>
          <w:rFonts w:eastAsia="Times New Roman"/>
          <w:color w:val="000000"/>
          <w:sz w:val="20"/>
          <w:szCs w:val="20"/>
        </w:rPr>
        <w:t xml:space="preserve">ment to earnings rather than a direct write down that reduces the cost basis of the investment, and credit losses are limited to the amount by which the security’s amortized cost basis exceeds its fair value. Any improvements in estimated credit losses on </w:t>
      </w:r>
      <w:r>
        <w:rPr>
          <w:rFonts w:eastAsia="Times New Roman"/>
          <w:color w:val="000000"/>
          <w:sz w:val="20"/>
          <w:szCs w:val="20"/>
        </w:rPr>
        <w:t>AFS debt securities are recognized immediately in earnings. We do not use the length of time a security has been in an unrealized loss position as a factor, either by itself or in combination with other factors, to conclude that a credit loss does not exis</w:t>
      </w:r>
      <w:r>
        <w:rPr>
          <w:rFonts w:eastAsia="Times New Roman"/>
          <w:color w:val="000000"/>
          <w:sz w:val="20"/>
          <w:szCs w:val="20"/>
        </w:rPr>
        <w:t xml:space="preserve">t, as was permitted to do prior to January 1, 2020. </w:t>
      </w:r>
    </w:p>
    <w:p w:rsidR="00000000" w:rsidRDefault="005B0BC3">
      <w:pPr>
        <w:ind w:firstLine="360"/>
        <w:divId w:val="1324241853"/>
        <w:rPr>
          <w:rFonts w:eastAsia="Times New Roman"/>
        </w:rPr>
      </w:pPr>
      <w:r>
        <w:rPr>
          <w:rFonts w:eastAsia="Times New Roman"/>
          <w:color w:val="000000"/>
          <w:sz w:val="20"/>
          <w:szCs w:val="20"/>
        </w:rPr>
        <w:t>If there is no intent to sell or likely requirement to dispose of the fixed maturity security before its recovery, only the credit loss component of any resulting allowance is recognized in income (loss) and the remainder of the fair value loss is recogniz</w:t>
      </w:r>
      <w:r>
        <w:rPr>
          <w:rFonts w:eastAsia="Times New Roman"/>
          <w:color w:val="000000"/>
          <w:sz w:val="20"/>
          <w:szCs w:val="20"/>
        </w:rPr>
        <w:t>ed in OCI. The amount of credit loss is the shortfall of the present value of the cash flows expected to be collected as compared to the amortized cost basis of the security. The present value is calculated by discounting management’s best estimate of proj</w:t>
      </w:r>
      <w:r>
        <w:rPr>
          <w:rFonts w:eastAsia="Times New Roman"/>
          <w:color w:val="000000"/>
          <w:sz w:val="20"/>
          <w:szCs w:val="20"/>
        </w:rPr>
        <w:t>ected future cash flows at the effective interest rate implicit in the debt security at the date of acquisition. Projections of future cash flows are based on assumptions regarding probability of default and estimates regarding the amount and timing of rec</w:t>
      </w:r>
      <w:r>
        <w:rPr>
          <w:rFonts w:eastAsia="Times New Roman"/>
          <w:color w:val="000000"/>
          <w:sz w:val="20"/>
          <w:szCs w:val="20"/>
        </w:rPr>
        <w:t>overies. These assumptions and estimates require use of management judgment and consider internal credit analyses as well as market observable data relevant to the collectability of the security. For mortgage and asset-backed securities, projected future c</w:t>
      </w:r>
      <w:r>
        <w:rPr>
          <w:rFonts w:eastAsia="Times New Roman"/>
          <w:color w:val="000000"/>
          <w:sz w:val="20"/>
          <w:szCs w:val="20"/>
        </w:rPr>
        <w:t>ash flows also include assumptions regarding prepayments and underlying collateral value.</w:t>
      </w:r>
    </w:p>
    <w:p w:rsidR="00000000" w:rsidRDefault="005B0BC3">
      <w:pPr>
        <w:ind w:firstLine="360"/>
        <w:divId w:val="245961758"/>
        <w:rPr>
          <w:rFonts w:eastAsia="Times New Roman"/>
        </w:rPr>
      </w:pPr>
      <w:r>
        <w:rPr>
          <w:rFonts w:eastAsia="Times New Roman"/>
          <w:color w:val="000000"/>
          <w:sz w:val="20"/>
          <w:szCs w:val="20"/>
        </w:rPr>
        <w:t>Write-offs of AFS debt securities are recorded when all or a portion of a financial asset is deemed uncollectible. Full or partial write-offs are recorded as reductio</w:t>
      </w:r>
      <w:r>
        <w:rPr>
          <w:rFonts w:eastAsia="Times New Roman"/>
          <w:color w:val="000000"/>
          <w:sz w:val="20"/>
          <w:szCs w:val="20"/>
        </w:rPr>
        <w:t>ns to the amortized cost basis of the AFS debt security and deducted from the allowance in the period in which the financial assets are deemed uncollectible. We elected to reverse accrued interest deemed uncollectible as a reversal of interest income. In i</w:t>
      </w:r>
      <w:r>
        <w:rPr>
          <w:rFonts w:eastAsia="Times New Roman"/>
          <w:color w:val="000000"/>
          <w:sz w:val="20"/>
          <w:szCs w:val="20"/>
        </w:rPr>
        <w:t>nstances where we collect cash that has previously been written off, the recovery will be recognized through earnings or as a reduction of the amortized cost basis for interest and principal, respectively.</w:t>
      </w:r>
    </w:p>
    <w:p w:rsidR="00000000" w:rsidRDefault="005B0BC3">
      <w:pPr>
        <w:ind w:firstLine="360"/>
        <w:divId w:val="1318456465"/>
        <w:rPr>
          <w:rFonts w:eastAsia="Times New Roman"/>
        </w:rPr>
      </w:pPr>
      <w:r>
        <w:rPr>
          <w:rFonts w:eastAsia="Times New Roman"/>
          <w:color w:val="000000"/>
          <w:sz w:val="20"/>
          <w:szCs w:val="20"/>
        </w:rPr>
        <w:t>Mortgage loans are stated at unpaid principal bala</w:t>
      </w:r>
      <w:r>
        <w:rPr>
          <w:rFonts w:eastAsia="Times New Roman"/>
          <w:color w:val="000000"/>
          <w:sz w:val="20"/>
          <w:szCs w:val="20"/>
        </w:rPr>
        <w:t>nces, net of unamortized discounts and valuation allowances. For collectively evaluated mortgages, the Company estimates the allowance for credit losses based on the amortized cost basis of its mortgages over their expected life using a PD / LGD model. For</w:t>
      </w:r>
      <w:r>
        <w:rPr>
          <w:rFonts w:eastAsia="Times New Roman"/>
          <w:color w:val="000000"/>
          <w:sz w:val="20"/>
          <w:szCs w:val="20"/>
        </w:rPr>
        <w:t xml:space="preserve"> individually evaluated mortgages, the Company continues to recognize valuation allowances based on the present value of expected future cash flows discounted at the loan’s original effective interest rate or on its collateral value if the loan is collater</w:t>
      </w:r>
      <w:r>
        <w:rPr>
          <w:rFonts w:eastAsia="Times New Roman"/>
          <w:color w:val="000000"/>
          <w:sz w:val="20"/>
          <w:szCs w:val="20"/>
        </w:rPr>
        <w:t xml:space="preserve">al dependent. </w:t>
      </w:r>
    </w:p>
    <w:p w:rsidR="00000000" w:rsidRDefault="005B0BC3">
      <w:pPr>
        <w:ind w:firstLine="360"/>
        <w:divId w:val="410591859"/>
        <w:rPr>
          <w:rFonts w:eastAsia="Times New Roman"/>
        </w:rPr>
      </w:pPr>
      <w:r>
        <w:rPr>
          <w:rFonts w:eastAsia="Times New Roman"/>
          <w:color w:val="000000"/>
          <w:sz w:val="20"/>
          <w:szCs w:val="20"/>
        </w:rPr>
        <w:t xml:space="preserve">For commercial and agricultural mortgage loans, an allowance for credit loss is typically recommended when management believes it is probable that principal and interest will not be collected according to the contractual terms. Factors that </w:t>
      </w:r>
      <w:r>
        <w:rPr>
          <w:rFonts w:eastAsia="Times New Roman"/>
          <w:color w:val="000000"/>
          <w:sz w:val="20"/>
          <w:szCs w:val="20"/>
        </w:rPr>
        <w:t>influence management’s judgment in determining allowance for credit losses include the following:</w:t>
      </w:r>
    </w:p>
    <w:p w:rsidR="00000000" w:rsidRDefault="005B0BC3">
      <w:pPr>
        <w:ind w:hanging="360"/>
        <w:jc w:val="both"/>
        <w:divId w:val="660281964"/>
        <w:rPr>
          <w:rFonts w:eastAsia="Times New Roman"/>
        </w:rPr>
      </w:pPr>
      <w:r>
        <w:rPr>
          <w:rFonts w:eastAsia="Times New Roman"/>
          <w:color w:val="000000"/>
          <w:sz w:val="20"/>
          <w:szCs w:val="20"/>
        </w:rPr>
        <w:t xml:space="preserve">•LTV ratio—Derived from current loan balance divided by the fair market value of the property. An allowance for credit loss is typically recommended when the </w:t>
      </w:r>
      <w:r>
        <w:rPr>
          <w:rFonts w:eastAsia="Times New Roman"/>
          <w:color w:val="000000"/>
          <w:sz w:val="20"/>
          <w:szCs w:val="20"/>
        </w:rPr>
        <w:t>LTV ratio is in excess of 100%. In the case where the LTV is in excess of 100%, the allowance for credit loss is derived by taking the difference between the fair market value (less cost of sale) and the current loan balance.</w:t>
      </w:r>
    </w:p>
    <w:p w:rsidR="00000000" w:rsidRDefault="005B0BC3">
      <w:pPr>
        <w:ind w:hanging="360"/>
        <w:jc w:val="both"/>
        <w:divId w:val="566065112"/>
        <w:rPr>
          <w:rFonts w:eastAsia="Times New Roman"/>
        </w:rPr>
      </w:pPr>
      <w:r>
        <w:rPr>
          <w:rFonts w:eastAsia="Times New Roman"/>
          <w:color w:val="000000"/>
          <w:sz w:val="20"/>
          <w:szCs w:val="20"/>
        </w:rPr>
        <w:t>•DSC ratio—Derived from actual</w:t>
      </w:r>
      <w:r>
        <w:rPr>
          <w:rFonts w:eastAsia="Times New Roman"/>
          <w:color w:val="000000"/>
          <w:sz w:val="20"/>
          <w:szCs w:val="20"/>
        </w:rPr>
        <w:t xml:space="preserve"> operating earnings divided by annual debt service. If the ratio is below 1.0x, then the income from the property does not support the debt.</w:t>
      </w:r>
    </w:p>
    <w:p w:rsidR="00000000" w:rsidRDefault="005B0BC3">
      <w:pPr>
        <w:ind w:hanging="360"/>
        <w:jc w:val="both"/>
        <w:divId w:val="888302372"/>
        <w:rPr>
          <w:rFonts w:eastAsia="Times New Roman"/>
        </w:rPr>
      </w:pPr>
      <w:r>
        <w:rPr>
          <w:rFonts w:eastAsia="Times New Roman"/>
          <w:color w:val="000000"/>
          <w:sz w:val="20"/>
          <w:szCs w:val="20"/>
        </w:rPr>
        <w:t>•Occupancy—Criteria vary by property type but low or below market occupancy is an indicator of sub-par property per</w:t>
      </w:r>
      <w:r>
        <w:rPr>
          <w:rFonts w:eastAsia="Times New Roman"/>
          <w:color w:val="000000"/>
          <w:sz w:val="20"/>
          <w:szCs w:val="20"/>
        </w:rPr>
        <w:t>formance.</w:t>
      </w:r>
    </w:p>
    <w:p w:rsidR="00000000" w:rsidRDefault="005B0BC3">
      <w:pPr>
        <w:jc w:val="center"/>
        <w:divId w:val="1947812728"/>
        <w:rPr>
          <w:rFonts w:eastAsia="Times New Roman"/>
        </w:rPr>
      </w:pPr>
      <w:r>
        <w:rPr>
          <w:rFonts w:eastAsia="Times New Roman"/>
          <w:color w:val="000000"/>
          <w:sz w:val="20"/>
          <w:szCs w:val="20"/>
        </w:rPr>
        <w:t>118</w:t>
      </w:r>
    </w:p>
    <w:p w:rsidR="00000000" w:rsidRDefault="005B0BC3">
      <w:pPr>
        <w:rPr>
          <w:rFonts w:eastAsia="Times New Roman"/>
        </w:rPr>
      </w:pPr>
      <w:r>
        <w:rPr>
          <w:rFonts w:eastAsia="Times New Roman"/>
        </w:rPr>
        <w:pict>
          <v:rect id="_x0000_i1156" style="width:0;height:1.5pt" o:hralign="center" o:hrstd="t" o:hr="t" fillcolor="#a0a0a0" stroked="f"/>
        </w:pict>
      </w:r>
    </w:p>
    <w:p w:rsidR="00000000" w:rsidRDefault="005B0BC3">
      <w:pPr>
        <w:divId w:val="1947761646"/>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ind w:hanging="360"/>
        <w:jc w:val="both"/>
        <w:divId w:val="2032879057"/>
        <w:rPr>
          <w:rFonts w:eastAsia="Times New Roman"/>
        </w:rPr>
      </w:pPr>
      <w:r>
        <w:rPr>
          <w:rFonts w:eastAsia="Times New Roman"/>
          <w:color w:val="000000"/>
          <w:sz w:val="20"/>
          <w:szCs w:val="20"/>
        </w:rPr>
        <w:t>•Lease expirations—The percentage of leases expiring in the upcoming 12 to 36 months are monitored as a decline in rent and/or o</w:t>
      </w:r>
      <w:r>
        <w:rPr>
          <w:rFonts w:eastAsia="Times New Roman"/>
          <w:color w:val="000000"/>
          <w:sz w:val="20"/>
          <w:szCs w:val="20"/>
        </w:rPr>
        <w:t>ccupancy may negatively impact the debt service coverage ratio. In the case of single-tenant properties or properties with large tenant exposure, the lease expiration is a material risk factor.</w:t>
      </w:r>
    </w:p>
    <w:p w:rsidR="00000000" w:rsidRDefault="005B0BC3">
      <w:pPr>
        <w:ind w:hanging="360"/>
        <w:jc w:val="both"/>
        <w:divId w:val="1934048152"/>
        <w:rPr>
          <w:rFonts w:eastAsia="Times New Roman"/>
        </w:rPr>
      </w:pPr>
      <w:r>
        <w:rPr>
          <w:rFonts w:eastAsia="Times New Roman"/>
          <w:color w:val="000000"/>
          <w:sz w:val="20"/>
          <w:szCs w:val="20"/>
        </w:rPr>
        <w:t>•Maturity—Mortgage loans that are not fully amortizing and hav</w:t>
      </w:r>
      <w:r>
        <w:rPr>
          <w:rFonts w:eastAsia="Times New Roman"/>
          <w:color w:val="000000"/>
          <w:sz w:val="20"/>
          <w:szCs w:val="20"/>
        </w:rPr>
        <w:t>e upcoming maturities within the next 12 to 24 months are monitored in conjunction with the capital markets to determine the borrower’s ability to refinance the debt and/or pay off the balloon balance.</w:t>
      </w:r>
    </w:p>
    <w:p w:rsidR="00000000" w:rsidRDefault="005B0BC3">
      <w:pPr>
        <w:ind w:hanging="360"/>
        <w:jc w:val="both"/>
        <w:divId w:val="1489436773"/>
        <w:rPr>
          <w:rFonts w:eastAsia="Times New Roman"/>
        </w:rPr>
      </w:pPr>
      <w:r>
        <w:rPr>
          <w:rFonts w:eastAsia="Times New Roman"/>
          <w:color w:val="000000"/>
          <w:sz w:val="20"/>
          <w:szCs w:val="20"/>
        </w:rPr>
        <w:t>•Borrower/tenant related issues—Financial concerns, po</w:t>
      </w:r>
      <w:r>
        <w:rPr>
          <w:rFonts w:eastAsia="Times New Roman"/>
          <w:color w:val="000000"/>
          <w:sz w:val="20"/>
          <w:szCs w:val="20"/>
        </w:rPr>
        <w:t>tential bankruptcy, or words or actions that indicate imminent default or abandonment of property.</w:t>
      </w:r>
    </w:p>
    <w:p w:rsidR="00000000" w:rsidRDefault="005B0BC3">
      <w:pPr>
        <w:ind w:hanging="360"/>
        <w:jc w:val="both"/>
        <w:divId w:val="413473774"/>
        <w:rPr>
          <w:rFonts w:eastAsia="Times New Roman"/>
        </w:rPr>
      </w:pPr>
      <w:r>
        <w:rPr>
          <w:rFonts w:eastAsia="Times New Roman"/>
          <w:color w:val="000000"/>
          <w:sz w:val="20"/>
          <w:szCs w:val="20"/>
        </w:rPr>
        <w:t>•Payment status - current vs. delinquent—A history of delinquent payments may be a cause for concern.</w:t>
      </w:r>
    </w:p>
    <w:p w:rsidR="00000000" w:rsidRDefault="005B0BC3">
      <w:pPr>
        <w:ind w:hanging="360"/>
        <w:jc w:val="both"/>
        <w:divId w:val="1980142"/>
        <w:rPr>
          <w:rFonts w:eastAsia="Times New Roman"/>
        </w:rPr>
      </w:pPr>
      <w:r>
        <w:rPr>
          <w:rFonts w:eastAsia="Times New Roman"/>
          <w:color w:val="000000"/>
          <w:sz w:val="20"/>
          <w:szCs w:val="20"/>
        </w:rPr>
        <w:t>•Property condition—Significant deferred maintenance ob</w:t>
      </w:r>
      <w:r>
        <w:rPr>
          <w:rFonts w:eastAsia="Times New Roman"/>
          <w:color w:val="000000"/>
          <w:sz w:val="20"/>
          <w:szCs w:val="20"/>
        </w:rPr>
        <w:t>served during the lenders annual site inspections.</w:t>
      </w:r>
    </w:p>
    <w:p w:rsidR="00000000" w:rsidRDefault="005B0BC3">
      <w:pPr>
        <w:ind w:hanging="360"/>
        <w:divId w:val="1355381705"/>
        <w:rPr>
          <w:rFonts w:eastAsia="Times New Roman"/>
        </w:rPr>
      </w:pPr>
      <w:r>
        <w:rPr>
          <w:rFonts w:eastAsia="Times New Roman"/>
          <w:color w:val="000000"/>
          <w:sz w:val="20"/>
          <w:szCs w:val="20"/>
        </w:rPr>
        <w:t>•Other—Any other factors such as current economic conditions may call into question the performance of the loan.</w:t>
      </w:r>
    </w:p>
    <w:p w:rsidR="00000000" w:rsidRDefault="005B0BC3">
      <w:pPr>
        <w:ind w:firstLine="360"/>
        <w:divId w:val="2070884659"/>
        <w:rPr>
          <w:rFonts w:eastAsia="Times New Roman"/>
        </w:rPr>
      </w:pPr>
      <w:r>
        <w:rPr>
          <w:rFonts w:eastAsia="Times New Roman"/>
          <w:color w:val="000000"/>
          <w:sz w:val="20"/>
          <w:szCs w:val="20"/>
        </w:rPr>
        <w:t>Mortgage loans that do not share similar risk characteristics with other loans in the portfo</w:t>
      </w:r>
      <w:r>
        <w:rPr>
          <w:rFonts w:eastAsia="Times New Roman"/>
          <w:color w:val="000000"/>
          <w:sz w:val="20"/>
          <w:szCs w:val="20"/>
        </w:rPr>
        <w:t>lio are individually evaluated quarterly by the IUS Committee for impairment on a loan-by-loan basis, including an assessment of related collateral value. Commercial mortgages 60 days or more past due and agricultural mortgages 90 days or more past due, as</w:t>
      </w:r>
      <w:r>
        <w:rPr>
          <w:rFonts w:eastAsia="Times New Roman"/>
          <w:color w:val="000000"/>
          <w:sz w:val="20"/>
          <w:szCs w:val="20"/>
        </w:rPr>
        <w:t xml:space="preserve"> well as all mortgages in the process of foreclosure, are identified as problem mortgages. Based on its monthly monitoring of mortgages, a class of potential problem mortgages also is identified, consisting of mortgage loans not currently classified as pro</w:t>
      </w:r>
      <w:r>
        <w:rPr>
          <w:rFonts w:eastAsia="Times New Roman"/>
          <w:color w:val="000000"/>
          <w:sz w:val="20"/>
          <w:szCs w:val="20"/>
        </w:rPr>
        <w:t>blems but for which management has doubts as to the ability of the borrower to comply with the present loan payment terms and which may result in the loan becoming a problem or being restructured. The decision whether to classify a performing mortgage loan</w:t>
      </w:r>
      <w:r>
        <w:rPr>
          <w:rFonts w:eastAsia="Times New Roman"/>
          <w:color w:val="000000"/>
          <w:sz w:val="20"/>
          <w:szCs w:val="20"/>
        </w:rPr>
        <w:t xml:space="preserve"> as a potential problem involves significant subjective judgments by management as to likely future industry conditions and developments with respect to the borrower or the individual mortgaged property.</w:t>
      </w:r>
    </w:p>
    <w:p w:rsidR="00000000" w:rsidRDefault="005B0BC3">
      <w:pPr>
        <w:ind w:firstLine="360"/>
        <w:divId w:val="202911579"/>
        <w:rPr>
          <w:rFonts w:eastAsia="Times New Roman"/>
        </w:rPr>
      </w:pPr>
      <w:r>
        <w:rPr>
          <w:rFonts w:eastAsia="Times New Roman"/>
          <w:color w:val="000000"/>
          <w:sz w:val="20"/>
          <w:szCs w:val="20"/>
        </w:rPr>
        <w:t xml:space="preserve">For problem mortgage loans a valuation allowance is </w:t>
      </w:r>
      <w:r>
        <w:rPr>
          <w:rFonts w:eastAsia="Times New Roman"/>
          <w:color w:val="000000"/>
          <w:sz w:val="20"/>
          <w:szCs w:val="20"/>
        </w:rPr>
        <w:t>established to provide for the risk of credit losses inherent in the lending process. The allowance includes loan specific reserves for loans determined to be non-performing as a result of the loan review process. A non-performing loan is defined as a loan</w:t>
      </w:r>
      <w:r>
        <w:rPr>
          <w:rFonts w:eastAsia="Times New Roman"/>
          <w:color w:val="000000"/>
          <w:sz w:val="20"/>
          <w:szCs w:val="20"/>
        </w:rPr>
        <w:t xml:space="preserve"> for which it is probable that amounts due according to the contractual terms of the loan agreement will not be collected. The loan specific portion of the loss allowance is based on our assessment as to ultimate collectability of loan principal and intere</w:t>
      </w:r>
      <w:r>
        <w:rPr>
          <w:rFonts w:eastAsia="Times New Roman"/>
          <w:color w:val="000000"/>
          <w:sz w:val="20"/>
          <w:szCs w:val="20"/>
        </w:rPr>
        <w:t xml:space="preserve">st. Valuation allowances for a non-performing loan are recorded based on the present value of expected future cash flows discounted at the loan’s effective interest rate or based on the fair value of the collateral if the loan is collateral dependent. The </w:t>
      </w:r>
      <w:r>
        <w:rPr>
          <w:rFonts w:eastAsia="Times New Roman"/>
          <w:color w:val="000000"/>
          <w:sz w:val="20"/>
          <w:szCs w:val="20"/>
        </w:rPr>
        <w:t>valuation allowance for mortgage loans can increase or decrease from period to period based on such factors.</w:t>
      </w:r>
    </w:p>
    <w:p w:rsidR="00000000" w:rsidRDefault="005B0BC3">
      <w:pPr>
        <w:ind w:firstLine="360"/>
        <w:divId w:val="1499230669"/>
        <w:rPr>
          <w:rFonts w:eastAsia="Times New Roman"/>
        </w:rPr>
      </w:pPr>
      <w:r>
        <w:rPr>
          <w:rFonts w:eastAsia="Times New Roman"/>
          <w:color w:val="000000"/>
          <w:sz w:val="20"/>
          <w:szCs w:val="20"/>
        </w:rPr>
        <w:t>Impaired mortgage loans without provision for losses are mortgage loans where the fair value of the collateral or the net present value of the expe</w:t>
      </w:r>
      <w:r>
        <w:rPr>
          <w:rFonts w:eastAsia="Times New Roman"/>
          <w:color w:val="000000"/>
          <w:sz w:val="20"/>
          <w:szCs w:val="20"/>
        </w:rPr>
        <w:t>cted future cash flows related to the loan equals or exceeds the recorded investment. Interest income earned on mortgage loans where the collateral value is used to measure impairment is recorded on a cash basis. Interest income on mortgage loans where the</w:t>
      </w:r>
      <w:r>
        <w:rPr>
          <w:rFonts w:eastAsia="Times New Roman"/>
          <w:color w:val="000000"/>
          <w:sz w:val="20"/>
          <w:szCs w:val="20"/>
        </w:rPr>
        <w:t xml:space="preserve"> present value method is used to measure impairment is accrued on the net carrying value amount of the loan at the interest rate used to discount the cash flows. Changes in the present value attributable to changes in the amount or timing of expected cash </w:t>
      </w:r>
      <w:r>
        <w:rPr>
          <w:rFonts w:eastAsia="Times New Roman"/>
          <w:color w:val="000000"/>
          <w:sz w:val="20"/>
          <w:szCs w:val="20"/>
        </w:rPr>
        <w:t>flows are reported as investment gains or losses.</w:t>
      </w:r>
    </w:p>
    <w:p w:rsidR="00000000" w:rsidRDefault="005B0BC3">
      <w:pPr>
        <w:ind w:firstLine="360"/>
        <w:divId w:val="1958173336"/>
        <w:rPr>
          <w:rFonts w:eastAsia="Times New Roman"/>
        </w:rPr>
      </w:pPr>
      <w:r>
        <w:rPr>
          <w:rFonts w:eastAsia="Times New Roman"/>
          <w:color w:val="000000"/>
          <w:sz w:val="20"/>
          <w:szCs w:val="20"/>
        </w:rPr>
        <w:t>Mortgage loans are placed on nonaccrual status once management believes the collection of accrued interest is doubtful. Once mortgage loans are classified as nonaccrual mortgage loans, interest income is re</w:t>
      </w:r>
      <w:r>
        <w:rPr>
          <w:rFonts w:eastAsia="Times New Roman"/>
          <w:color w:val="000000"/>
          <w:sz w:val="20"/>
          <w:szCs w:val="20"/>
        </w:rPr>
        <w:t>cognized under the cash basis of accounting and the resumption of the interest accrual would commence only after all past due interest has been collected or the mortgage loan on real estate has been restructured to where the collection of interest is consi</w:t>
      </w:r>
      <w:r>
        <w:rPr>
          <w:rFonts w:eastAsia="Times New Roman"/>
          <w:color w:val="000000"/>
          <w:sz w:val="20"/>
          <w:szCs w:val="20"/>
        </w:rPr>
        <w:t>dered likely.</w:t>
      </w:r>
    </w:p>
    <w:p w:rsidR="00000000" w:rsidRDefault="005B0BC3">
      <w:pPr>
        <w:ind w:firstLine="360"/>
        <w:divId w:val="549875946"/>
        <w:rPr>
          <w:rFonts w:eastAsia="Times New Roman"/>
        </w:rPr>
      </w:pPr>
      <w:r>
        <w:rPr>
          <w:rFonts w:eastAsia="Times New Roman"/>
          <w:color w:val="000000"/>
          <w:sz w:val="20"/>
          <w:szCs w:val="20"/>
        </w:rPr>
        <w:t>See Notes 2 and 3 of the Notes to these Consolidated Financial Statements for additional information relating to our determination of the amount of allowances and impairments.</w:t>
      </w:r>
    </w:p>
    <w:p w:rsidR="00000000" w:rsidRDefault="005B0BC3">
      <w:pPr>
        <w:jc w:val="both"/>
        <w:divId w:val="2030252618"/>
        <w:rPr>
          <w:rFonts w:eastAsia="Times New Roman"/>
        </w:rPr>
      </w:pPr>
      <w:r>
        <w:rPr>
          <w:rFonts w:eastAsia="Times New Roman"/>
          <w:b/>
          <w:bCs/>
          <w:i/>
          <w:iCs/>
          <w:color w:val="000000"/>
          <w:sz w:val="20"/>
          <w:szCs w:val="20"/>
        </w:rPr>
        <w:t xml:space="preserve">Derivatives </w:t>
      </w:r>
    </w:p>
    <w:p w:rsidR="00000000" w:rsidRDefault="005B0BC3">
      <w:pPr>
        <w:ind w:firstLine="360"/>
        <w:divId w:val="1326516080"/>
        <w:rPr>
          <w:rFonts w:eastAsia="Times New Roman"/>
        </w:rPr>
      </w:pPr>
      <w:r>
        <w:rPr>
          <w:rFonts w:eastAsia="Times New Roman"/>
          <w:color w:val="000000"/>
          <w:sz w:val="20"/>
          <w:szCs w:val="20"/>
        </w:rPr>
        <w:t>We use freestanding derivative instruments to hedge v</w:t>
      </w:r>
      <w:r>
        <w:rPr>
          <w:rFonts w:eastAsia="Times New Roman"/>
          <w:color w:val="000000"/>
          <w:sz w:val="20"/>
          <w:szCs w:val="20"/>
        </w:rPr>
        <w:t xml:space="preserve">arious capital market risks in our products, including: (i) certain guarantees, some of which are reported as embedded derivatives; (ii) current or future changes in the fair value of our assets and liabilities; and (iii) current or future changes in cash </w:t>
      </w:r>
      <w:r>
        <w:rPr>
          <w:rFonts w:eastAsia="Times New Roman"/>
          <w:color w:val="000000"/>
          <w:sz w:val="20"/>
          <w:szCs w:val="20"/>
        </w:rPr>
        <w:t xml:space="preserve">flows. All derivatives, whether freestanding or embedded, are required to be carried on the balance sheet at fair value with changes reflected in either net income (loss) or in OCI, depending on the type of hedge. Below is a summary of critical accounting </w:t>
      </w:r>
      <w:r>
        <w:rPr>
          <w:rFonts w:eastAsia="Times New Roman"/>
          <w:color w:val="000000"/>
          <w:sz w:val="20"/>
          <w:szCs w:val="20"/>
        </w:rPr>
        <w:t>estimates by type of derivative.</w:t>
      </w:r>
    </w:p>
    <w:p w:rsidR="00000000" w:rsidRDefault="005B0BC3">
      <w:pPr>
        <w:jc w:val="center"/>
        <w:divId w:val="1379935869"/>
        <w:rPr>
          <w:rFonts w:eastAsia="Times New Roman"/>
        </w:rPr>
      </w:pPr>
      <w:r>
        <w:rPr>
          <w:rFonts w:eastAsia="Times New Roman"/>
          <w:color w:val="000000"/>
          <w:sz w:val="20"/>
          <w:szCs w:val="20"/>
        </w:rPr>
        <w:t>119</w:t>
      </w:r>
    </w:p>
    <w:p w:rsidR="00000000" w:rsidRDefault="005B0BC3">
      <w:pPr>
        <w:rPr>
          <w:rFonts w:eastAsia="Times New Roman"/>
        </w:rPr>
      </w:pPr>
      <w:r>
        <w:rPr>
          <w:rFonts w:eastAsia="Times New Roman"/>
        </w:rPr>
        <w:pict>
          <v:rect id="_x0000_i1157" style="width:0;height:1.5pt" o:hralign="center" o:hrstd="t" o:hr="t" fillcolor="#a0a0a0" stroked="f"/>
        </w:pict>
      </w:r>
    </w:p>
    <w:p w:rsidR="00000000" w:rsidRDefault="005B0BC3">
      <w:pPr>
        <w:divId w:val="1387142631"/>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divId w:val="505511797"/>
        <w:rPr>
          <w:rFonts w:eastAsia="Times New Roman"/>
        </w:rPr>
      </w:pPr>
      <w:r>
        <w:rPr>
          <w:rFonts w:eastAsia="Times New Roman"/>
          <w:i/>
          <w:iCs/>
          <w:color w:val="000000"/>
          <w:sz w:val="20"/>
          <w:szCs w:val="20"/>
          <w:u w:val="single"/>
        </w:rPr>
        <w:t xml:space="preserve">Freestanding Derivatives </w:t>
      </w:r>
    </w:p>
    <w:p w:rsidR="00000000" w:rsidRDefault="005B0BC3">
      <w:pPr>
        <w:ind w:firstLine="360"/>
        <w:divId w:val="1339113935"/>
        <w:rPr>
          <w:rFonts w:eastAsia="Times New Roman"/>
        </w:rPr>
      </w:pPr>
      <w:r>
        <w:rPr>
          <w:rFonts w:eastAsia="Times New Roman"/>
          <w:color w:val="000000"/>
          <w:sz w:val="20"/>
          <w:szCs w:val="20"/>
        </w:rPr>
        <w:t>The determination of the estimated fair value of freestanding derivatives, when quoted market values are not available, is based on market standard valuation methodologies and inputs that management believes are consistent with what other market participan</w:t>
      </w:r>
      <w:r>
        <w:rPr>
          <w:rFonts w:eastAsia="Times New Roman"/>
          <w:color w:val="000000"/>
          <w:sz w:val="20"/>
          <w:szCs w:val="20"/>
        </w:rPr>
        <w:t>ts would use when pricing such instruments. Derivative valuations can be affected by changes in interest rates, foreign currency exchange rates, financial indices, credit spreads, default risk, nonperformance risk, volatility, liquidity and changes in esti</w:t>
      </w:r>
      <w:r>
        <w:rPr>
          <w:rFonts w:eastAsia="Times New Roman"/>
          <w:color w:val="000000"/>
          <w:sz w:val="20"/>
          <w:szCs w:val="20"/>
        </w:rPr>
        <w:t xml:space="preserve">mates and assumptions used in the pricing models. See Note 8 of the Notes to these Consolidated Financial Statements for additional details on significant inputs into the OTC derivative pricing models and credit risk adjustment. </w:t>
      </w:r>
    </w:p>
    <w:p w:rsidR="00000000" w:rsidRDefault="005B0BC3">
      <w:pPr>
        <w:divId w:val="1353263701"/>
        <w:rPr>
          <w:rFonts w:eastAsia="Times New Roman"/>
        </w:rPr>
      </w:pPr>
      <w:r>
        <w:rPr>
          <w:rFonts w:eastAsia="Times New Roman"/>
          <w:i/>
          <w:iCs/>
          <w:color w:val="000000"/>
          <w:sz w:val="20"/>
          <w:szCs w:val="20"/>
          <w:u w:val="single"/>
        </w:rPr>
        <w:t xml:space="preserve">Embedded Derivatives </w:t>
      </w:r>
    </w:p>
    <w:p w:rsidR="00000000" w:rsidRDefault="005B0BC3">
      <w:pPr>
        <w:ind w:firstLine="360"/>
        <w:divId w:val="462431240"/>
        <w:rPr>
          <w:rFonts w:eastAsia="Times New Roman"/>
        </w:rPr>
      </w:pPr>
      <w:r>
        <w:rPr>
          <w:rFonts w:eastAsia="Times New Roman"/>
          <w:color w:val="000000"/>
          <w:sz w:val="20"/>
          <w:szCs w:val="20"/>
        </w:rPr>
        <w:t>We i</w:t>
      </w:r>
      <w:r>
        <w:rPr>
          <w:rFonts w:eastAsia="Times New Roman"/>
          <w:color w:val="000000"/>
          <w:sz w:val="20"/>
          <w:szCs w:val="20"/>
        </w:rPr>
        <w:t>ssue variable annuity products with guaranteed minimum benefits, some of which are embedded derivatives measured at estimated fair value separately from the host variable annuity product, with changes in estimated fair value reported in net derivative gain</w:t>
      </w:r>
      <w:r>
        <w:rPr>
          <w:rFonts w:eastAsia="Times New Roman"/>
          <w:color w:val="000000"/>
          <w:sz w:val="20"/>
          <w:szCs w:val="20"/>
        </w:rPr>
        <w:t>s (losses). The estimated fair values of these embedded derivatives are determined based on the present value of projected future benefits minus the present value of projected future fees attributable to the guarantee. The projections of future benefits an</w:t>
      </w:r>
      <w:r>
        <w:rPr>
          <w:rFonts w:eastAsia="Times New Roman"/>
          <w:color w:val="000000"/>
          <w:sz w:val="20"/>
          <w:szCs w:val="20"/>
        </w:rPr>
        <w:t>d future fees require capital markets and actuarial assumptions, including expectations concerning policyholder behavior. A risk-neutral valuation methodology is used under which the cash flows from the guarantees are projected under multiple capital marke</w:t>
      </w:r>
      <w:r>
        <w:rPr>
          <w:rFonts w:eastAsia="Times New Roman"/>
          <w:color w:val="000000"/>
          <w:sz w:val="20"/>
          <w:szCs w:val="20"/>
        </w:rPr>
        <w:t xml:space="preserve">t scenarios using observable risk-free rates. </w:t>
      </w:r>
    </w:p>
    <w:p w:rsidR="00000000" w:rsidRDefault="005B0BC3">
      <w:pPr>
        <w:ind w:firstLine="360"/>
        <w:divId w:val="1692995991"/>
        <w:rPr>
          <w:rFonts w:eastAsia="Times New Roman"/>
        </w:rPr>
      </w:pPr>
      <w:r>
        <w:rPr>
          <w:rFonts w:eastAsia="Times New Roman"/>
          <w:color w:val="000000"/>
          <w:sz w:val="20"/>
          <w:szCs w:val="20"/>
        </w:rPr>
        <w:t>Market conditions including, but not limited to, changes in interest rates, equity indices, market volatility and variations in actuarial assumptions, including policyholder behavior, mortality and risk margin</w:t>
      </w:r>
      <w:r>
        <w:rPr>
          <w:rFonts w:eastAsia="Times New Roman"/>
          <w:color w:val="000000"/>
          <w:sz w:val="20"/>
          <w:szCs w:val="20"/>
        </w:rPr>
        <w:t>s related to non-capital market inputs, as well as changes in our nonperformance risk adjustment may result in significant fluctuations in the estimated fair value of the guarantees that could materially affect net income. Changes to actuarial assumptions,</w:t>
      </w:r>
      <w:r>
        <w:rPr>
          <w:rFonts w:eastAsia="Times New Roman"/>
          <w:color w:val="000000"/>
          <w:sz w:val="20"/>
          <w:szCs w:val="20"/>
        </w:rPr>
        <w:t xml:space="preserve"> principally related to contract holder behavior such as annuitization utilization and withdrawals associated with GMIB riders, can result in a change of expected future cash outflows of a guarantee between the accrual-based model for insurance liabilities</w:t>
      </w:r>
      <w:r>
        <w:rPr>
          <w:rFonts w:eastAsia="Times New Roman"/>
          <w:color w:val="000000"/>
          <w:sz w:val="20"/>
          <w:szCs w:val="20"/>
        </w:rPr>
        <w:t xml:space="preserve"> and the fair-value based model for embedded derivatives. See Note 2 of the Notes to these Consolidated Financial Statements for additional information relating to the determination of the accounting model. Risk margins are established to capture the non-c</w:t>
      </w:r>
      <w:r>
        <w:rPr>
          <w:rFonts w:eastAsia="Times New Roman"/>
          <w:color w:val="000000"/>
          <w:sz w:val="20"/>
          <w:szCs w:val="20"/>
        </w:rPr>
        <w:t>apital market risks of the instrument which represent the additional compensation a market participant would require to assume the risks related to the uncertainties in certain actuarial assumptions. For direct liabilities, risk margins are applied to non-</w:t>
      </w:r>
      <w:r>
        <w:rPr>
          <w:rFonts w:eastAsia="Times New Roman"/>
          <w:color w:val="000000"/>
          <w:sz w:val="20"/>
          <w:szCs w:val="20"/>
        </w:rPr>
        <w:t>capital market risk assumptions, while for reinsurance asset risk margins are based on the cost of capital a theoretical market participant would require to assume the risks. The establishment of risk margins requires the use of significant management judg</w:t>
      </w:r>
      <w:r>
        <w:rPr>
          <w:rFonts w:eastAsia="Times New Roman"/>
          <w:color w:val="000000"/>
          <w:sz w:val="20"/>
          <w:szCs w:val="20"/>
        </w:rPr>
        <w:t xml:space="preserve">ment, including assumptions of the amount and cost of capital needed to cover the guarantees. </w:t>
      </w:r>
    </w:p>
    <w:p w:rsidR="00000000" w:rsidRDefault="005B0BC3">
      <w:pPr>
        <w:ind w:firstLine="360"/>
        <w:divId w:val="1515848528"/>
        <w:rPr>
          <w:rFonts w:eastAsia="Times New Roman"/>
        </w:rPr>
      </w:pPr>
      <w:r>
        <w:rPr>
          <w:rFonts w:eastAsia="Times New Roman"/>
          <w:color w:val="000000"/>
          <w:sz w:val="20"/>
          <w:szCs w:val="20"/>
        </w:rPr>
        <w:t>With respect to assumptions regarding policyholder behavior, we have recorded charges, and in some cases benefits, in prior years as a result of the availability</w:t>
      </w:r>
      <w:r>
        <w:rPr>
          <w:rFonts w:eastAsia="Times New Roman"/>
          <w:color w:val="000000"/>
          <w:sz w:val="20"/>
          <w:szCs w:val="20"/>
        </w:rPr>
        <w:t xml:space="preserve"> of sufficient and credible data at the conclusion of each review. </w:t>
      </w:r>
    </w:p>
    <w:p w:rsidR="00000000" w:rsidRDefault="005B0BC3">
      <w:pPr>
        <w:ind w:firstLine="360"/>
        <w:divId w:val="279798036"/>
        <w:rPr>
          <w:rFonts w:eastAsia="Times New Roman"/>
        </w:rPr>
      </w:pPr>
      <w:r>
        <w:rPr>
          <w:rFonts w:eastAsia="Times New Roman"/>
          <w:color w:val="000000"/>
          <w:sz w:val="20"/>
          <w:szCs w:val="20"/>
        </w:rPr>
        <w:t>We ceded the risk associated with certain of the variable annuity products with GMxB features described in the preceding paragraphs. The value of the embedded derivatives on the ceded risk</w:t>
      </w:r>
      <w:r>
        <w:rPr>
          <w:rFonts w:eastAsia="Times New Roman"/>
          <w:color w:val="000000"/>
          <w:sz w:val="20"/>
          <w:szCs w:val="20"/>
        </w:rPr>
        <w:t xml:space="preserve"> is determined using a methodology consistent with that described previously for the guarantees directly written by us with the exception of the input for nonperformance risk that reflects the credit of the reinsurer. However, because certain of the reinsu</w:t>
      </w:r>
      <w:r>
        <w:rPr>
          <w:rFonts w:eastAsia="Times New Roman"/>
          <w:color w:val="000000"/>
          <w:sz w:val="20"/>
          <w:szCs w:val="20"/>
        </w:rPr>
        <w:t>red guarantees do not meet the definition of an embedded derivative and, thus are not accounted for at fair value, significant fluctuations in net income may occur when the change in the fair value of the reinsurance recoverable is recorded in net income w</w:t>
      </w:r>
      <w:r>
        <w:rPr>
          <w:rFonts w:eastAsia="Times New Roman"/>
          <w:color w:val="000000"/>
          <w:sz w:val="20"/>
          <w:szCs w:val="20"/>
        </w:rPr>
        <w:t>ithout a corresponding and offsetting change in fair value of the directly written guaranteed liability.</w:t>
      </w:r>
    </w:p>
    <w:p w:rsidR="00000000" w:rsidRDefault="005B0BC3">
      <w:pPr>
        <w:divId w:val="1484396357"/>
        <w:rPr>
          <w:rFonts w:eastAsia="Times New Roman"/>
        </w:rPr>
      </w:pPr>
      <w:r>
        <w:rPr>
          <w:rFonts w:eastAsia="Times New Roman"/>
          <w:i/>
          <w:iCs/>
          <w:color w:val="000000"/>
          <w:sz w:val="20"/>
          <w:szCs w:val="20"/>
          <w:u w:val="single"/>
        </w:rPr>
        <w:t>Nonperformance Risk Adjustment</w:t>
      </w:r>
    </w:p>
    <w:p w:rsidR="00000000" w:rsidRDefault="005B0BC3">
      <w:pPr>
        <w:ind w:firstLine="360"/>
        <w:divId w:val="1002510089"/>
        <w:rPr>
          <w:rFonts w:eastAsia="Times New Roman"/>
        </w:rPr>
      </w:pPr>
      <w:r>
        <w:rPr>
          <w:rFonts w:eastAsia="Times New Roman"/>
          <w:color w:val="000000"/>
          <w:sz w:val="20"/>
          <w:szCs w:val="20"/>
        </w:rPr>
        <w:t>The valuation of our embedded derivatives includes an adjustment for the risk that we fail to satisfy our obligations, w</w:t>
      </w:r>
      <w:r>
        <w:rPr>
          <w:rFonts w:eastAsia="Times New Roman"/>
          <w:color w:val="000000"/>
          <w:sz w:val="20"/>
          <w:szCs w:val="20"/>
        </w:rPr>
        <w:t xml:space="preserve">hich we refer to as our nonperformance risk. The nonperformance risk adjustment, which is captured as a spread over the risk-free rate in determining the discount rate to discount the cash flows of the liability, is determined by taking into consideration </w:t>
      </w:r>
      <w:r>
        <w:rPr>
          <w:rFonts w:eastAsia="Times New Roman"/>
          <w:color w:val="000000"/>
          <w:sz w:val="20"/>
          <w:szCs w:val="20"/>
        </w:rPr>
        <w:t>publicly available information relating to spreads on corporate bonds in the secondary market comparable to Holdings’ financial strength rating.</w:t>
      </w:r>
    </w:p>
    <w:p w:rsidR="00000000" w:rsidRDefault="005B0BC3">
      <w:pPr>
        <w:ind w:firstLine="360"/>
        <w:divId w:val="805119792"/>
        <w:rPr>
          <w:rFonts w:eastAsia="Times New Roman"/>
        </w:rPr>
      </w:pPr>
      <w:r>
        <w:rPr>
          <w:rFonts w:eastAsia="Times New Roman"/>
          <w:color w:val="000000"/>
          <w:sz w:val="20"/>
          <w:szCs w:val="20"/>
        </w:rPr>
        <w:t>The table below illustrates the impact that a range of reasonably likely variances in credit spreads would have</w:t>
      </w:r>
      <w:r>
        <w:rPr>
          <w:rFonts w:eastAsia="Times New Roman"/>
          <w:color w:val="000000"/>
          <w:sz w:val="20"/>
          <w:szCs w:val="20"/>
        </w:rPr>
        <w:t xml:space="preserve"> on our consolidated balance sheet, excluding the effect of income tax, related to the embedded derivative valuation on certain variable annuity products measured at estimated fair value. Even when credit spreads do not change, the impact of the nonperform</w:t>
      </w:r>
      <w:r>
        <w:rPr>
          <w:rFonts w:eastAsia="Times New Roman"/>
          <w:color w:val="000000"/>
          <w:sz w:val="20"/>
          <w:szCs w:val="20"/>
        </w:rPr>
        <w:t>ance risk adjustment on fair value will change when the cash flows within the fair value measurement change. The table only reflects the impact of changes in credit spreads on our consolidated financial statements included elsewhere herein and not these ot</w:t>
      </w:r>
      <w:r>
        <w:rPr>
          <w:rFonts w:eastAsia="Times New Roman"/>
          <w:color w:val="000000"/>
          <w:sz w:val="20"/>
          <w:szCs w:val="20"/>
        </w:rPr>
        <w:t xml:space="preserve">her potential changes. In determining the ranges, we have considered current market conditions, as well as the market level of </w:t>
      </w:r>
    </w:p>
    <w:p w:rsidR="00000000" w:rsidRDefault="005B0BC3">
      <w:pPr>
        <w:jc w:val="center"/>
        <w:divId w:val="1931425648"/>
        <w:rPr>
          <w:rFonts w:eastAsia="Times New Roman"/>
        </w:rPr>
      </w:pPr>
      <w:r>
        <w:rPr>
          <w:rFonts w:eastAsia="Times New Roman"/>
          <w:color w:val="000000"/>
          <w:sz w:val="20"/>
          <w:szCs w:val="20"/>
        </w:rPr>
        <w:t>120</w:t>
      </w:r>
    </w:p>
    <w:p w:rsidR="00000000" w:rsidRDefault="005B0BC3">
      <w:pPr>
        <w:rPr>
          <w:rFonts w:eastAsia="Times New Roman"/>
        </w:rPr>
      </w:pPr>
      <w:r>
        <w:rPr>
          <w:rFonts w:eastAsia="Times New Roman"/>
        </w:rPr>
        <w:pict>
          <v:rect id="_x0000_i1158" style="width:0;height:1.5pt" o:hralign="center" o:hrstd="t" o:hr="t" fillcolor="#a0a0a0" stroked="f"/>
        </w:pict>
      </w:r>
    </w:p>
    <w:p w:rsidR="00000000" w:rsidRDefault="005B0BC3">
      <w:pPr>
        <w:divId w:val="39021104"/>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divId w:val="236592931"/>
        <w:rPr>
          <w:rFonts w:eastAsia="Times New Roman"/>
        </w:rPr>
      </w:pPr>
      <w:r>
        <w:rPr>
          <w:rFonts w:eastAsia="Times New Roman"/>
          <w:color w:val="000000"/>
          <w:sz w:val="20"/>
          <w:szCs w:val="20"/>
        </w:rPr>
        <w:t>spreads th</w:t>
      </w:r>
      <w:r>
        <w:rPr>
          <w:rFonts w:eastAsia="Times New Roman"/>
          <w:color w:val="000000"/>
          <w:sz w:val="20"/>
          <w:szCs w:val="20"/>
        </w:rPr>
        <w:t>at can reasonably be anticipated over the near term. The ranges do not reflect extreme market conditions such as those experienced during the 2008–2009 financial crisis as we do not consider those to be reasonably likely events in the near future.</w:t>
      </w:r>
    </w:p>
    <w:tbl>
      <w:tblPr>
        <w:tblW w:w="5000" w:type="pct"/>
        <w:tblCellMar>
          <w:top w:w="15" w:type="dxa"/>
          <w:left w:w="15" w:type="dxa"/>
          <w:bottom w:w="15" w:type="dxa"/>
          <w:right w:w="15" w:type="dxa"/>
        </w:tblCellMar>
        <w:tblLook w:val="04A0" w:firstRow="1" w:lastRow="0" w:firstColumn="1" w:lastColumn="0" w:noHBand="0" w:noVBand="1"/>
      </w:tblPr>
      <w:tblGrid>
        <w:gridCol w:w="51"/>
        <w:gridCol w:w="5865"/>
        <w:gridCol w:w="36"/>
        <w:gridCol w:w="121"/>
        <w:gridCol w:w="2197"/>
        <w:gridCol w:w="36"/>
      </w:tblGrid>
      <w:tr w:rsidR="00000000">
        <w:trPr>
          <w:divId w:val="519928302"/>
        </w:trPr>
        <w:tc>
          <w:tcPr>
            <w:tcW w:w="50" w:type="pct"/>
            <w:vAlign w:val="center"/>
            <w:hideMark/>
          </w:tcPr>
          <w:p w:rsidR="00000000" w:rsidRDefault="005B0BC3">
            <w:pPr>
              <w:rPr>
                <w:rFonts w:eastAsia="Times New Roman"/>
              </w:rPr>
            </w:pPr>
          </w:p>
        </w:tc>
        <w:tc>
          <w:tcPr>
            <w:tcW w:w="354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134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519928302"/>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Future policyholders’ benefits and other policyholders’ liabilities</w:t>
            </w:r>
            <w:r>
              <w:rPr>
                <w:rFonts w:eastAsia="Times New Roman"/>
                <w:b/>
                <w:bCs/>
                <w:color w:val="000000"/>
                <w:sz w:val="16"/>
                <w:szCs w:val="16"/>
              </w:rPr>
              <w:br/>
              <w:t>(before reinsurance ceded)</w:t>
            </w:r>
          </w:p>
        </w:tc>
      </w:tr>
      <w:tr w:rsidR="00000000">
        <w:trPr>
          <w:divId w:val="519928302"/>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billions)</w:t>
            </w:r>
          </w:p>
        </w:tc>
      </w:tr>
      <w:tr w:rsidR="00000000">
        <w:trPr>
          <w:divId w:val="519928302"/>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100% increase in Holdings’ credit spread</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519928302"/>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As reported</w:t>
            </w: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519928302"/>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50% decrease in Holdings’ credit spread</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divId w:val="1345207008"/>
        <w:rPr>
          <w:rFonts w:eastAsia="Times New Roman"/>
        </w:rPr>
      </w:pPr>
    </w:p>
    <w:p w:rsidR="00000000" w:rsidRDefault="005B0BC3">
      <w:pPr>
        <w:ind w:firstLine="360"/>
        <w:divId w:val="855970902"/>
        <w:rPr>
          <w:rFonts w:eastAsia="Times New Roman"/>
        </w:rPr>
      </w:pPr>
      <w:r>
        <w:rPr>
          <w:rFonts w:eastAsia="Times New Roman"/>
          <w:color w:val="000000"/>
          <w:sz w:val="20"/>
          <w:szCs w:val="20"/>
        </w:rPr>
        <w:t>See Note 4 of the Notes to the Consolidated Financial Statements for additional information on our derivatives and hedging programs.</w:t>
      </w:r>
    </w:p>
    <w:p w:rsidR="00000000" w:rsidRDefault="005B0BC3">
      <w:pPr>
        <w:jc w:val="both"/>
        <w:divId w:val="1030835912"/>
        <w:rPr>
          <w:rFonts w:eastAsia="Times New Roman"/>
        </w:rPr>
      </w:pPr>
      <w:r>
        <w:rPr>
          <w:rFonts w:eastAsia="Times New Roman"/>
          <w:b/>
          <w:bCs/>
          <w:i/>
          <w:iCs/>
          <w:color w:val="000000"/>
          <w:sz w:val="20"/>
          <w:szCs w:val="20"/>
        </w:rPr>
        <w:t>Goodwill</w:t>
      </w:r>
    </w:p>
    <w:p w:rsidR="00000000" w:rsidRDefault="005B0BC3">
      <w:pPr>
        <w:ind w:firstLine="360"/>
        <w:divId w:val="2049328147"/>
        <w:rPr>
          <w:rFonts w:eastAsia="Times New Roman"/>
        </w:rPr>
      </w:pPr>
      <w:r>
        <w:rPr>
          <w:rFonts w:eastAsia="Times New Roman"/>
          <w:color w:val="000000"/>
          <w:sz w:val="20"/>
          <w:szCs w:val="20"/>
        </w:rPr>
        <w:t>Goodwill represents the excess of purchase price over the estimated fair value of identifiable net assets acquired</w:t>
      </w:r>
      <w:r>
        <w:rPr>
          <w:rFonts w:eastAsia="Times New Roman"/>
          <w:color w:val="000000"/>
          <w:sz w:val="20"/>
          <w:szCs w:val="20"/>
        </w:rPr>
        <w:t xml:space="preserve"> in a business combination. We test goodwill for recoverability each annual reporting period at December 31 and at interim periods if facts or circumstances are indicative of potential impairment. As of December 31, 2021, our goodwill of $4.6 billion resul</w:t>
      </w:r>
      <w:r>
        <w:rPr>
          <w:rFonts w:eastAsia="Times New Roman"/>
          <w:color w:val="000000"/>
          <w:sz w:val="20"/>
          <w:szCs w:val="20"/>
        </w:rPr>
        <w:t xml:space="preserve">ts solely from our investment in AB and is attributed to the Investment Management and Research segment, also deemed a reporting unit for purpose of assessing the recoverability of that goodwill. </w:t>
      </w:r>
    </w:p>
    <w:p w:rsidR="00000000" w:rsidRDefault="005B0BC3">
      <w:pPr>
        <w:ind w:firstLine="360"/>
        <w:divId w:val="894896935"/>
        <w:rPr>
          <w:rFonts w:eastAsia="Times New Roman"/>
        </w:rPr>
      </w:pPr>
      <w:r>
        <w:rPr>
          <w:rFonts w:eastAsia="Times New Roman"/>
          <w:color w:val="000000"/>
          <w:sz w:val="20"/>
          <w:szCs w:val="20"/>
        </w:rPr>
        <w:t>Estimating the fair value of reporting units for the purpos</w:t>
      </w:r>
      <w:r>
        <w:rPr>
          <w:rFonts w:eastAsia="Times New Roman"/>
          <w:color w:val="000000"/>
          <w:sz w:val="20"/>
          <w:szCs w:val="20"/>
        </w:rPr>
        <w:t>e of goodwill impairment testing is a subjective process that involves the use of significant judgements by management. Estimates of fair value are inherently uncertain and represent management’s reasonable expectation regarding future developments, giving</w:t>
      </w:r>
      <w:r>
        <w:rPr>
          <w:rFonts w:eastAsia="Times New Roman"/>
          <w:color w:val="000000"/>
          <w:sz w:val="20"/>
          <w:szCs w:val="20"/>
        </w:rPr>
        <w:t xml:space="preserve"> consideration to internal strategic plans and general market and economic forecasts. On an annual basis, or when circumstances warrant, goodwill is tested for impairment utilizing the market approach, where the fair value of the reporting unit is based on</w:t>
      </w:r>
      <w:r>
        <w:rPr>
          <w:rFonts w:eastAsia="Times New Roman"/>
          <w:color w:val="000000"/>
          <w:sz w:val="20"/>
          <w:szCs w:val="20"/>
        </w:rPr>
        <w:t xml:space="preserve"> its adjusted market valuation assuming a control premium.</w:t>
      </w:r>
    </w:p>
    <w:p w:rsidR="00000000" w:rsidRDefault="005B0BC3">
      <w:pPr>
        <w:jc w:val="both"/>
        <w:divId w:val="1716663251"/>
        <w:rPr>
          <w:rFonts w:eastAsia="Times New Roman"/>
        </w:rPr>
      </w:pPr>
      <w:r>
        <w:rPr>
          <w:rFonts w:eastAsia="Times New Roman"/>
          <w:b/>
          <w:bCs/>
          <w:i/>
          <w:iCs/>
          <w:color w:val="000000"/>
          <w:sz w:val="20"/>
          <w:szCs w:val="20"/>
        </w:rPr>
        <w:t xml:space="preserve">Litigation and Regulatory Contingencies </w:t>
      </w:r>
    </w:p>
    <w:p w:rsidR="00000000" w:rsidRDefault="005B0BC3">
      <w:pPr>
        <w:ind w:firstLine="360"/>
        <w:divId w:val="809399562"/>
        <w:rPr>
          <w:rFonts w:eastAsia="Times New Roman"/>
        </w:rPr>
      </w:pPr>
      <w:r>
        <w:rPr>
          <w:rFonts w:eastAsia="Times New Roman"/>
          <w:color w:val="000000"/>
          <w:sz w:val="20"/>
          <w:szCs w:val="20"/>
        </w:rPr>
        <w:t>We are a party to a number of legal actions and are involved in a number of regulatory investigations. Given the inherent unpredictability of these matters,</w:t>
      </w:r>
      <w:r>
        <w:rPr>
          <w:rFonts w:eastAsia="Times New Roman"/>
          <w:color w:val="000000"/>
          <w:sz w:val="20"/>
          <w:szCs w:val="20"/>
        </w:rPr>
        <w:t xml:space="preserve"> it is difficult to estimate the impact on our financial position, results of operations and cash flows. </w:t>
      </w:r>
    </w:p>
    <w:p w:rsidR="00000000" w:rsidRDefault="005B0BC3">
      <w:pPr>
        <w:ind w:firstLine="360"/>
        <w:divId w:val="973757404"/>
        <w:rPr>
          <w:rFonts w:eastAsia="Times New Roman"/>
        </w:rPr>
      </w:pPr>
      <w:r>
        <w:rPr>
          <w:rFonts w:eastAsia="Times New Roman"/>
          <w:color w:val="000000"/>
          <w:sz w:val="20"/>
          <w:szCs w:val="20"/>
        </w:rPr>
        <w:t>Liabilities are established when it is probable that a loss has been incurred and the amount of the loss can be reasonably estimated. On a quarterly a</w:t>
      </w:r>
      <w:r>
        <w:rPr>
          <w:rFonts w:eastAsia="Times New Roman"/>
          <w:color w:val="000000"/>
          <w:sz w:val="20"/>
          <w:szCs w:val="20"/>
        </w:rPr>
        <w:t>nd annual basis, we review relevant information with respect to liabilities for litigation, regulatory investigations and litigation-related contingencies to be reflected in our consolidated financial statements included elsewhere herein. See Note 17 of th</w:t>
      </w:r>
      <w:r>
        <w:rPr>
          <w:rFonts w:eastAsia="Times New Roman"/>
          <w:color w:val="000000"/>
          <w:sz w:val="20"/>
          <w:szCs w:val="20"/>
        </w:rPr>
        <w:t>e Notes to the Consolidated Financial Statements for information regarding our assessment of litigation contingencies.</w:t>
      </w:r>
    </w:p>
    <w:p w:rsidR="00000000" w:rsidRDefault="005B0BC3">
      <w:pPr>
        <w:jc w:val="both"/>
        <w:divId w:val="429084724"/>
        <w:rPr>
          <w:rFonts w:eastAsia="Times New Roman"/>
        </w:rPr>
      </w:pPr>
      <w:r>
        <w:rPr>
          <w:rFonts w:eastAsia="Times New Roman"/>
          <w:b/>
          <w:bCs/>
          <w:i/>
          <w:iCs/>
          <w:color w:val="000000"/>
          <w:sz w:val="20"/>
          <w:szCs w:val="20"/>
        </w:rPr>
        <w:t>Income Taxes</w:t>
      </w:r>
    </w:p>
    <w:p w:rsidR="00000000" w:rsidRDefault="005B0BC3">
      <w:pPr>
        <w:ind w:firstLine="360"/>
        <w:divId w:val="162136787"/>
        <w:rPr>
          <w:rFonts w:eastAsia="Times New Roman"/>
        </w:rPr>
      </w:pPr>
      <w:r>
        <w:rPr>
          <w:rFonts w:eastAsia="Times New Roman"/>
          <w:color w:val="000000"/>
          <w:sz w:val="20"/>
          <w:szCs w:val="20"/>
        </w:rPr>
        <w:t xml:space="preserve">Income taxes represent the net amount of income taxes that we expect to pay to or receive from various taxing jurisdictions </w:t>
      </w:r>
      <w:r>
        <w:rPr>
          <w:rFonts w:eastAsia="Times New Roman"/>
          <w:color w:val="000000"/>
          <w:sz w:val="20"/>
          <w:szCs w:val="20"/>
        </w:rPr>
        <w:t>in connection with its operations. We provide for Federal and state income taxes currently payable, as well as those deferred due to temporary differences between the financial reporting and tax bases of assets and liabilities. Deferred tax assets and liab</w:t>
      </w:r>
      <w:r>
        <w:rPr>
          <w:rFonts w:eastAsia="Times New Roman"/>
          <w:color w:val="000000"/>
          <w:sz w:val="20"/>
          <w:szCs w:val="20"/>
        </w:rPr>
        <w:t>ilities are measured at the balance sheet date using enacted tax rates expected to apply to taxable income in the years the temporary differences are expected to reverse. The realization of deferred tax assets depends upon the existence of sufficient taxab</w:t>
      </w:r>
      <w:r>
        <w:rPr>
          <w:rFonts w:eastAsia="Times New Roman"/>
          <w:color w:val="000000"/>
          <w:sz w:val="20"/>
          <w:szCs w:val="20"/>
        </w:rPr>
        <w:t>le income within the carryforward periods under the tax law in the applicable jurisdiction. Valuation allowances are established when management determines, based on available information, that it is more likely than not that deferred tax assets will not b</w:t>
      </w:r>
      <w:r>
        <w:rPr>
          <w:rFonts w:eastAsia="Times New Roman"/>
          <w:color w:val="000000"/>
          <w:sz w:val="20"/>
          <w:szCs w:val="20"/>
        </w:rPr>
        <w:t>e realized. Management considers all available evidence including past operating results, the existence of cumulative losses in the most recent years, forecasted earnings, future taxable income and prudent and feasible tax planning strategies. Our accounti</w:t>
      </w:r>
      <w:r>
        <w:rPr>
          <w:rFonts w:eastAsia="Times New Roman"/>
          <w:color w:val="000000"/>
          <w:sz w:val="20"/>
          <w:szCs w:val="20"/>
        </w:rPr>
        <w:t>ng for income taxes represents management’s best estimate of the tax consequences of various events and transactions.</w:t>
      </w:r>
    </w:p>
    <w:p w:rsidR="00000000" w:rsidRDefault="005B0BC3">
      <w:pPr>
        <w:ind w:firstLine="360"/>
        <w:divId w:val="1356927469"/>
        <w:rPr>
          <w:rFonts w:eastAsia="Times New Roman"/>
        </w:rPr>
      </w:pPr>
      <w:r>
        <w:rPr>
          <w:rFonts w:eastAsia="Times New Roman"/>
          <w:color w:val="000000"/>
          <w:sz w:val="20"/>
          <w:szCs w:val="20"/>
        </w:rPr>
        <w:t xml:space="preserve">Significant management judgment is required in determining the provision for income taxes and deferred tax assets and liabilities, and in </w:t>
      </w:r>
      <w:r>
        <w:rPr>
          <w:rFonts w:eastAsia="Times New Roman"/>
          <w:color w:val="000000"/>
          <w:sz w:val="20"/>
          <w:szCs w:val="20"/>
        </w:rPr>
        <w:t>evaluating our tax positions including evaluating uncertainties under the guidance for Accounting for Uncertainty in Income Taxes. Under the guidance, we determine whether it is more likely than not that a tax position will be sustained upon examination by</w:t>
      </w:r>
      <w:r>
        <w:rPr>
          <w:rFonts w:eastAsia="Times New Roman"/>
          <w:color w:val="000000"/>
          <w:sz w:val="20"/>
          <w:szCs w:val="20"/>
        </w:rPr>
        <w:t xml:space="preserve"> the appropriate taxing authorities before any part of the benefit can be recorded in the financial </w:t>
      </w:r>
    </w:p>
    <w:p w:rsidR="00000000" w:rsidRDefault="005B0BC3">
      <w:pPr>
        <w:jc w:val="center"/>
        <w:divId w:val="869148111"/>
        <w:rPr>
          <w:rFonts w:eastAsia="Times New Roman"/>
        </w:rPr>
      </w:pPr>
      <w:r>
        <w:rPr>
          <w:rFonts w:eastAsia="Times New Roman"/>
          <w:color w:val="000000"/>
          <w:sz w:val="20"/>
          <w:szCs w:val="20"/>
        </w:rPr>
        <w:t>121</w:t>
      </w:r>
    </w:p>
    <w:p w:rsidR="00000000" w:rsidRDefault="005B0BC3">
      <w:pPr>
        <w:rPr>
          <w:rFonts w:eastAsia="Times New Roman"/>
        </w:rPr>
      </w:pPr>
      <w:r>
        <w:rPr>
          <w:rFonts w:eastAsia="Times New Roman"/>
        </w:rPr>
        <w:pict>
          <v:rect id="_x0000_i1159" style="width:0;height:1.5pt" o:hralign="center" o:hrstd="t" o:hr="t" fillcolor="#a0a0a0" stroked="f"/>
        </w:pict>
      </w:r>
    </w:p>
    <w:p w:rsidR="00000000" w:rsidRDefault="005B0BC3">
      <w:pPr>
        <w:divId w:val="396518066"/>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divId w:val="1155878042"/>
        <w:rPr>
          <w:rFonts w:eastAsia="Times New Roman"/>
        </w:rPr>
      </w:pPr>
      <w:r>
        <w:rPr>
          <w:rFonts w:eastAsia="Times New Roman"/>
          <w:color w:val="000000"/>
          <w:sz w:val="20"/>
          <w:szCs w:val="20"/>
        </w:rPr>
        <w:t>statements. Tax positions are then measured at the largest amount of benefit that is greater than 50 percent likely of being realized upon settlement.</w:t>
      </w:r>
    </w:p>
    <w:p w:rsidR="00000000" w:rsidRDefault="005B0BC3">
      <w:pPr>
        <w:ind w:firstLine="360"/>
        <w:divId w:val="1117260493"/>
        <w:rPr>
          <w:rFonts w:eastAsia="Times New Roman"/>
        </w:rPr>
      </w:pPr>
      <w:r>
        <w:rPr>
          <w:rFonts w:eastAsia="Times New Roman"/>
          <w:color w:val="000000"/>
          <w:sz w:val="20"/>
          <w:szCs w:val="20"/>
        </w:rPr>
        <w:t>Our tax positions are reviewed quarterly, and the balances are adjusted as new information becomes availa</w:t>
      </w:r>
      <w:r>
        <w:rPr>
          <w:rFonts w:eastAsia="Times New Roman"/>
          <w:color w:val="000000"/>
          <w:sz w:val="20"/>
          <w:szCs w:val="20"/>
        </w:rPr>
        <w:t>ble.</w:t>
      </w:r>
    </w:p>
    <w:p w:rsidR="00000000" w:rsidRDefault="005B0BC3">
      <w:pPr>
        <w:jc w:val="both"/>
        <w:divId w:val="1897887909"/>
        <w:rPr>
          <w:rFonts w:eastAsia="Times New Roman"/>
        </w:rPr>
      </w:pPr>
      <w:r>
        <w:rPr>
          <w:rFonts w:eastAsia="Times New Roman"/>
          <w:b/>
          <w:bCs/>
          <w:i/>
          <w:iCs/>
          <w:color w:val="000000"/>
          <w:sz w:val="20"/>
          <w:szCs w:val="20"/>
        </w:rPr>
        <w:t>Adoption of New Accounting Pronouncements</w:t>
      </w:r>
    </w:p>
    <w:p w:rsidR="00000000" w:rsidRDefault="005B0BC3">
      <w:pPr>
        <w:ind w:firstLine="360"/>
        <w:divId w:val="2060205696"/>
        <w:rPr>
          <w:rFonts w:eastAsia="Times New Roman"/>
        </w:rPr>
      </w:pPr>
      <w:r>
        <w:rPr>
          <w:rFonts w:eastAsia="Times New Roman"/>
          <w:color w:val="000000"/>
          <w:sz w:val="20"/>
          <w:szCs w:val="20"/>
        </w:rPr>
        <w:t>See Note 2 of the Notes to these Consolidated Financial Statements for a complete discussion of newly issued accounting pronouncements.</w:t>
      </w:r>
    </w:p>
    <w:p w:rsidR="00000000" w:rsidRDefault="005B0BC3">
      <w:pPr>
        <w:divId w:val="1396391243"/>
        <w:rPr>
          <w:rFonts w:eastAsia="Times New Roman"/>
        </w:rPr>
      </w:pPr>
      <w:r>
        <w:rPr>
          <w:rFonts w:eastAsia="Times New Roman"/>
          <w:b/>
          <w:bCs/>
          <w:color w:val="000000"/>
          <w:sz w:val="20"/>
          <w:szCs w:val="20"/>
        </w:rPr>
        <w:t>Part II, Item 7A.</w:t>
      </w:r>
    </w:p>
    <w:p w:rsidR="00000000" w:rsidRDefault="005B0BC3">
      <w:pPr>
        <w:divId w:val="95254832"/>
        <w:rPr>
          <w:rFonts w:eastAsia="Times New Roman"/>
        </w:rPr>
      </w:pPr>
      <w:r>
        <w:rPr>
          <w:rFonts w:eastAsia="Times New Roman"/>
          <w:b/>
          <w:bCs/>
          <w:color w:val="000000"/>
          <w:sz w:val="20"/>
          <w:szCs w:val="20"/>
        </w:rPr>
        <w:t xml:space="preserve">        QUANTITATIVE AND QUALITATIVE DISCLOSURES ABOUT </w:t>
      </w:r>
      <w:r>
        <w:rPr>
          <w:rFonts w:eastAsia="Times New Roman"/>
          <w:b/>
          <w:bCs/>
          <w:color w:val="000000"/>
          <w:sz w:val="20"/>
          <w:szCs w:val="20"/>
        </w:rPr>
        <w:t xml:space="preserve">MARKET RISK </w:t>
      </w:r>
    </w:p>
    <w:p w:rsidR="00000000" w:rsidRDefault="005B0BC3">
      <w:pPr>
        <w:ind w:firstLine="360"/>
        <w:divId w:val="1143349042"/>
        <w:rPr>
          <w:rFonts w:eastAsia="Times New Roman"/>
        </w:rPr>
      </w:pPr>
      <w:r>
        <w:rPr>
          <w:rFonts w:eastAsia="Times New Roman"/>
          <w:color w:val="000000"/>
          <w:sz w:val="20"/>
          <w:szCs w:val="20"/>
        </w:rPr>
        <w:t>Our businesses are subject to financial, market, political and economic risks, as well as to risks inherent in our business operations. The discussion that follows provides additional information on market risks arising from our insurance asse</w:t>
      </w:r>
      <w:r>
        <w:rPr>
          <w:rFonts w:eastAsia="Times New Roman"/>
          <w:color w:val="000000"/>
          <w:sz w:val="20"/>
          <w:szCs w:val="20"/>
        </w:rPr>
        <w:t xml:space="preserve">t/liability management and investment management activities. Such risks are evaluated and managed by each business on a decentralized basis. Primary market risk exposure results from interest rate fluctuations, equity price movements and changes in credit </w:t>
      </w:r>
      <w:r>
        <w:rPr>
          <w:rFonts w:eastAsia="Times New Roman"/>
          <w:color w:val="000000"/>
          <w:sz w:val="20"/>
          <w:szCs w:val="20"/>
        </w:rPr>
        <w:t>quality.</w:t>
      </w:r>
    </w:p>
    <w:p w:rsidR="00000000" w:rsidRDefault="005B0BC3">
      <w:pPr>
        <w:divId w:val="1125809009"/>
        <w:rPr>
          <w:rFonts w:eastAsia="Times New Roman"/>
        </w:rPr>
      </w:pPr>
      <w:r>
        <w:rPr>
          <w:rFonts w:eastAsia="Times New Roman"/>
          <w:b/>
          <w:bCs/>
          <w:color w:val="000000"/>
          <w:sz w:val="20"/>
          <w:szCs w:val="20"/>
        </w:rPr>
        <w:t>Individual Retirement, Group Retirement and Protection Solutions Segments</w:t>
      </w:r>
    </w:p>
    <w:p w:rsidR="00000000" w:rsidRDefault="005B0BC3">
      <w:pPr>
        <w:ind w:firstLine="360"/>
        <w:divId w:val="986663993"/>
        <w:rPr>
          <w:rFonts w:eastAsia="Times New Roman"/>
        </w:rPr>
      </w:pPr>
      <w:r>
        <w:rPr>
          <w:rFonts w:eastAsia="Times New Roman"/>
          <w:color w:val="000000"/>
          <w:sz w:val="20"/>
          <w:szCs w:val="20"/>
        </w:rPr>
        <w:t>Our results significantly depend on profit margins or “spreads” between investment results from assets held in the General Account investment portfolio and interest credited</w:t>
      </w:r>
      <w:r>
        <w:rPr>
          <w:rFonts w:eastAsia="Times New Roman"/>
          <w:color w:val="000000"/>
          <w:sz w:val="20"/>
          <w:szCs w:val="20"/>
        </w:rPr>
        <w:t xml:space="preserve"> on individual insurance and annuity products. Management believes its fixed rate liabilities should be supported by a portfolio principally composed of fixed rate investments that generate predictable, steady rates of return. Although these assets are pur</w:t>
      </w:r>
      <w:r>
        <w:rPr>
          <w:rFonts w:eastAsia="Times New Roman"/>
          <w:color w:val="000000"/>
          <w:sz w:val="20"/>
          <w:szCs w:val="20"/>
        </w:rPr>
        <w:t>chased for long-term investment, the portfolio management strategy considers them AFS in response to changes in market interest rates, changes in prepayment risk, changes in relative values of asset sectors and individual securities and loans, changes in c</w:t>
      </w:r>
      <w:r>
        <w:rPr>
          <w:rFonts w:eastAsia="Times New Roman"/>
          <w:color w:val="000000"/>
          <w:sz w:val="20"/>
          <w:szCs w:val="20"/>
        </w:rPr>
        <w:t>redit quality outlook and other relevant factors. See the “Investments” section of Note 2 of the Notes to these Consolidated Financial Statements for the accounting policies for the investment portfolios. The objective of portfolio management is to maximiz</w:t>
      </w:r>
      <w:r>
        <w:rPr>
          <w:rFonts w:eastAsia="Times New Roman"/>
          <w:color w:val="000000"/>
          <w:sz w:val="20"/>
          <w:szCs w:val="20"/>
        </w:rPr>
        <w:t xml:space="preserve">e returns, taking into account interest rate and credit risks. Insurance asset/liability management includes strategies to minimize exposure to loss as interest rates and economic and market conditions change. As a result, the fixed maturity portfolio has </w:t>
      </w:r>
      <w:r>
        <w:rPr>
          <w:rFonts w:eastAsia="Times New Roman"/>
          <w:color w:val="000000"/>
          <w:sz w:val="20"/>
          <w:szCs w:val="20"/>
        </w:rPr>
        <w:t>modest exposure to call and prepayment risk and the vast majority of mortgage holdings are fixed rate mortgages that carry yield maintenance and prepayment provisions.</w:t>
      </w:r>
    </w:p>
    <w:p w:rsidR="00000000" w:rsidRDefault="005B0BC3">
      <w:pPr>
        <w:jc w:val="both"/>
        <w:divId w:val="1463186485"/>
        <w:rPr>
          <w:rFonts w:eastAsia="Times New Roman"/>
        </w:rPr>
      </w:pPr>
      <w:r>
        <w:rPr>
          <w:rFonts w:eastAsia="Times New Roman"/>
          <w:b/>
          <w:bCs/>
          <w:i/>
          <w:iCs/>
          <w:color w:val="000000"/>
          <w:sz w:val="20"/>
          <w:szCs w:val="20"/>
        </w:rPr>
        <w:t>Investments with Interest Rate Risk – Fair Value</w:t>
      </w:r>
    </w:p>
    <w:p w:rsidR="00000000" w:rsidRDefault="005B0BC3">
      <w:pPr>
        <w:ind w:firstLine="360"/>
        <w:divId w:val="1349478925"/>
        <w:rPr>
          <w:rFonts w:eastAsia="Times New Roman"/>
        </w:rPr>
      </w:pPr>
      <w:r>
        <w:rPr>
          <w:rFonts w:eastAsia="Times New Roman"/>
          <w:color w:val="000000"/>
          <w:sz w:val="20"/>
          <w:szCs w:val="20"/>
        </w:rPr>
        <w:t xml:space="preserve">Assets with interest rate risk include </w:t>
      </w:r>
      <w:r>
        <w:rPr>
          <w:rFonts w:eastAsia="Times New Roman"/>
          <w:color w:val="000000"/>
          <w:sz w:val="20"/>
          <w:szCs w:val="20"/>
        </w:rPr>
        <w:t xml:space="preserve">AFS and trading fixed maturities and mortgage loans that make up </w:t>
      </w:r>
      <w:r>
        <w:rPr>
          <w:rFonts w:eastAsia="Times New Roman"/>
          <w:color w:val="000000"/>
          <w:sz w:val="20"/>
          <w:szCs w:val="20"/>
          <w:shd w:val="clear" w:color="auto" w:fill="FFFFFF"/>
        </w:rPr>
        <w:t>83.7%</w:t>
      </w:r>
      <w:r>
        <w:rPr>
          <w:rFonts w:eastAsia="Times New Roman"/>
          <w:color w:val="000000"/>
          <w:sz w:val="20"/>
          <w:szCs w:val="20"/>
        </w:rPr>
        <w:t xml:space="preserve"> and 86.5% of the fair value of the General Account investment portfolio as of December </w:t>
      </w:r>
      <w:r>
        <w:rPr>
          <w:rFonts w:eastAsia="Times New Roman"/>
          <w:color w:val="000000"/>
          <w:sz w:val="20"/>
          <w:szCs w:val="20"/>
        </w:rPr>
        <w:t>31, 2021 and 2020, respectively. As part of our asset/liability management, quantitative analyses are used to model the impact various changes in interest rates have on assets with interest rate risk. The table that follows shows the impact an immediate on</w:t>
      </w:r>
      <w:r>
        <w:rPr>
          <w:rFonts w:eastAsia="Times New Roman"/>
          <w:color w:val="000000"/>
          <w:sz w:val="20"/>
          <w:szCs w:val="20"/>
        </w:rPr>
        <w:t>e percent increase/decrease in interest rates as of December 31, 2021 and 2020 would have on the fair value of fixed maturities and mortgage loans:</w:t>
      </w:r>
    </w:p>
    <w:p w:rsidR="00000000" w:rsidRDefault="005B0BC3">
      <w:pPr>
        <w:jc w:val="center"/>
        <w:divId w:val="191455447"/>
        <w:rPr>
          <w:rFonts w:eastAsia="Times New Roman"/>
        </w:rPr>
      </w:pPr>
      <w:r>
        <w:rPr>
          <w:rFonts w:eastAsia="Times New Roman"/>
          <w:color w:val="000000"/>
          <w:sz w:val="20"/>
          <w:szCs w:val="20"/>
        </w:rPr>
        <w:t>122</w:t>
      </w:r>
    </w:p>
    <w:p w:rsidR="00000000" w:rsidRDefault="005B0BC3">
      <w:pPr>
        <w:rPr>
          <w:rFonts w:eastAsia="Times New Roman"/>
        </w:rPr>
      </w:pPr>
      <w:r>
        <w:rPr>
          <w:rFonts w:eastAsia="Times New Roman"/>
        </w:rPr>
        <w:pict>
          <v:rect id="_x0000_i1160" style="width:0;height:1.5pt" o:hralign="center" o:hrstd="t" o:hr="t" fillcolor="#a0a0a0" stroked="f"/>
        </w:pict>
      </w:r>
    </w:p>
    <w:p w:rsidR="00000000" w:rsidRDefault="005B0BC3">
      <w:pPr>
        <w:divId w:val="1677808316"/>
        <w:rPr>
          <w:rFonts w:eastAsia="Times New Roman"/>
        </w:rPr>
      </w:pPr>
      <w:hyperlink w:anchor="i2ac35847634046b3a89f93d9b422e8f5_421" w:history="1">
        <w:r>
          <w:rPr>
            <w:rStyle w:val="a3"/>
            <w:rFonts w:eastAsia="Times New Roman"/>
            <w:b/>
            <w:bCs/>
            <w:sz w:val="20"/>
            <w:szCs w:val="20"/>
          </w:rPr>
          <w:t>Table of</w:t>
        </w:r>
        <w:r>
          <w:rPr>
            <w:rStyle w:val="a3"/>
            <w:rFonts w:eastAsia="Times New Roman"/>
            <w:b/>
            <w:bCs/>
            <w:sz w:val="20"/>
            <w:szCs w:val="20"/>
          </w:rPr>
          <w:t xml:space="preserve"> Contents</w:t>
        </w:r>
      </w:hyperlink>
    </w:p>
    <w:tbl>
      <w:tblPr>
        <w:tblW w:w="4985" w:type="pct"/>
        <w:jc w:val="center"/>
        <w:tblCellMar>
          <w:top w:w="15" w:type="dxa"/>
          <w:left w:w="15" w:type="dxa"/>
          <w:bottom w:w="15" w:type="dxa"/>
          <w:right w:w="15" w:type="dxa"/>
        </w:tblCellMar>
        <w:tblLook w:val="04A0" w:firstRow="1" w:lastRow="0" w:firstColumn="1" w:lastColumn="0" w:noHBand="0" w:noVBand="1"/>
      </w:tblPr>
      <w:tblGrid>
        <w:gridCol w:w="37"/>
        <w:gridCol w:w="3364"/>
        <w:gridCol w:w="36"/>
        <w:gridCol w:w="120"/>
        <w:gridCol w:w="600"/>
        <w:gridCol w:w="36"/>
        <w:gridCol w:w="36"/>
        <w:gridCol w:w="36"/>
        <w:gridCol w:w="36"/>
        <w:gridCol w:w="120"/>
        <w:gridCol w:w="584"/>
        <w:gridCol w:w="36"/>
        <w:gridCol w:w="36"/>
        <w:gridCol w:w="36"/>
        <w:gridCol w:w="36"/>
        <w:gridCol w:w="120"/>
        <w:gridCol w:w="500"/>
        <w:gridCol w:w="36"/>
        <w:gridCol w:w="36"/>
        <w:gridCol w:w="36"/>
        <w:gridCol w:w="36"/>
        <w:gridCol w:w="120"/>
        <w:gridCol w:w="600"/>
        <w:gridCol w:w="36"/>
        <w:gridCol w:w="36"/>
        <w:gridCol w:w="36"/>
        <w:gridCol w:w="36"/>
        <w:gridCol w:w="120"/>
        <w:gridCol w:w="584"/>
        <w:gridCol w:w="36"/>
        <w:gridCol w:w="36"/>
        <w:gridCol w:w="36"/>
        <w:gridCol w:w="36"/>
        <w:gridCol w:w="120"/>
        <w:gridCol w:w="500"/>
        <w:gridCol w:w="36"/>
      </w:tblGrid>
      <w:tr w:rsidR="00000000">
        <w:trPr>
          <w:divId w:val="1596941858"/>
          <w:jc w:val="center"/>
        </w:trPr>
        <w:tc>
          <w:tcPr>
            <w:tcW w:w="50" w:type="pct"/>
            <w:vAlign w:val="center"/>
            <w:hideMark/>
          </w:tcPr>
          <w:p w:rsidR="00000000" w:rsidRDefault="005B0BC3">
            <w:pPr>
              <w:rPr>
                <w:rFonts w:eastAsia="Times New Roman"/>
              </w:rPr>
            </w:pPr>
          </w:p>
        </w:tc>
        <w:tc>
          <w:tcPr>
            <w:tcW w:w="210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7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9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9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7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9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9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596941858"/>
          <w:jc w:val="center"/>
        </w:trPr>
        <w:tc>
          <w:tcPr>
            <w:tcW w:w="0" w:type="auto"/>
            <w:gridSpan w:val="36"/>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20"/>
                <w:szCs w:val="20"/>
              </w:rPr>
              <w:t>Interest Rate Risk Exposure</w:t>
            </w:r>
          </w:p>
        </w:tc>
      </w:tr>
      <w:tr w:rsidR="00000000">
        <w:trPr>
          <w:divId w:val="1596941858"/>
          <w:trHeight w:val="120"/>
          <w:jc w:val="center"/>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596941858"/>
          <w:jc w:val="center"/>
        </w:trPr>
        <w:tc>
          <w:tcPr>
            <w:tcW w:w="0" w:type="auto"/>
            <w:gridSpan w:val="3"/>
            <w:tcMar>
              <w:top w:w="30" w:type="dxa"/>
              <w:left w:w="20" w:type="dxa"/>
              <w:bottom w:w="30" w:type="dxa"/>
              <w:right w:w="20" w:type="dxa"/>
            </w:tcMar>
            <w:vAlign w:val="bottom"/>
            <w:hideMark/>
          </w:tcPr>
          <w:p w:rsidR="00000000" w:rsidRDefault="005B0BC3">
            <w:pPr>
              <w:spacing w:after="100"/>
              <w:divId w:val="2108234826"/>
              <w:rPr>
                <w:rFonts w:eastAsia="Times New Roman"/>
              </w:rPr>
            </w:pPr>
            <w:r>
              <w:rPr>
                <w:rFonts w:eastAsia="Times New Roman"/>
                <w:b/>
                <w:bCs/>
                <w:color w:val="000000"/>
                <w:sz w:val="16"/>
                <w:szCs w:val="16"/>
              </w:rPr>
              <w:t> </w:t>
            </w: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December 31, 2021</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December 31, 2020</w:t>
            </w:r>
          </w:p>
        </w:tc>
      </w:tr>
      <w:tr w:rsidR="00000000">
        <w:trPr>
          <w:divId w:val="1596941858"/>
          <w:jc w:val="center"/>
        </w:trPr>
        <w:tc>
          <w:tcPr>
            <w:tcW w:w="0" w:type="auto"/>
            <w:gridSpan w:val="3"/>
            <w:tcMar>
              <w:top w:w="30" w:type="dxa"/>
              <w:left w:w="20" w:type="dxa"/>
              <w:bottom w:w="30" w:type="dxa"/>
              <w:right w:w="20" w:type="dxa"/>
            </w:tcMar>
            <w:vAlign w:val="bottom"/>
            <w:hideMark/>
          </w:tcPr>
          <w:p w:rsidR="00000000" w:rsidRDefault="005B0BC3">
            <w:pPr>
              <w:spacing w:after="100"/>
              <w:divId w:val="1598902939"/>
              <w:rPr>
                <w:rFonts w:eastAsia="Times New Roman"/>
              </w:rPr>
            </w:pPr>
            <w:r>
              <w:rPr>
                <w:rFonts w:eastAsia="Times New Roman"/>
                <w:b/>
                <w:bCs/>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Impact of +1% Change</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Impact of -1% Change</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Fair Value</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Impact of +1% Change</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Impact of -1% Change</w:t>
            </w:r>
          </w:p>
        </w:tc>
      </w:tr>
      <w:tr w:rsidR="00000000">
        <w:trPr>
          <w:divId w:val="1596941858"/>
          <w:jc w:val="center"/>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1596941858"/>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u w:val="single"/>
              </w:rPr>
              <w:t>Fixed Income Investments:</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596941858"/>
          <w:jc w:val="center"/>
        </w:trPr>
        <w:tc>
          <w:tcPr>
            <w:tcW w:w="0" w:type="auto"/>
            <w:gridSpan w:val="3"/>
            <w:tcMar>
              <w:top w:w="30" w:type="dxa"/>
              <w:left w:w="155"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AFS securities:</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596941858"/>
          <w:jc w:val="center"/>
        </w:trPr>
        <w:tc>
          <w:tcPr>
            <w:tcW w:w="0" w:type="auto"/>
            <w:gridSpan w:val="3"/>
            <w:shd w:val="clear" w:color="auto" w:fill="CCEEFF"/>
            <w:tcMar>
              <w:top w:w="30" w:type="dxa"/>
              <w:left w:w="380" w:type="dxa"/>
              <w:bottom w:w="30" w:type="dxa"/>
              <w:right w:w="20" w:type="dxa"/>
            </w:tcMar>
            <w:hideMark/>
          </w:tcPr>
          <w:p w:rsidR="00000000" w:rsidRDefault="005B0BC3">
            <w:pPr>
              <w:spacing w:after="100"/>
              <w:rPr>
                <w:rFonts w:eastAsia="Times New Roman"/>
              </w:rPr>
            </w:pPr>
            <w:r>
              <w:rPr>
                <w:rFonts w:eastAsia="Times New Roman"/>
                <w:color w:val="000000"/>
                <w:sz w:val="20"/>
                <w:szCs w:val="20"/>
              </w:rPr>
              <w:t>Fixed rate</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70,242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(7,166)</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8,657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75,375 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(7,185)</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8,636 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596941858"/>
          <w:jc w:val="center"/>
        </w:trPr>
        <w:tc>
          <w:tcPr>
            <w:tcW w:w="0" w:type="auto"/>
            <w:gridSpan w:val="3"/>
            <w:shd w:val="clear" w:color="auto" w:fill="FFFFFF"/>
            <w:tcMar>
              <w:top w:w="30" w:type="dxa"/>
              <w:left w:w="380" w:type="dxa"/>
              <w:bottom w:w="30" w:type="dxa"/>
              <w:right w:w="20" w:type="dxa"/>
            </w:tcMar>
            <w:hideMark/>
          </w:tcPr>
          <w:p w:rsidR="00000000" w:rsidRDefault="005B0BC3">
            <w:pPr>
              <w:spacing w:after="100"/>
              <w:rPr>
                <w:rFonts w:eastAsia="Times New Roman"/>
              </w:rPr>
            </w:pPr>
            <w:r>
              <w:rPr>
                <w:rFonts w:eastAsia="Times New Roman"/>
                <w:color w:val="000000"/>
                <w:sz w:val="20"/>
                <w:szCs w:val="20"/>
              </w:rPr>
              <w:t>Floating rate</w:t>
            </w: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7,100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(77)</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5,130 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(55)</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596941858"/>
          <w:jc w:val="center"/>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Trading securities:</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596941858"/>
          <w:jc w:val="center"/>
        </w:trPr>
        <w:tc>
          <w:tcPr>
            <w:tcW w:w="0" w:type="auto"/>
            <w:gridSpan w:val="3"/>
            <w:shd w:val="clear" w:color="auto" w:fill="FFFFFF"/>
            <w:tcMar>
              <w:top w:w="30" w:type="dxa"/>
              <w:left w:w="380" w:type="dxa"/>
              <w:bottom w:w="30" w:type="dxa"/>
              <w:right w:w="20" w:type="dxa"/>
            </w:tcMar>
            <w:hideMark/>
          </w:tcPr>
          <w:p w:rsidR="00000000" w:rsidRDefault="005B0BC3">
            <w:pPr>
              <w:spacing w:after="100"/>
              <w:rPr>
                <w:rFonts w:eastAsia="Times New Roman"/>
              </w:rPr>
            </w:pPr>
            <w:r>
              <w:rPr>
                <w:rFonts w:eastAsia="Times New Roman"/>
                <w:color w:val="000000"/>
                <w:sz w:val="20"/>
                <w:szCs w:val="20"/>
              </w:rPr>
              <w:t>Fixed rate</w:t>
            </w: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4,852 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(99)</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596941858"/>
          <w:jc w:val="center"/>
        </w:trPr>
        <w:tc>
          <w:tcPr>
            <w:tcW w:w="0" w:type="auto"/>
            <w:gridSpan w:val="3"/>
            <w:shd w:val="clear" w:color="auto" w:fill="CCEEFF"/>
            <w:tcMar>
              <w:top w:w="30" w:type="dxa"/>
              <w:left w:w="380" w:type="dxa"/>
              <w:bottom w:w="30" w:type="dxa"/>
              <w:right w:w="20" w:type="dxa"/>
            </w:tcMar>
            <w:hideMark/>
          </w:tcPr>
          <w:p w:rsidR="00000000" w:rsidRDefault="005B0BC3">
            <w:pPr>
              <w:spacing w:after="100"/>
              <w:rPr>
                <w:rFonts w:eastAsia="Times New Roman"/>
              </w:rPr>
            </w:pPr>
            <w:r>
              <w:rPr>
                <w:rFonts w:eastAsia="Times New Roman"/>
                <w:color w:val="000000"/>
                <w:sz w:val="20"/>
                <w:szCs w:val="20"/>
              </w:rPr>
              <w:t>Floating rate</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596941858"/>
          <w:jc w:val="center"/>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Mortgage loans</w:t>
            </w: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14,308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(743)</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13,491 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(521)</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376 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ind w:firstLine="360"/>
        <w:divId w:val="1461387721"/>
        <w:rPr>
          <w:rFonts w:eastAsia="Times New Roman"/>
        </w:rPr>
      </w:pPr>
      <w:r>
        <w:rPr>
          <w:rFonts w:eastAsia="Times New Roman"/>
          <w:color w:val="000000"/>
          <w:sz w:val="20"/>
          <w:szCs w:val="20"/>
        </w:rPr>
        <w:t>A one percent increase/decrease in interest rates is a hypothetical rate scenario used to demonstrate potential risk; it does not represent management’s view of fut</w:t>
      </w:r>
      <w:r>
        <w:rPr>
          <w:rFonts w:eastAsia="Times New Roman"/>
          <w:color w:val="000000"/>
          <w:sz w:val="20"/>
          <w:szCs w:val="20"/>
        </w:rPr>
        <w:t xml:space="preserve">ure market changes. While these fair value measurements provide a representation of interest rate sensitivity of fixed maturities and mortgage loans, they are based on various portfolio exposures at a particular point in time and may not be representative </w:t>
      </w:r>
      <w:r>
        <w:rPr>
          <w:rFonts w:eastAsia="Times New Roman"/>
          <w:color w:val="000000"/>
          <w:sz w:val="20"/>
          <w:szCs w:val="20"/>
        </w:rPr>
        <w:t>of future market results. These exposures will change as a result of ongoing portfolio activities in response to management’s assessment of changing market conditions and available investment opportunities.</w:t>
      </w:r>
    </w:p>
    <w:p w:rsidR="00000000" w:rsidRDefault="005B0BC3">
      <w:pPr>
        <w:jc w:val="both"/>
        <w:divId w:val="294912552"/>
        <w:rPr>
          <w:rFonts w:eastAsia="Times New Roman"/>
        </w:rPr>
      </w:pPr>
      <w:r>
        <w:rPr>
          <w:rFonts w:eastAsia="Times New Roman"/>
          <w:b/>
          <w:bCs/>
          <w:i/>
          <w:iCs/>
          <w:color w:val="000000"/>
          <w:sz w:val="20"/>
          <w:szCs w:val="20"/>
        </w:rPr>
        <w:t>Investments with Equity Price Risk – Fair Value</w:t>
      </w:r>
    </w:p>
    <w:p w:rsidR="00000000" w:rsidRDefault="005B0BC3">
      <w:pPr>
        <w:ind w:firstLine="360"/>
        <w:divId w:val="956370329"/>
        <w:rPr>
          <w:rFonts w:eastAsia="Times New Roman"/>
        </w:rPr>
      </w:pPr>
      <w:r>
        <w:rPr>
          <w:rFonts w:eastAsia="Times New Roman"/>
          <w:color w:val="000000"/>
          <w:sz w:val="20"/>
          <w:szCs w:val="20"/>
        </w:rPr>
        <w:t>T</w:t>
      </w:r>
      <w:r>
        <w:rPr>
          <w:rFonts w:eastAsia="Times New Roman"/>
          <w:color w:val="000000"/>
          <w:sz w:val="20"/>
          <w:szCs w:val="20"/>
        </w:rPr>
        <w:t>he investment portfolios also have direct holdings of public and private equity securities. The following table shows the potential exposure from those equity security investments, measured in terms of fair value, to an immediate 10% increase/decrease in e</w:t>
      </w:r>
      <w:r>
        <w:rPr>
          <w:rFonts w:eastAsia="Times New Roman"/>
          <w:color w:val="000000"/>
          <w:sz w:val="20"/>
          <w:szCs w:val="20"/>
        </w:rPr>
        <w:t>quity prices from those prevailing as of December 31, 2021 and 2020:</w:t>
      </w:r>
    </w:p>
    <w:tbl>
      <w:tblPr>
        <w:tblW w:w="4948" w:type="pct"/>
        <w:jc w:val="center"/>
        <w:tblCellMar>
          <w:top w:w="15" w:type="dxa"/>
          <w:left w:w="15" w:type="dxa"/>
          <w:bottom w:w="15" w:type="dxa"/>
          <w:right w:w="15" w:type="dxa"/>
        </w:tblCellMar>
        <w:tblLook w:val="04A0" w:firstRow="1" w:lastRow="0" w:firstColumn="1" w:lastColumn="0" w:noHBand="0" w:noVBand="1"/>
      </w:tblPr>
      <w:tblGrid>
        <w:gridCol w:w="37"/>
        <w:gridCol w:w="2088"/>
        <w:gridCol w:w="36"/>
        <w:gridCol w:w="120"/>
        <w:gridCol w:w="620"/>
        <w:gridCol w:w="36"/>
        <w:gridCol w:w="36"/>
        <w:gridCol w:w="36"/>
        <w:gridCol w:w="36"/>
        <w:gridCol w:w="121"/>
        <w:gridCol w:w="982"/>
        <w:gridCol w:w="36"/>
        <w:gridCol w:w="36"/>
        <w:gridCol w:w="36"/>
        <w:gridCol w:w="36"/>
        <w:gridCol w:w="121"/>
        <w:gridCol w:w="865"/>
        <w:gridCol w:w="36"/>
        <w:gridCol w:w="36"/>
        <w:gridCol w:w="36"/>
        <w:gridCol w:w="36"/>
        <w:gridCol w:w="121"/>
        <w:gridCol w:w="381"/>
        <w:gridCol w:w="36"/>
        <w:gridCol w:w="36"/>
        <w:gridCol w:w="36"/>
        <w:gridCol w:w="36"/>
        <w:gridCol w:w="121"/>
        <w:gridCol w:w="922"/>
        <w:gridCol w:w="36"/>
        <w:gridCol w:w="36"/>
        <w:gridCol w:w="36"/>
        <w:gridCol w:w="36"/>
        <w:gridCol w:w="121"/>
        <w:gridCol w:w="808"/>
        <w:gridCol w:w="36"/>
      </w:tblGrid>
      <w:tr w:rsidR="00000000">
        <w:trPr>
          <w:jc w:val="center"/>
        </w:trPr>
        <w:tc>
          <w:tcPr>
            <w:tcW w:w="50" w:type="pct"/>
            <w:vAlign w:val="center"/>
            <w:hideMark/>
          </w:tcPr>
          <w:p w:rsidR="00000000" w:rsidRDefault="005B0BC3">
            <w:pPr>
              <w:ind w:firstLine="360"/>
              <w:rPr>
                <w:rFonts w:eastAsia="Times New Roman"/>
              </w:rPr>
            </w:pPr>
          </w:p>
        </w:tc>
        <w:tc>
          <w:tcPr>
            <w:tcW w:w="142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9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1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9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9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9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9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jc w:val="center"/>
        </w:trPr>
        <w:tc>
          <w:tcPr>
            <w:tcW w:w="0" w:type="auto"/>
            <w:gridSpan w:val="36"/>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20"/>
                <w:szCs w:val="20"/>
              </w:rPr>
              <w:t>Equity Price Risk Exposure</w:t>
            </w:r>
          </w:p>
        </w:tc>
      </w:tr>
      <w:tr w:rsidR="00000000">
        <w:trPr>
          <w:trHeight w:val="240"/>
          <w:jc w:val="center"/>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December 31, 2021</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December 31, 2020</w:t>
            </w:r>
          </w:p>
        </w:tc>
      </w:tr>
      <w:tr w:rsidR="00000000">
        <w:trPr>
          <w:jc w:val="center"/>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Impact of+10% Equity Price Change</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Impact of -10% Equity Price Change</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Fair Value</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Impact of+10% Equity Price Change</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Impact of -10% Equity Price Change</w:t>
            </w:r>
          </w:p>
        </w:tc>
      </w:tr>
      <w:tr w:rsidR="00000000">
        <w:trPr>
          <w:jc w:val="center"/>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Equity Investments</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(82)</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bl>
    <w:p w:rsidR="00000000" w:rsidRDefault="005B0BC3">
      <w:pPr>
        <w:divId w:val="1047726735"/>
        <w:rPr>
          <w:rFonts w:eastAsia="Times New Roman"/>
        </w:rPr>
      </w:pPr>
    </w:p>
    <w:p w:rsidR="00000000" w:rsidRDefault="005B0BC3">
      <w:pPr>
        <w:ind w:firstLine="360"/>
        <w:divId w:val="636109572"/>
        <w:rPr>
          <w:rFonts w:eastAsia="Times New Roman"/>
        </w:rPr>
      </w:pPr>
      <w:r>
        <w:rPr>
          <w:rFonts w:eastAsia="Times New Roman"/>
          <w:color w:val="000000"/>
          <w:sz w:val="20"/>
          <w:szCs w:val="20"/>
        </w:rPr>
        <w:t xml:space="preserve">A 10% decrease in equity prices is a hypothetical scenario used to calibrate potential risk and does not represent management’s view of future market changes. The fair value measurements shown are based on the equity securities </w:t>
      </w:r>
      <w:r>
        <w:rPr>
          <w:rFonts w:eastAsia="Times New Roman"/>
          <w:color w:val="000000"/>
          <w:sz w:val="20"/>
          <w:szCs w:val="20"/>
        </w:rPr>
        <w:t>portfolio exposures at a particular point in time and these exposures will change as a result of ongoing portfolio activities in response to management’s assessment of changing market conditions and available investment opportunities.</w:t>
      </w:r>
    </w:p>
    <w:p w:rsidR="00000000" w:rsidRDefault="005B0BC3">
      <w:pPr>
        <w:jc w:val="both"/>
        <w:divId w:val="2115829840"/>
        <w:rPr>
          <w:rFonts w:eastAsia="Times New Roman"/>
        </w:rPr>
      </w:pPr>
      <w:r>
        <w:rPr>
          <w:rFonts w:eastAsia="Times New Roman"/>
          <w:b/>
          <w:bCs/>
          <w:i/>
          <w:iCs/>
          <w:color w:val="000000"/>
          <w:sz w:val="20"/>
          <w:szCs w:val="20"/>
        </w:rPr>
        <w:t>Liabilities with Inte</w:t>
      </w:r>
      <w:r>
        <w:rPr>
          <w:rFonts w:eastAsia="Times New Roman"/>
          <w:b/>
          <w:bCs/>
          <w:i/>
          <w:iCs/>
          <w:color w:val="000000"/>
          <w:sz w:val="20"/>
          <w:szCs w:val="20"/>
        </w:rPr>
        <w:t>rest Rate Risk – Fair Value</w:t>
      </w:r>
    </w:p>
    <w:p w:rsidR="00000000" w:rsidRDefault="005B0BC3">
      <w:pPr>
        <w:ind w:firstLine="360"/>
        <w:divId w:val="13774038"/>
        <w:rPr>
          <w:rFonts w:eastAsia="Times New Roman"/>
        </w:rPr>
      </w:pPr>
      <w:r>
        <w:rPr>
          <w:rFonts w:eastAsia="Times New Roman"/>
          <w:color w:val="000000"/>
          <w:sz w:val="20"/>
          <w:szCs w:val="20"/>
        </w:rPr>
        <w:t xml:space="preserve">As of December 31, 2021 and 2020, the aggregate carrying values of insurance contracts with interest rate risk were </w:t>
      </w:r>
      <w:r>
        <w:rPr>
          <w:rFonts w:eastAsia="Times New Roman"/>
          <w:color w:val="000000"/>
          <w:sz w:val="20"/>
          <w:szCs w:val="20"/>
          <w:shd w:val="clear" w:color="auto" w:fill="FFFFFF"/>
        </w:rPr>
        <w:t>$15.4 billion and $11.0 billion, respectively. The aggregate fair value of such liabilities as of December 31, 2</w:t>
      </w:r>
      <w:r>
        <w:rPr>
          <w:rFonts w:eastAsia="Times New Roman"/>
          <w:color w:val="000000"/>
          <w:sz w:val="20"/>
          <w:szCs w:val="20"/>
          <w:shd w:val="clear" w:color="auto" w:fill="FFFFFF"/>
        </w:rPr>
        <w:t xml:space="preserve">021 and 2020 were $15.4 billion </w:t>
      </w:r>
      <w:r>
        <w:rPr>
          <w:rFonts w:eastAsia="Times New Roman"/>
          <w:color w:val="000000"/>
          <w:sz w:val="20"/>
          <w:szCs w:val="20"/>
        </w:rPr>
        <w:t>and $11.4 billion, respectively. The impact of a relative 1% decrease in interest rates would be an increase in the fair value of those liabilities of $355 million and $281 million, respectively. While these fair value measu</w:t>
      </w:r>
      <w:r>
        <w:rPr>
          <w:rFonts w:eastAsia="Times New Roman"/>
          <w:color w:val="000000"/>
          <w:sz w:val="20"/>
          <w:szCs w:val="20"/>
        </w:rPr>
        <w:t xml:space="preserve">rements provide a representation of the interest rate sensitivity of insurance liabilities, they are based on the composition of such liabilities at a particular point in time and may not be representative of future results. </w:t>
      </w:r>
    </w:p>
    <w:p w:rsidR="00000000" w:rsidRDefault="005B0BC3">
      <w:pPr>
        <w:ind w:firstLine="360"/>
        <w:divId w:val="411466026"/>
        <w:rPr>
          <w:rFonts w:eastAsia="Times New Roman"/>
        </w:rPr>
      </w:pPr>
      <w:r>
        <w:rPr>
          <w:rFonts w:eastAsia="Times New Roman"/>
          <w:color w:val="000000"/>
          <w:sz w:val="20"/>
          <w:szCs w:val="20"/>
        </w:rPr>
        <w:t xml:space="preserve">Asset/liability management is </w:t>
      </w:r>
      <w:r>
        <w:rPr>
          <w:rFonts w:eastAsia="Times New Roman"/>
          <w:color w:val="000000"/>
          <w:sz w:val="20"/>
          <w:szCs w:val="20"/>
        </w:rPr>
        <w:t>integrated into many aspects of the Individual Retirement, Group Retirement and Protection Solutions segments’ operations, including investment decisions, product development and determination of crediting rates. As part of our risk management process, num</w:t>
      </w:r>
      <w:r>
        <w:rPr>
          <w:rFonts w:eastAsia="Times New Roman"/>
          <w:color w:val="000000"/>
          <w:sz w:val="20"/>
          <w:szCs w:val="20"/>
        </w:rPr>
        <w:t>erous economic scenarios are modeled, including cash flow testing required for insurance regulatory purposes, to determine if existing assets would be sufficient to meet projected liability cash flows. Key variables include policyholder behavior, such as p</w:t>
      </w:r>
      <w:r>
        <w:rPr>
          <w:rFonts w:eastAsia="Times New Roman"/>
          <w:color w:val="000000"/>
          <w:sz w:val="20"/>
          <w:szCs w:val="20"/>
        </w:rPr>
        <w:t>ersistency, under differing crediting rate strategies.</w:t>
      </w:r>
    </w:p>
    <w:p w:rsidR="00000000" w:rsidRDefault="005B0BC3">
      <w:pPr>
        <w:jc w:val="center"/>
        <w:divId w:val="2081977678"/>
        <w:rPr>
          <w:rFonts w:eastAsia="Times New Roman"/>
        </w:rPr>
      </w:pPr>
      <w:r>
        <w:rPr>
          <w:rFonts w:eastAsia="Times New Roman"/>
          <w:color w:val="000000"/>
          <w:sz w:val="20"/>
          <w:szCs w:val="20"/>
        </w:rPr>
        <w:t>123</w:t>
      </w:r>
    </w:p>
    <w:p w:rsidR="00000000" w:rsidRDefault="005B0BC3">
      <w:pPr>
        <w:rPr>
          <w:rFonts w:eastAsia="Times New Roman"/>
        </w:rPr>
      </w:pPr>
      <w:r>
        <w:rPr>
          <w:rFonts w:eastAsia="Times New Roman"/>
        </w:rPr>
        <w:pict>
          <v:rect id="_x0000_i1161" style="width:0;height:1.5pt" o:hralign="center" o:hrstd="t" o:hr="t" fillcolor="#a0a0a0" stroked="f"/>
        </w:pict>
      </w:r>
    </w:p>
    <w:p w:rsidR="00000000" w:rsidRDefault="005B0BC3">
      <w:pPr>
        <w:divId w:val="682434834"/>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jc w:val="both"/>
        <w:divId w:val="1225995511"/>
        <w:rPr>
          <w:rFonts w:eastAsia="Times New Roman"/>
        </w:rPr>
      </w:pPr>
      <w:r>
        <w:rPr>
          <w:rFonts w:eastAsia="Times New Roman"/>
          <w:b/>
          <w:bCs/>
          <w:i/>
          <w:iCs/>
          <w:color w:val="000000"/>
          <w:sz w:val="20"/>
          <w:szCs w:val="20"/>
        </w:rPr>
        <w:t>Derivatives and Interest Rate and Equity Risks – Fair Value</w:t>
      </w:r>
    </w:p>
    <w:p w:rsidR="00000000" w:rsidRDefault="005B0BC3">
      <w:pPr>
        <w:ind w:firstLine="360"/>
        <w:divId w:val="1992437632"/>
        <w:rPr>
          <w:rFonts w:eastAsia="Times New Roman"/>
        </w:rPr>
      </w:pPr>
      <w:r>
        <w:rPr>
          <w:rFonts w:eastAsia="Times New Roman"/>
          <w:color w:val="000000"/>
          <w:sz w:val="20"/>
          <w:szCs w:val="20"/>
        </w:rPr>
        <w:t>We primarily use derivative contracts for asset/liability risk management, to mitigate our exposure to equity market decline and interest rate risks and for hedging individual securities. In addition, we periodically enter into forward, exchange-traded fut</w:t>
      </w:r>
      <w:r>
        <w:rPr>
          <w:rFonts w:eastAsia="Times New Roman"/>
          <w:color w:val="000000"/>
          <w:sz w:val="20"/>
          <w:szCs w:val="20"/>
        </w:rPr>
        <w:t xml:space="preserve">ures and interest rate swap, swaptions and floor contracts to reduce the economic impact of movements in the equity and fixed income markets, including the program to hedge certain risks associated with the GMxB features. As more fully described in Note 2 </w:t>
      </w:r>
      <w:r>
        <w:rPr>
          <w:rFonts w:eastAsia="Times New Roman"/>
          <w:color w:val="000000"/>
          <w:sz w:val="20"/>
          <w:szCs w:val="20"/>
        </w:rPr>
        <w:t>and Note 4 of the Notes to these Consolidated Financial Statements, various traditional derivative financial instruments are used to achieve these objectives. To minimize credit risk exposure associated with its derivative transactions, each counterparty’s</w:t>
      </w:r>
      <w:r>
        <w:rPr>
          <w:rFonts w:eastAsia="Times New Roman"/>
          <w:color w:val="000000"/>
          <w:sz w:val="20"/>
          <w:szCs w:val="20"/>
        </w:rPr>
        <w:t xml:space="preserve"> credit is appraised and approved, and risk control limits and monitoring procedures are applied. Credit limits are established and monitored on the basis of potential exposures that take into consideration current market values and estimates of potential </w:t>
      </w:r>
      <w:r>
        <w:rPr>
          <w:rFonts w:eastAsia="Times New Roman"/>
          <w:color w:val="000000"/>
          <w:sz w:val="20"/>
          <w:szCs w:val="20"/>
        </w:rPr>
        <w:t xml:space="preserve">future movements in market values given potential fluctuations in market interest rates. To reduce credit exposures in OTC derivative transactions, we enter into master agreements that provide for a netting of financial exposures with the counterparty and </w:t>
      </w:r>
      <w:r>
        <w:rPr>
          <w:rFonts w:eastAsia="Times New Roman"/>
          <w:color w:val="000000"/>
          <w:sz w:val="20"/>
          <w:szCs w:val="20"/>
        </w:rPr>
        <w:t>allow for collateral arrangements. We further control and minimize counterparty exposure through a credit appraisal and approval process. Under the ISDA Master Agreement, we have executed a CSA with each of our OTC derivative counterparties that require bo</w:t>
      </w:r>
      <w:r>
        <w:rPr>
          <w:rFonts w:eastAsia="Times New Roman"/>
          <w:color w:val="000000"/>
          <w:sz w:val="20"/>
          <w:szCs w:val="20"/>
        </w:rPr>
        <w:t>th posting and accepting collateral either in the form of cash or high-quality securities, such as U.S. Treasury securities or those issued by government agencies.</w:t>
      </w:r>
    </w:p>
    <w:p w:rsidR="00000000" w:rsidRDefault="005B0BC3">
      <w:pPr>
        <w:ind w:firstLine="360"/>
        <w:divId w:val="1220048163"/>
        <w:rPr>
          <w:rFonts w:eastAsia="Times New Roman"/>
        </w:rPr>
      </w:pPr>
      <w:r>
        <w:rPr>
          <w:rFonts w:eastAsia="Times New Roman"/>
          <w:color w:val="000000"/>
          <w:sz w:val="20"/>
          <w:szCs w:val="20"/>
        </w:rPr>
        <w:t xml:space="preserve">Mark to market exposure is a point-in-time measure of the value of a derivative contract in </w:t>
      </w:r>
      <w:r>
        <w:rPr>
          <w:rFonts w:eastAsia="Times New Roman"/>
          <w:color w:val="000000"/>
          <w:sz w:val="20"/>
          <w:szCs w:val="20"/>
        </w:rPr>
        <w:t>the open market. A positive value indicates existence of credit risk for us because the counterparty would owe money to us if the contract were closed. Alternatively, a negative value indicates we would owe money to the counterparty if the contract were cl</w:t>
      </w:r>
      <w:r>
        <w:rPr>
          <w:rFonts w:eastAsia="Times New Roman"/>
          <w:color w:val="000000"/>
          <w:sz w:val="20"/>
          <w:szCs w:val="20"/>
        </w:rPr>
        <w:t>osed. If there is more than one derivative transaction outstanding with a counterparty, a master netting arrangement exists with the counterparty. In that case, the market risk represents the net of the positive and negative exposures with the single count</w:t>
      </w:r>
      <w:r>
        <w:rPr>
          <w:rFonts w:eastAsia="Times New Roman"/>
          <w:color w:val="000000"/>
          <w:sz w:val="20"/>
          <w:szCs w:val="20"/>
        </w:rPr>
        <w:t xml:space="preserve">erparty. In management’s view, the net potential exposure is the better measure of credit risk. As of December 31, 2021 and 2020, the net fair values of our derivatives were $1,602 million and $995 million, respectively. </w:t>
      </w:r>
    </w:p>
    <w:p w:rsidR="00000000" w:rsidRDefault="005B0BC3">
      <w:pPr>
        <w:ind w:firstLine="360"/>
        <w:divId w:val="1899510549"/>
        <w:rPr>
          <w:rFonts w:eastAsia="Times New Roman"/>
        </w:rPr>
      </w:pPr>
      <w:r>
        <w:rPr>
          <w:rFonts w:eastAsia="Times New Roman"/>
          <w:color w:val="000000"/>
          <w:sz w:val="20"/>
          <w:szCs w:val="20"/>
        </w:rPr>
        <w:t>The tables below show the interest</w:t>
      </w:r>
      <w:r>
        <w:rPr>
          <w:rFonts w:eastAsia="Times New Roman"/>
          <w:color w:val="000000"/>
          <w:sz w:val="20"/>
          <w:szCs w:val="20"/>
        </w:rPr>
        <w:t xml:space="preserve"> rate or equity sensitivities of those derivatives, measured in terms of fair value. These exposures will change as a result of ongoing portfolio and risk management activities.</w:t>
      </w:r>
    </w:p>
    <w:p w:rsidR="00000000" w:rsidRDefault="005B0BC3">
      <w:pPr>
        <w:jc w:val="center"/>
        <w:rPr>
          <w:rFonts w:eastAsia="Times New Roman"/>
        </w:rPr>
      </w:pPr>
      <w:r>
        <w:rPr>
          <w:rFonts w:eastAsia="Times New Roman"/>
          <w:b/>
          <w:bCs/>
          <w:color w:val="000000"/>
          <w:sz w:val="20"/>
          <w:szCs w:val="20"/>
        </w:rPr>
        <w:t>Derivative Financial Instruments</w:t>
      </w:r>
    </w:p>
    <w:tbl>
      <w:tblPr>
        <w:tblW w:w="4985" w:type="pct"/>
        <w:jc w:val="center"/>
        <w:tblCellMar>
          <w:top w:w="15" w:type="dxa"/>
          <w:left w:w="15" w:type="dxa"/>
          <w:bottom w:w="15" w:type="dxa"/>
          <w:right w:w="15" w:type="dxa"/>
        </w:tblCellMar>
        <w:tblLook w:val="04A0" w:firstRow="1" w:lastRow="0" w:firstColumn="1" w:lastColumn="0" w:noHBand="0" w:noVBand="1"/>
      </w:tblPr>
      <w:tblGrid>
        <w:gridCol w:w="38"/>
        <w:gridCol w:w="3108"/>
        <w:gridCol w:w="37"/>
        <w:gridCol w:w="120"/>
        <w:gridCol w:w="823"/>
        <w:gridCol w:w="36"/>
        <w:gridCol w:w="36"/>
        <w:gridCol w:w="36"/>
        <w:gridCol w:w="36"/>
        <w:gridCol w:w="61"/>
        <w:gridCol w:w="762"/>
        <w:gridCol w:w="36"/>
        <w:gridCol w:w="36"/>
        <w:gridCol w:w="36"/>
        <w:gridCol w:w="36"/>
        <w:gridCol w:w="120"/>
        <w:gridCol w:w="786"/>
        <w:gridCol w:w="36"/>
        <w:gridCol w:w="36"/>
        <w:gridCol w:w="36"/>
        <w:gridCol w:w="36"/>
        <w:gridCol w:w="120"/>
        <w:gridCol w:w="787"/>
        <w:gridCol w:w="36"/>
        <w:gridCol w:w="36"/>
        <w:gridCol w:w="36"/>
        <w:gridCol w:w="36"/>
        <w:gridCol w:w="120"/>
        <w:gridCol w:w="787"/>
        <w:gridCol w:w="36"/>
      </w:tblGrid>
      <w:tr w:rsidR="00000000">
        <w:trPr>
          <w:jc w:val="center"/>
        </w:trPr>
        <w:tc>
          <w:tcPr>
            <w:tcW w:w="50" w:type="pct"/>
            <w:vAlign w:val="center"/>
            <w:hideMark/>
          </w:tcPr>
          <w:p w:rsidR="00000000" w:rsidRDefault="005B0BC3">
            <w:pPr>
              <w:jc w:val="center"/>
              <w:rPr>
                <w:rFonts w:eastAsia="Times New Roman"/>
              </w:rPr>
            </w:pPr>
          </w:p>
        </w:tc>
        <w:tc>
          <w:tcPr>
            <w:tcW w:w="190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5B0BC3">
            <w:pPr>
              <w:spacing w:after="100"/>
              <w:divId w:val="633603741"/>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5B0BC3">
            <w:pPr>
              <w:spacing w:after="100"/>
              <w:divId w:val="833957255"/>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B0BC3">
            <w:pPr>
              <w:spacing w:after="100"/>
              <w:divId w:val="777994423"/>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15"/>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Interest Rate Sensitivity</w:t>
            </w:r>
          </w:p>
        </w:tc>
      </w:tr>
      <w:tr w:rsidR="00000000">
        <w:trPr>
          <w:jc w:val="center"/>
        </w:trPr>
        <w:tc>
          <w:tcPr>
            <w:tcW w:w="0" w:type="auto"/>
            <w:gridSpan w:val="3"/>
            <w:tcMar>
              <w:top w:w="30" w:type="dxa"/>
              <w:left w:w="20" w:type="dxa"/>
              <w:bottom w:w="30" w:type="dxa"/>
              <w:right w:w="20" w:type="dxa"/>
            </w:tcMar>
            <w:vAlign w:val="bottom"/>
            <w:hideMark/>
          </w:tcPr>
          <w:p w:rsidR="00000000" w:rsidRDefault="005B0BC3">
            <w:pPr>
              <w:spacing w:after="100"/>
              <w:divId w:val="1438526542"/>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Notional</w:t>
            </w:r>
            <w:r>
              <w:rPr>
                <w:rFonts w:eastAsia="Times New Roman"/>
                <w:b/>
                <w:bCs/>
                <w:color w:val="000000"/>
                <w:sz w:val="16"/>
                <w:szCs w:val="16"/>
              </w:rPr>
              <w:br/>
              <w:t xml:space="preserve">Amount </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Weighted Average Term (Years)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Impact of -1% Change</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Fair</w:t>
            </w:r>
          </w:p>
          <w:p w:rsidR="00000000" w:rsidRDefault="005B0BC3">
            <w:pPr>
              <w:spacing w:after="100"/>
              <w:jc w:val="center"/>
              <w:rPr>
                <w:rFonts w:eastAsia="Times New Roman"/>
              </w:rPr>
            </w:pPr>
            <w:r>
              <w:rPr>
                <w:rFonts w:eastAsia="Times New Roman"/>
                <w:b/>
                <w:bCs/>
                <w:color w:val="000000"/>
                <w:sz w:val="16"/>
                <w:szCs w:val="16"/>
              </w:rPr>
              <w:t>Value</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Impact of +1% Change</w:t>
            </w:r>
          </w:p>
        </w:tc>
      </w:tr>
      <w:tr w:rsidR="00000000">
        <w:trPr>
          <w:jc w:val="center"/>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27"/>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 except for Weighted Average Term)</w:t>
            </w: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December 31, 2021</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Swaps</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2,831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20"/>
                <w:szCs w:val="20"/>
              </w:rPr>
              <w:t>11</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(111)</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(440)</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(693)</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Futures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12,598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(908)</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Swaptions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Total</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15,429</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1,039</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(440)</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(1,601)</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December 31, 2020</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Swaps</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23,773 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3</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4,622 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(102)</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(3,857)</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Futures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18,564 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1,477 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(1,264)</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Swaptions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42,337 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6,099 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(5,121)</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jc w:val="center"/>
        <w:divId w:val="1235168107"/>
        <w:rPr>
          <w:rFonts w:eastAsia="Times New Roman"/>
        </w:rPr>
      </w:pPr>
      <w:r>
        <w:rPr>
          <w:rFonts w:eastAsia="Times New Roman"/>
          <w:color w:val="000000"/>
          <w:sz w:val="20"/>
          <w:szCs w:val="20"/>
        </w:rPr>
        <w:t>124</w:t>
      </w:r>
    </w:p>
    <w:p w:rsidR="00000000" w:rsidRDefault="005B0BC3">
      <w:pPr>
        <w:rPr>
          <w:rFonts w:eastAsia="Times New Roman"/>
        </w:rPr>
      </w:pPr>
      <w:r>
        <w:rPr>
          <w:rFonts w:eastAsia="Times New Roman"/>
        </w:rPr>
        <w:pict>
          <v:rect id="_x0000_i1162" style="width:0;height:1.5pt" o:hralign="center" o:hrstd="t" o:hr="t" fillcolor="#a0a0a0" stroked="f"/>
        </w:pict>
      </w:r>
    </w:p>
    <w:p w:rsidR="00000000" w:rsidRDefault="005B0BC3">
      <w:pPr>
        <w:divId w:val="1239973619"/>
        <w:rPr>
          <w:rFonts w:eastAsia="Times New Roman"/>
        </w:rPr>
      </w:pPr>
      <w:hyperlink w:anchor="i2ac35847634046b3a89f93d9b422e8f5_421" w:history="1">
        <w:r>
          <w:rPr>
            <w:rStyle w:val="a3"/>
            <w:rFonts w:eastAsia="Times New Roman"/>
            <w:b/>
            <w:bCs/>
            <w:sz w:val="20"/>
            <w:szCs w:val="20"/>
          </w:rPr>
          <w:t>Table of Contents</w:t>
        </w:r>
      </w:hyperlink>
    </w:p>
    <w:tbl>
      <w:tblPr>
        <w:tblW w:w="4992" w:type="pct"/>
        <w:tblCellMar>
          <w:top w:w="15" w:type="dxa"/>
          <w:left w:w="15" w:type="dxa"/>
          <w:bottom w:w="15" w:type="dxa"/>
          <w:right w:w="15" w:type="dxa"/>
        </w:tblCellMar>
        <w:tblLook w:val="04A0" w:firstRow="1" w:lastRow="0" w:firstColumn="1" w:lastColumn="0" w:noHBand="0" w:noVBand="1"/>
      </w:tblPr>
      <w:tblGrid>
        <w:gridCol w:w="41"/>
        <w:gridCol w:w="3086"/>
        <w:gridCol w:w="36"/>
        <w:gridCol w:w="120"/>
        <w:gridCol w:w="839"/>
        <w:gridCol w:w="36"/>
        <w:gridCol w:w="36"/>
        <w:gridCol w:w="36"/>
        <w:gridCol w:w="36"/>
        <w:gridCol w:w="62"/>
        <w:gridCol w:w="746"/>
        <w:gridCol w:w="36"/>
        <w:gridCol w:w="36"/>
        <w:gridCol w:w="36"/>
        <w:gridCol w:w="36"/>
        <w:gridCol w:w="120"/>
        <w:gridCol w:w="1326"/>
        <w:gridCol w:w="36"/>
        <w:gridCol w:w="36"/>
        <w:gridCol w:w="36"/>
        <w:gridCol w:w="36"/>
        <w:gridCol w:w="121"/>
        <w:gridCol w:w="1328"/>
        <w:gridCol w:w="36"/>
      </w:tblGrid>
      <w:tr w:rsidR="00000000">
        <w:trPr>
          <w:divId w:val="488406563"/>
        </w:trPr>
        <w:tc>
          <w:tcPr>
            <w:tcW w:w="50" w:type="pct"/>
            <w:vAlign w:val="center"/>
            <w:hideMark/>
          </w:tcPr>
          <w:p w:rsidR="00000000" w:rsidRDefault="005B0BC3">
            <w:pPr>
              <w:rPr>
                <w:rFonts w:eastAsia="Times New Roman"/>
              </w:rPr>
            </w:pPr>
          </w:p>
        </w:tc>
        <w:tc>
          <w:tcPr>
            <w:tcW w:w="188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3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0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84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84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488406563"/>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5B0BC3">
            <w:pPr>
              <w:spacing w:after="100"/>
              <w:divId w:val="205261271"/>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B0BC3">
            <w:pPr>
              <w:spacing w:after="100"/>
              <w:divId w:val="161968370"/>
              <w:rPr>
                <w:rFonts w:eastAsia="Times New Roman"/>
              </w:rPr>
            </w:pPr>
            <w:r>
              <w:rPr>
                <w:rFonts w:eastAsia="Times New Roman"/>
                <w:b/>
                <w:bCs/>
                <w:color w:val="000000"/>
                <w:sz w:val="16"/>
                <w:szCs w:val="16"/>
              </w:rPr>
              <w:t> </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9"/>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Equity Sensitivity</w:t>
            </w:r>
          </w:p>
        </w:tc>
      </w:tr>
      <w:tr w:rsidR="00000000">
        <w:trPr>
          <w:divId w:val="488406563"/>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Notional</w:t>
            </w:r>
            <w:r>
              <w:rPr>
                <w:rFonts w:eastAsia="Times New Roman"/>
                <w:b/>
                <w:bCs/>
                <w:color w:val="000000"/>
                <w:sz w:val="16"/>
                <w:szCs w:val="16"/>
              </w:rPr>
              <w:br/>
              <w:t xml:space="preserve">Amount </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Weighted Average Term (Years)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Balance after -10% Equity Price Shift</w:t>
            </w:r>
          </w:p>
        </w:tc>
      </w:tr>
      <w:tr w:rsidR="00000000">
        <w:trPr>
          <w:divId w:val="488406563"/>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21"/>
            <w:tcBorders>
              <w:top w:val="single" w:sz="4" w:space="0" w:color="000000"/>
            </w:tcBorders>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 except for Weighted Average Term)</w:t>
            </w:r>
          </w:p>
        </w:tc>
      </w:tr>
      <w:tr w:rsidR="00000000">
        <w:trPr>
          <w:divId w:val="488406563"/>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December 31, 2021</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488406563"/>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Futures</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2,484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488406563"/>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Swaps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13,310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20"/>
                <w:szCs w:val="20"/>
              </w:rPr>
              <w:t>1</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1,336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488406563"/>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Options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48,439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20"/>
                <w:szCs w:val="20"/>
              </w:rPr>
              <w:t>2</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6,959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5,381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488406563"/>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Total</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64,233</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6,964</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6,810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488406563"/>
          <w:trHeight w:val="280"/>
        </w:trPr>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488406563"/>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December 31, 2020</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488406563"/>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Futures</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4,745 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488406563"/>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Swaps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22,404 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2,119 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488406563"/>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Options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35,846 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2</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4,672 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3,488 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488406563"/>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Total</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62,995 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4,678 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5,745 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ind w:firstLine="360"/>
        <w:divId w:val="706836319"/>
        <w:rPr>
          <w:rFonts w:eastAsia="Times New Roman"/>
        </w:rPr>
      </w:pPr>
      <w:r>
        <w:rPr>
          <w:rFonts w:eastAsia="Times New Roman"/>
          <w:color w:val="000000"/>
          <w:sz w:val="20"/>
          <w:szCs w:val="20"/>
        </w:rPr>
        <w:t>In addition to the freestanding derivatives discu</w:t>
      </w:r>
      <w:r>
        <w:rPr>
          <w:rFonts w:eastAsia="Times New Roman"/>
          <w:color w:val="000000"/>
          <w:sz w:val="20"/>
          <w:szCs w:val="20"/>
        </w:rPr>
        <w:t>ssed above, we have entered into reinsurance contracts to mitigate the risk associated with the impact of potential market fluctuations on future policyholder elections of GMIB features contained in certain annuity contracts. These reinsurance contracts ar</w:t>
      </w:r>
      <w:r>
        <w:rPr>
          <w:rFonts w:eastAsia="Times New Roman"/>
          <w:color w:val="000000"/>
          <w:sz w:val="20"/>
          <w:szCs w:val="20"/>
        </w:rPr>
        <w:t>e considered derivatives under the guidance on derivatives and hedging. GMIB reinsurance contract assets were reported at their fair values of $1.8 billion and $2.5 billion as of December 31, 2021 and 2020, respectively. The potential fair value exposure t</w:t>
      </w:r>
      <w:r>
        <w:rPr>
          <w:rFonts w:eastAsia="Times New Roman"/>
          <w:color w:val="000000"/>
          <w:sz w:val="20"/>
          <w:szCs w:val="20"/>
        </w:rPr>
        <w:t>o an immediate 10% drop in equity prices from those prevailing as of December 31, 2021 and 2020, respectively, would increase the balances of the reinsurance contract asset by $169 million and $169 million</w:t>
      </w:r>
      <w:r>
        <w:rPr>
          <w:rFonts w:eastAsia="Times New Roman"/>
          <w:color w:val="000000"/>
          <w:sz w:val="20"/>
          <w:szCs w:val="20"/>
          <w:shd w:val="clear" w:color="auto" w:fill="FFFFFF"/>
        </w:rPr>
        <w:t xml:space="preserve">. </w:t>
      </w:r>
      <w:r>
        <w:rPr>
          <w:rFonts w:eastAsia="Times New Roman"/>
          <w:color w:val="000000"/>
          <w:sz w:val="20"/>
          <w:szCs w:val="20"/>
        </w:rPr>
        <w:t xml:space="preserve">The Amounts due from Reinsurers was $5.8 billion </w:t>
      </w:r>
      <w:r>
        <w:rPr>
          <w:rFonts w:eastAsia="Times New Roman"/>
          <w:color w:val="000000"/>
          <w:sz w:val="20"/>
          <w:szCs w:val="20"/>
        </w:rPr>
        <w:t xml:space="preserve">at December 31, 2021. The potential fair value exposure to an immediate 10% drop in equity prices from those prevailing as of December 31, 2021 is $447 million. </w:t>
      </w:r>
    </w:p>
    <w:p w:rsidR="00000000" w:rsidRDefault="005B0BC3">
      <w:pPr>
        <w:ind w:firstLine="360"/>
        <w:divId w:val="300500355"/>
        <w:rPr>
          <w:rFonts w:eastAsia="Times New Roman"/>
        </w:rPr>
      </w:pPr>
      <w:r>
        <w:rPr>
          <w:rFonts w:eastAsia="Times New Roman"/>
          <w:color w:val="000000"/>
          <w:sz w:val="20"/>
          <w:szCs w:val="20"/>
        </w:rPr>
        <w:t>Also, the GMxB feature’s liability associated with certain annuity contracts is similarly cons</w:t>
      </w:r>
      <w:r>
        <w:rPr>
          <w:rFonts w:eastAsia="Times New Roman"/>
          <w:color w:val="000000"/>
          <w:sz w:val="20"/>
          <w:szCs w:val="20"/>
        </w:rPr>
        <w:t xml:space="preserve">idered to be a derivative for accounting purposes and was reported at its fair value. The liability for embedded derivative liability features was </w:t>
      </w:r>
      <w:r>
        <w:rPr>
          <w:rFonts w:eastAsia="Times New Roman"/>
          <w:color w:val="000000"/>
          <w:sz w:val="20"/>
          <w:szCs w:val="20"/>
          <w:shd w:val="clear" w:color="auto" w:fill="FFFFFF"/>
        </w:rPr>
        <w:t>$8.5 billion</w:t>
      </w:r>
      <w:r>
        <w:rPr>
          <w:rFonts w:eastAsia="Times New Roman"/>
          <w:color w:val="000000"/>
          <w:sz w:val="20"/>
          <w:szCs w:val="20"/>
        </w:rPr>
        <w:t xml:space="preserve"> and $11.1 billion as of December 31, 2021 and 2020, respectively. The potential fair value expos</w:t>
      </w:r>
      <w:r>
        <w:rPr>
          <w:rFonts w:eastAsia="Times New Roman"/>
          <w:color w:val="000000"/>
          <w:sz w:val="20"/>
          <w:szCs w:val="20"/>
        </w:rPr>
        <w:t>ure to an immediate 10% drop in equity prices from those prevailing as of December 31, 2021 and 2020, respectively, would be to increase the liability balance by $990 million and $1.1 billion.</w:t>
      </w:r>
    </w:p>
    <w:p w:rsidR="00000000" w:rsidRDefault="005B0BC3">
      <w:pPr>
        <w:divId w:val="1548685543"/>
        <w:rPr>
          <w:rFonts w:eastAsia="Times New Roman"/>
        </w:rPr>
      </w:pPr>
      <w:r>
        <w:rPr>
          <w:rFonts w:eastAsia="Times New Roman"/>
          <w:b/>
          <w:bCs/>
          <w:color w:val="000000"/>
          <w:sz w:val="20"/>
          <w:szCs w:val="20"/>
        </w:rPr>
        <w:t>Investment Management and Research</w:t>
      </w:r>
    </w:p>
    <w:p w:rsidR="00000000" w:rsidRDefault="005B0BC3">
      <w:pPr>
        <w:ind w:firstLine="360"/>
        <w:divId w:val="1862932653"/>
        <w:rPr>
          <w:rFonts w:eastAsia="Times New Roman"/>
        </w:rPr>
      </w:pPr>
      <w:r>
        <w:rPr>
          <w:rFonts w:eastAsia="Times New Roman"/>
          <w:color w:val="000000"/>
          <w:sz w:val="20"/>
          <w:szCs w:val="20"/>
        </w:rPr>
        <w:t>The investments of our Inves</w:t>
      </w:r>
      <w:r>
        <w:rPr>
          <w:rFonts w:eastAsia="Times New Roman"/>
          <w:color w:val="000000"/>
          <w:sz w:val="20"/>
          <w:szCs w:val="20"/>
        </w:rPr>
        <w:t>tment Management and Research segment consist of trading and AFS investments and other investments. AB’s trading and AFS investments include U.S. Treasury bills and equity and fixed income mutual funds’ investments. Trading investments are purchased for sh</w:t>
      </w:r>
      <w:r>
        <w:rPr>
          <w:rFonts w:eastAsia="Times New Roman"/>
          <w:color w:val="000000"/>
          <w:sz w:val="20"/>
          <w:szCs w:val="20"/>
        </w:rPr>
        <w:t>ort-term investment, principally to fund liabilities related to deferred compensation plans and to seed new investment services. Although AFS investments are purchased for long-term investment, the portfolio strategy considers them AFS from time to time du</w:t>
      </w:r>
      <w:r>
        <w:rPr>
          <w:rFonts w:eastAsia="Times New Roman"/>
          <w:color w:val="000000"/>
          <w:sz w:val="20"/>
          <w:szCs w:val="20"/>
        </w:rPr>
        <w:t>e to changes in market interest rates, equity prices and other relevant factors. Other investments include investments in hedge funds sponsored by AB and other private investment vehicles.</w:t>
      </w:r>
    </w:p>
    <w:p w:rsidR="00000000" w:rsidRDefault="005B0BC3">
      <w:pPr>
        <w:jc w:val="both"/>
        <w:divId w:val="885721550"/>
        <w:rPr>
          <w:rFonts w:eastAsia="Times New Roman"/>
        </w:rPr>
      </w:pPr>
      <w:r>
        <w:rPr>
          <w:rFonts w:eastAsia="Times New Roman"/>
          <w:b/>
          <w:bCs/>
          <w:i/>
          <w:iCs/>
          <w:color w:val="000000"/>
          <w:sz w:val="20"/>
          <w:szCs w:val="20"/>
        </w:rPr>
        <w:t>Investments with Interest Rate Risk – Fair Value</w:t>
      </w:r>
    </w:p>
    <w:p w:rsidR="00000000" w:rsidRDefault="005B0BC3">
      <w:pPr>
        <w:ind w:firstLine="360"/>
        <w:divId w:val="876434375"/>
        <w:rPr>
          <w:rFonts w:eastAsia="Times New Roman"/>
        </w:rPr>
      </w:pPr>
      <w:r>
        <w:rPr>
          <w:rFonts w:eastAsia="Times New Roman"/>
          <w:color w:val="000000"/>
          <w:sz w:val="20"/>
          <w:szCs w:val="20"/>
        </w:rPr>
        <w:t>The table below pr</w:t>
      </w:r>
      <w:r>
        <w:rPr>
          <w:rFonts w:eastAsia="Times New Roman"/>
          <w:color w:val="000000"/>
          <w:sz w:val="20"/>
          <w:szCs w:val="20"/>
        </w:rPr>
        <w:t>ovides AB’s potential exposure with respect to its fixed income investments, measured in terms of fair value, to an immediate 1% increase in interest rates at all maturities from the levels prevailing as of December 31, 2021 and 2020:</w:t>
      </w:r>
    </w:p>
    <w:p w:rsidR="00000000" w:rsidRDefault="005B0BC3">
      <w:pPr>
        <w:jc w:val="center"/>
        <w:rPr>
          <w:rFonts w:eastAsia="Times New Roman"/>
        </w:rPr>
      </w:pPr>
      <w:r>
        <w:rPr>
          <w:rFonts w:eastAsia="Times New Roman"/>
          <w:b/>
          <w:bCs/>
          <w:color w:val="000000"/>
          <w:sz w:val="20"/>
          <w:szCs w:val="20"/>
        </w:rPr>
        <w:t>Interest Rate Risk Ex</w:t>
      </w:r>
      <w:r>
        <w:rPr>
          <w:rFonts w:eastAsia="Times New Roman"/>
          <w:b/>
          <w:bCs/>
          <w:color w:val="000000"/>
          <w:sz w:val="20"/>
          <w:szCs w:val="20"/>
        </w:rPr>
        <w:t>posure</w:t>
      </w:r>
    </w:p>
    <w:tbl>
      <w:tblPr>
        <w:tblW w:w="4926" w:type="pct"/>
        <w:tblCellMar>
          <w:top w:w="15" w:type="dxa"/>
          <w:left w:w="15" w:type="dxa"/>
          <w:bottom w:w="15" w:type="dxa"/>
          <w:right w:w="15" w:type="dxa"/>
        </w:tblCellMar>
        <w:tblLook w:val="04A0" w:firstRow="1" w:lastRow="0" w:firstColumn="1" w:lastColumn="0" w:noHBand="0" w:noVBand="1"/>
      </w:tblPr>
      <w:tblGrid>
        <w:gridCol w:w="37"/>
        <w:gridCol w:w="2347"/>
        <w:gridCol w:w="36"/>
        <w:gridCol w:w="120"/>
        <w:gridCol w:w="635"/>
        <w:gridCol w:w="36"/>
        <w:gridCol w:w="36"/>
        <w:gridCol w:w="36"/>
        <w:gridCol w:w="36"/>
        <w:gridCol w:w="121"/>
        <w:gridCol w:w="708"/>
        <w:gridCol w:w="36"/>
        <w:gridCol w:w="36"/>
        <w:gridCol w:w="36"/>
        <w:gridCol w:w="36"/>
        <w:gridCol w:w="121"/>
        <w:gridCol w:w="828"/>
        <w:gridCol w:w="36"/>
        <w:gridCol w:w="36"/>
        <w:gridCol w:w="36"/>
        <w:gridCol w:w="36"/>
        <w:gridCol w:w="121"/>
        <w:gridCol w:w="589"/>
        <w:gridCol w:w="36"/>
        <w:gridCol w:w="36"/>
        <w:gridCol w:w="36"/>
        <w:gridCol w:w="36"/>
        <w:gridCol w:w="120"/>
        <w:gridCol w:w="708"/>
        <w:gridCol w:w="36"/>
        <w:gridCol w:w="36"/>
        <w:gridCol w:w="36"/>
        <w:gridCol w:w="36"/>
        <w:gridCol w:w="120"/>
        <w:gridCol w:w="708"/>
        <w:gridCol w:w="36"/>
        <w:gridCol w:w="36"/>
        <w:gridCol w:w="36"/>
        <w:gridCol w:w="36"/>
      </w:tblGrid>
      <w:tr w:rsidR="00000000">
        <w:trPr>
          <w:divId w:val="869532640"/>
        </w:trPr>
        <w:tc>
          <w:tcPr>
            <w:tcW w:w="50" w:type="pct"/>
            <w:vAlign w:val="center"/>
            <w:hideMark/>
          </w:tcPr>
          <w:p w:rsidR="00000000" w:rsidRDefault="005B0BC3">
            <w:pPr>
              <w:jc w:val="center"/>
              <w:rPr>
                <w:rFonts w:eastAsia="Times New Roman"/>
              </w:rPr>
            </w:pPr>
          </w:p>
        </w:tc>
        <w:tc>
          <w:tcPr>
            <w:tcW w:w="149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2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0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7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2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0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0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869532640"/>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December 31, 2021</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December 31, 2020</w:t>
            </w:r>
          </w:p>
        </w:tc>
        <w:tc>
          <w:tcPr>
            <w:tcW w:w="0" w:type="auto"/>
            <w:gridSpan w:val="3"/>
            <w:vAlign w:val="center"/>
            <w:hideMark/>
          </w:tcPr>
          <w:p w:rsidR="00000000" w:rsidRDefault="005B0BC3">
            <w:pPr>
              <w:spacing w:after="100"/>
              <w:jc w:val="center"/>
              <w:rPr>
                <w:rFonts w:eastAsia="Times New Roman"/>
              </w:rPr>
            </w:pPr>
          </w:p>
        </w:tc>
      </w:tr>
      <w:tr w:rsidR="00000000">
        <w:trPr>
          <w:divId w:val="869532640"/>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Balance After -1% Change</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Balance After +1% Change</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Fair Value</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Balance After -1% Change</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Balance After +1% Change</w:t>
            </w:r>
          </w:p>
        </w:tc>
        <w:tc>
          <w:tcPr>
            <w:tcW w:w="0" w:type="auto"/>
            <w:gridSpan w:val="3"/>
            <w:vAlign w:val="center"/>
            <w:hideMark/>
          </w:tcPr>
          <w:p w:rsidR="00000000" w:rsidRDefault="005B0BC3">
            <w:pPr>
              <w:spacing w:after="100"/>
              <w:jc w:val="center"/>
              <w:rPr>
                <w:rFonts w:eastAsia="Times New Roman"/>
              </w:rPr>
            </w:pPr>
          </w:p>
        </w:tc>
      </w:tr>
      <w:tr w:rsidR="00000000">
        <w:trPr>
          <w:divId w:val="869532640"/>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869532640"/>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Fixed Income Investments:</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869532640"/>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Trading</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101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r>
    </w:tbl>
    <w:p w:rsidR="00000000" w:rsidRDefault="005B0BC3">
      <w:pPr>
        <w:divId w:val="1135491693"/>
        <w:rPr>
          <w:rFonts w:eastAsia="Times New Roman"/>
        </w:rPr>
      </w:pPr>
    </w:p>
    <w:p w:rsidR="00000000" w:rsidRDefault="005B0BC3">
      <w:pPr>
        <w:jc w:val="center"/>
        <w:divId w:val="1970698089"/>
        <w:rPr>
          <w:rFonts w:eastAsia="Times New Roman"/>
        </w:rPr>
      </w:pPr>
      <w:r>
        <w:rPr>
          <w:rFonts w:eastAsia="Times New Roman"/>
          <w:color w:val="000000"/>
          <w:sz w:val="20"/>
          <w:szCs w:val="20"/>
        </w:rPr>
        <w:t>125</w:t>
      </w:r>
    </w:p>
    <w:p w:rsidR="00000000" w:rsidRDefault="005B0BC3">
      <w:pPr>
        <w:rPr>
          <w:rFonts w:eastAsia="Times New Roman"/>
        </w:rPr>
      </w:pPr>
      <w:r>
        <w:rPr>
          <w:rFonts w:eastAsia="Times New Roman"/>
        </w:rPr>
        <w:pict>
          <v:rect id="_x0000_i1163" style="width:0;height:1.5pt" o:hralign="center" o:hrstd="t" o:hr="t" fillcolor="#a0a0a0" stroked="f"/>
        </w:pict>
      </w:r>
    </w:p>
    <w:p w:rsidR="00000000" w:rsidRDefault="005B0BC3">
      <w:pPr>
        <w:divId w:val="881864112"/>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ind w:firstLine="360"/>
        <w:divId w:val="2079206436"/>
        <w:rPr>
          <w:rFonts w:eastAsia="Times New Roman"/>
        </w:rPr>
      </w:pPr>
      <w:r>
        <w:rPr>
          <w:rFonts w:eastAsia="Times New Roman"/>
          <w:color w:val="000000"/>
          <w:sz w:val="20"/>
          <w:szCs w:val="20"/>
        </w:rPr>
        <w:t>Such a fluctuation in interest rates is a hypothetical rate scenario used to calibrate potential risk and does not represent AB management’s view of future market changes. Although these fair value measurements provide a representation of interest rate sen</w:t>
      </w:r>
      <w:r>
        <w:rPr>
          <w:rFonts w:eastAsia="Times New Roman"/>
          <w:color w:val="000000"/>
          <w:sz w:val="20"/>
          <w:szCs w:val="20"/>
        </w:rPr>
        <w:t>sitivity of its investments in fixed income mutual funds and fixed income hedge funds, they are based on AB’s exposures at a particular point in time and may not be representative of future market results. These exposures will change as a result of ongoing</w:t>
      </w:r>
      <w:r>
        <w:rPr>
          <w:rFonts w:eastAsia="Times New Roman"/>
          <w:color w:val="000000"/>
          <w:sz w:val="20"/>
          <w:szCs w:val="20"/>
        </w:rPr>
        <w:t xml:space="preserve"> changes in investments in response to AB management’s assessment of changing market conditions and available investment opportunities.</w:t>
      </w:r>
    </w:p>
    <w:p w:rsidR="00000000" w:rsidRDefault="005B0BC3">
      <w:pPr>
        <w:jc w:val="both"/>
        <w:divId w:val="32847562"/>
        <w:rPr>
          <w:rFonts w:eastAsia="Times New Roman"/>
        </w:rPr>
      </w:pPr>
      <w:r>
        <w:rPr>
          <w:rFonts w:eastAsia="Times New Roman"/>
          <w:b/>
          <w:bCs/>
          <w:i/>
          <w:iCs/>
          <w:color w:val="000000"/>
          <w:sz w:val="20"/>
          <w:szCs w:val="20"/>
        </w:rPr>
        <w:t>Investments with Equity Price Risk – Fair Value</w:t>
      </w:r>
    </w:p>
    <w:p w:rsidR="00000000" w:rsidRDefault="005B0BC3">
      <w:pPr>
        <w:ind w:firstLine="360"/>
        <w:divId w:val="186021689"/>
        <w:rPr>
          <w:rFonts w:eastAsia="Times New Roman"/>
        </w:rPr>
      </w:pPr>
      <w:r>
        <w:rPr>
          <w:rFonts w:eastAsia="Times New Roman"/>
          <w:color w:val="000000"/>
          <w:sz w:val="20"/>
          <w:szCs w:val="20"/>
        </w:rPr>
        <w:t>AB’s investments include investments in equity mutual funds and equity h</w:t>
      </w:r>
      <w:r>
        <w:rPr>
          <w:rFonts w:eastAsia="Times New Roman"/>
          <w:color w:val="000000"/>
          <w:sz w:val="20"/>
          <w:szCs w:val="20"/>
        </w:rPr>
        <w:t>edge funds. The following table presents AB’s potential exposure from its equity investments, measured in terms of fair value, to an immediate 10% drop in equity prices from those prevailing as of December 31, 2021 and 2020:</w:t>
      </w:r>
    </w:p>
    <w:p w:rsidR="00000000" w:rsidRDefault="005B0BC3">
      <w:pPr>
        <w:jc w:val="center"/>
        <w:rPr>
          <w:rFonts w:eastAsia="Times New Roman"/>
        </w:rPr>
      </w:pPr>
      <w:r>
        <w:rPr>
          <w:rFonts w:eastAsia="Times New Roman"/>
          <w:b/>
          <w:bCs/>
          <w:color w:val="000000"/>
          <w:sz w:val="20"/>
          <w:szCs w:val="20"/>
        </w:rPr>
        <w:t>Equity Price Risk Exposure</w:t>
      </w:r>
    </w:p>
    <w:tbl>
      <w:tblPr>
        <w:tblW w:w="5000" w:type="pct"/>
        <w:tblCellMar>
          <w:top w:w="15" w:type="dxa"/>
          <w:left w:w="15" w:type="dxa"/>
          <w:bottom w:w="15" w:type="dxa"/>
          <w:right w:w="15" w:type="dxa"/>
        </w:tblCellMar>
        <w:tblLook w:val="04A0" w:firstRow="1" w:lastRow="0" w:firstColumn="1" w:lastColumn="0" w:noHBand="0" w:noVBand="1"/>
      </w:tblPr>
      <w:tblGrid>
        <w:gridCol w:w="38"/>
        <w:gridCol w:w="2332"/>
        <w:gridCol w:w="37"/>
        <w:gridCol w:w="121"/>
        <w:gridCol w:w="746"/>
        <w:gridCol w:w="36"/>
        <w:gridCol w:w="36"/>
        <w:gridCol w:w="36"/>
        <w:gridCol w:w="36"/>
        <w:gridCol w:w="121"/>
        <w:gridCol w:w="858"/>
        <w:gridCol w:w="36"/>
        <w:gridCol w:w="36"/>
        <w:gridCol w:w="36"/>
        <w:gridCol w:w="36"/>
        <w:gridCol w:w="121"/>
        <w:gridCol w:w="634"/>
        <w:gridCol w:w="36"/>
        <w:gridCol w:w="36"/>
        <w:gridCol w:w="36"/>
        <w:gridCol w:w="36"/>
        <w:gridCol w:w="120"/>
        <w:gridCol w:w="690"/>
        <w:gridCol w:w="36"/>
        <w:gridCol w:w="36"/>
        <w:gridCol w:w="36"/>
        <w:gridCol w:w="36"/>
        <w:gridCol w:w="121"/>
        <w:gridCol w:w="801"/>
        <w:gridCol w:w="36"/>
        <w:gridCol w:w="36"/>
        <w:gridCol w:w="36"/>
        <w:gridCol w:w="36"/>
        <w:gridCol w:w="121"/>
        <w:gridCol w:w="581"/>
        <w:gridCol w:w="36"/>
        <w:gridCol w:w="36"/>
        <w:gridCol w:w="36"/>
        <w:gridCol w:w="36"/>
      </w:tblGrid>
      <w:tr w:rsidR="00000000">
        <w:trPr>
          <w:divId w:val="1331985218"/>
        </w:trPr>
        <w:tc>
          <w:tcPr>
            <w:tcW w:w="50" w:type="pct"/>
            <w:vAlign w:val="center"/>
            <w:hideMark/>
          </w:tcPr>
          <w:p w:rsidR="00000000" w:rsidRDefault="005B0BC3">
            <w:pPr>
              <w:jc w:val="center"/>
              <w:rPr>
                <w:rFonts w:eastAsia="Times New Roman"/>
              </w:rPr>
            </w:pPr>
          </w:p>
        </w:tc>
        <w:tc>
          <w:tcPr>
            <w:tcW w:w="147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9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9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9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9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9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9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331985218"/>
        </w:trPr>
        <w:tc>
          <w:tcPr>
            <w:tcW w:w="0" w:type="auto"/>
            <w:gridSpan w:val="3"/>
            <w:tcMar>
              <w:top w:w="30" w:type="dxa"/>
              <w:left w:w="20" w:type="dxa"/>
              <w:bottom w:w="30" w:type="dxa"/>
              <w:right w:w="20" w:type="dxa"/>
            </w:tcMar>
            <w:vAlign w:val="bottom"/>
            <w:hideMark/>
          </w:tcPr>
          <w:p w:rsidR="00000000" w:rsidRDefault="005B0BC3">
            <w:pPr>
              <w:spacing w:after="100"/>
              <w:divId w:val="1900627530"/>
              <w:rPr>
                <w:rFonts w:eastAsia="Times New Roman"/>
              </w:rPr>
            </w:pPr>
            <w:r>
              <w:rPr>
                <w:rFonts w:eastAsia="Times New Roman"/>
                <w:b/>
                <w:bCs/>
                <w:color w:val="000000"/>
                <w:sz w:val="16"/>
                <w:szCs w:val="16"/>
              </w:rPr>
              <w:t> </w:t>
            </w: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December 31, 2021</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December 31, 2020</w:t>
            </w:r>
          </w:p>
        </w:tc>
        <w:tc>
          <w:tcPr>
            <w:tcW w:w="0" w:type="auto"/>
            <w:gridSpan w:val="3"/>
            <w:vAlign w:val="center"/>
            <w:hideMark/>
          </w:tcPr>
          <w:p w:rsidR="00000000" w:rsidRDefault="005B0BC3">
            <w:pPr>
              <w:spacing w:after="100"/>
              <w:jc w:val="center"/>
              <w:rPr>
                <w:rFonts w:eastAsia="Times New Roman"/>
              </w:rPr>
            </w:pPr>
          </w:p>
        </w:tc>
      </w:tr>
      <w:tr w:rsidR="00000000">
        <w:trPr>
          <w:divId w:val="1331985218"/>
        </w:trPr>
        <w:tc>
          <w:tcPr>
            <w:tcW w:w="0" w:type="auto"/>
            <w:gridSpan w:val="3"/>
            <w:tcMar>
              <w:top w:w="30" w:type="dxa"/>
              <w:left w:w="20" w:type="dxa"/>
              <w:bottom w:w="30" w:type="dxa"/>
              <w:right w:w="20" w:type="dxa"/>
            </w:tcMar>
            <w:vAlign w:val="bottom"/>
            <w:hideMark/>
          </w:tcPr>
          <w:p w:rsidR="00000000" w:rsidRDefault="005B0BC3">
            <w:pPr>
              <w:spacing w:after="100"/>
              <w:divId w:val="371467434"/>
              <w:rPr>
                <w:rFonts w:eastAsia="Times New Roman"/>
              </w:rPr>
            </w:pPr>
            <w:r>
              <w:rPr>
                <w:rFonts w:eastAsia="Times New Roman"/>
                <w:b/>
                <w:bCs/>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Balance After +10% Equity Price Change</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Balance After -10% Equity Price Change</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Fair Value</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Balance After +10% Equity Price Change</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Balance After -10% Equity Price Change</w:t>
            </w:r>
          </w:p>
        </w:tc>
        <w:tc>
          <w:tcPr>
            <w:tcW w:w="0" w:type="auto"/>
            <w:gridSpan w:val="3"/>
            <w:vAlign w:val="center"/>
            <w:hideMark/>
          </w:tcPr>
          <w:p w:rsidR="00000000" w:rsidRDefault="005B0BC3">
            <w:pPr>
              <w:spacing w:after="100"/>
              <w:jc w:val="center"/>
              <w:rPr>
                <w:rFonts w:eastAsia="Times New Roman"/>
              </w:rPr>
            </w:pPr>
          </w:p>
        </w:tc>
      </w:tr>
      <w:tr w:rsidR="00000000">
        <w:trPr>
          <w:divId w:val="1331985218"/>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331985218"/>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Equity Investments:</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331985218"/>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Trading</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r>
      <w:tr w:rsidR="00000000">
        <w:trPr>
          <w:divId w:val="1331985218"/>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Other investments</w:t>
            </w: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r>
    </w:tbl>
    <w:p w:rsidR="00000000" w:rsidRDefault="005B0BC3">
      <w:pPr>
        <w:divId w:val="774329221"/>
        <w:rPr>
          <w:rFonts w:eastAsia="Times New Roman"/>
        </w:rPr>
      </w:pPr>
    </w:p>
    <w:p w:rsidR="00000000" w:rsidRDefault="005B0BC3">
      <w:pPr>
        <w:ind w:firstLine="360"/>
        <w:divId w:val="1119111011"/>
        <w:rPr>
          <w:rFonts w:eastAsia="Times New Roman"/>
        </w:rPr>
      </w:pPr>
      <w:r>
        <w:rPr>
          <w:rFonts w:eastAsia="Times New Roman"/>
          <w:color w:val="000000"/>
          <w:sz w:val="20"/>
          <w:szCs w:val="20"/>
        </w:rPr>
        <w:t xml:space="preserve">A 10% decrease in equity prices is a hypothetical scenario used to calibrate potential risk and does not represent AB management’s view of future market changes. While these fair value </w:t>
      </w:r>
      <w:r>
        <w:rPr>
          <w:rFonts w:eastAsia="Times New Roman"/>
          <w:color w:val="000000"/>
          <w:sz w:val="20"/>
          <w:szCs w:val="20"/>
        </w:rPr>
        <w:t>measurements provide a representation of equity price sensitivity of AB’s investments in equity mutual funds and equity hedge funds, they are based on AB’s exposure at a particular point in time and may not be representative of future market results. These</w:t>
      </w:r>
      <w:r>
        <w:rPr>
          <w:rFonts w:eastAsia="Times New Roman"/>
          <w:color w:val="000000"/>
          <w:sz w:val="20"/>
          <w:szCs w:val="20"/>
        </w:rPr>
        <w:t xml:space="preserve"> exposures will change as a result of ongoing portfolio activities in response to AB management’s assessment of changing market conditions and available investment opportunities.</w:t>
      </w:r>
    </w:p>
    <w:p w:rsidR="00000000" w:rsidRDefault="005B0BC3">
      <w:pPr>
        <w:divId w:val="1234580764"/>
        <w:rPr>
          <w:rFonts w:eastAsia="Times New Roman"/>
        </w:rPr>
      </w:pPr>
      <w:r>
        <w:rPr>
          <w:rFonts w:eastAsia="Times New Roman"/>
          <w:b/>
          <w:bCs/>
          <w:color w:val="000000"/>
          <w:sz w:val="20"/>
          <w:szCs w:val="20"/>
        </w:rPr>
        <w:t>Item 8. Financial Statements and Supplementary Data</w:t>
      </w:r>
    </w:p>
    <w:p w:rsidR="00000000" w:rsidRDefault="005B0BC3">
      <w:pPr>
        <w:divId w:val="357586890"/>
        <w:rPr>
          <w:rFonts w:eastAsia="Times New Roman"/>
        </w:rPr>
      </w:pPr>
    </w:p>
    <w:p w:rsidR="00000000" w:rsidRDefault="005B0BC3">
      <w:pPr>
        <w:jc w:val="center"/>
        <w:divId w:val="36785207"/>
        <w:rPr>
          <w:rFonts w:eastAsia="Times New Roman"/>
        </w:rPr>
      </w:pPr>
      <w:r>
        <w:rPr>
          <w:rFonts w:eastAsia="Times New Roman"/>
          <w:color w:val="000000"/>
          <w:sz w:val="20"/>
          <w:szCs w:val="20"/>
        </w:rPr>
        <w:t>126</w:t>
      </w:r>
    </w:p>
    <w:p w:rsidR="00000000" w:rsidRDefault="005B0BC3">
      <w:pPr>
        <w:rPr>
          <w:rFonts w:eastAsia="Times New Roman"/>
        </w:rPr>
      </w:pPr>
      <w:r>
        <w:rPr>
          <w:rFonts w:eastAsia="Times New Roman"/>
        </w:rPr>
        <w:pict>
          <v:rect id="_x0000_i1164" style="width:0;height:1.5pt" o:hralign="center" o:hrstd="t" o:hr="t" fillcolor="#a0a0a0" stroked="f"/>
        </w:pict>
      </w:r>
    </w:p>
    <w:p w:rsidR="00000000" w:rsidRDefault="005B0BC3">
      <w:pPr>
        <w:divId w:val="561872375"/>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jc w:val="center"/>
        <w:divId w:val="1370570065"/>
        <w:rPr>
          <w:rFonts w:eastAsia="Times New Roman"/>
        </w:rPr>
      </w:pPr>
      <w:r>
        <w:rPr>
          <w:rFonts w:eastAsia="Times New Roman"/>
          <w:b/>
          <w:bCs/>
          <w:color w:val="000000"/>
          <w:sz w:val="20"/>
          <w:szCs w:val="20"/>
        </w:rPr>
        <w:t>INDEX TO CONSOLIDATED FINANCIAL STATEMENTS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7764"/>
        <w:gridCol w:w="37"/>
        <w:gridCol w:w="69"/>
        <w:gridCol w:w="332"/>
        <w:gridCol w:w="36"/>
      </w:tblGrid>
      <w:tr w:rsidR="00000000">
        <w:trPr>
          <w:divId w:val="778447218"/>
          <w:jc w:val="center"/>
        </w:trPr>
        <w:tc>
          <w:tcPr>
            <w:tcW w:w="50" w:type="pct"/>
            <w:vAlign w:val="center"/>
            <w:hideMark/>
          </w:tcPr>
          <w:p w:rsidR="00000000" w:rsidRDefault="005B0BC3">
            <w:pPr>
              <w:jc w:val="center"/>
              <w:rPr>
                <w:rFonts w:eastAsia="Times New Roman"/>
              </w:rPr>
            </w:pPr>
          </w:p>
        </w:tc>
        <w:tc>
          <w:tcPr>
            <w:tcW w:w="468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20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778447218"/>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Audited Consolidated Financial Statements</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r>
      <w:tr w:rsidR="00000000">
        <w:trPr>
          <w:divId w:val="778447218"/>
          <w:jc w:val="center"/>
        </w:trPr>
        <w:tc>
          <w:tcPr>
            <w:tcW w:w="0" w:type="auto"/>
            <w:gridSpan w:val="3"/>
            <w:tcMar>
              <w:top w:w="30" w:type="dxa"/>
              <w:left w:w="20" w:type="dxa"/>
              <w:bottom w:w="30" w:type="dxa"/>
              <w:right w:w="20" w:type="dxa"/>
            </w:tcMar>
            <w:hideMark/>
          </w:tcPr>
          <w:p w:rsidR="00000000" w:rsidRDefault="005B0BC3">
            <w:pPr>
              <w:spacing w:after="100"/>
              <w:divId w:val="1546600775"/>
              <w:rPr>
                <w:rFonts w:eastAsia="Times New Roman"/>
              </w:rPr>
            </w:pPr>
            <w:hyperlink w:anchor="i2ac35847634046b3a89f93d9b422e8f5_892" w:history="1">
              <w:r>
                <w:rPr>
                  <w:rStyle w:val="a3"/>
                  <w:rFonts w:eastAsia="Times New Roman"/>
                  <w:sz w:val="20"/>
                  <w:szCs w:val="20"/>
                </w:rPr>
                <w:t>Report of Independent Registered Public Accounting Firm</w:t>
              </w:r>
            </w:hyperlink>
            <w:r>
              <w:rPr>
                <w:rFonts w:eastAsia="Times New Roman"/>
                <w:color w:val="000000"/>
                <w:sz w:val="20"/>
                <w:szCs w:val="20"/>
              </w:rPr>
              <w:t xml:space="preserve"> </w:t>
            </w:r>
            <w:r>
              <w:rPr>
                <w:rFonts w:eastAsia="Times New Roman"/>
                <w:color w:val="000000"/>
                <w:sz w:val="16"/>
                <w:szCs w:val="16"/>
              </w:rPr>
              <w:t>(PricewaterhouseCoopers LLP, New York, New York, PCAOB ID: 238)</w:t>
            </w: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hyperlink w:anchor="i2ac35847634046b3a89f93d9b422e8f5_892" w:history="1">
              <w:r>
                <w:rPr>
                  <w:rStyle w:val="a3"/>
                  <w:rFonts w:eastAsia="Times New Roman"/>
                  <w:sz w:val="20"/>
                  <w:szCs w:val="20"/>
                </w:rPr>
                <w:t>128</w:t>
              </w:r>
            </w:hyperlink>
          </w:p>
        </w:tc>
      </w:tr>
      <w:tr w:rsidR="00000000">
        <w:trPr>
          <w:divId w:val="778447218"/>
          <w:jc w:val="center"/>
        </w:trPr>
        <w:tc>
          <w:tcPr>
            <w:tcW w:w="0" w:type="auto"/>
            <w:gridSpan w:val="3"/>
            <w:tcMar>
              <w:top w:w="30" w:type="dxa"/>
              <w:left w:w="20" w:type="dxa"/>
              <w:bottom w:w="30" w:type="dxa"/>
              <w:right w:w="20" w:type="dxa"/>
            </w:tcMar>
            <w:hideMark/>
          </w:tcPr>
          <w:p w:rsidR="00000000" w:rsidRDefault="005B0BC3">
            <w:pPr>
              <w:spacing w:after="100"/>
              <w:divId w:val="1359966726"/>
              <w:rPr>
                <w:rFonts w:eastAsia="Times New Roman"/>
              </w:rPr>
            </w:pPr>
            <w:hyperlink w:anchor="i2ac35847634046b3a89f93d9b422e8f5_25" w:history="1">
              <w:r>
                <w:rPr>
                  <w:rStyle w:val="a3"/>
                  <w:rFonts w:eastAsia="Times New Roman"/>
                  <w:sz w:val="20"/>
                  <w:szCs w:val="20"/>
                </w:rPr>
                <w:t>Consolidated Balance Sheets, December 31, 2021 and 2020</w:t>
              </w:r>
            </w:hyperlink>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hyperlink w:anchor="i2ac35847634046b3a89f93d9b422e8f5_25" w:history="1">
              <w:r>
                <w:rPr>
                  <w:rStyle w:val="a3"/>
                  <w:rFonts w:eastAsia="Times New Roman"/>
                  <w:sz w:val="20"/>
                  <w:szCs w:val="20"/>
                </w:rPr>
                <w:t>132</w:t>
              </w:r>
            </w:hyperlink>
          </w:p>
        </w:tc>
      </w:tr>
      <w:tr w:rsidR="00000000">
        <w:trPr>
          <w:divId w:val="778447218"/>
          <w:jc w:val="center"/>
        </w:trPr>
        <w:tc>
          <w:tcPr>
            <w:tcW w:w="0" w:type="auto"/>
            <w:gridSpan w:val="3"/>
            <w:tcMar>
              <w:top w:w="30" w:type="dxa"/>
              <w:left w:w="20" w:type="dxa"/>
              <w:bottom w:w="30" w:type="dxa"/>
              <w:right w:w="20" w:type="dxa"/>
            </w:tcMar>
            <w:hideMark/>
          </w:tcPr>
          <w:p w:rsidR="00000000" w:rsidRDefault="005B0BC3">
            <w:pPr>
              <w:spacing w:after="100"/>
              <w:divId w:val="1990592003"/>
              <w:rPr>
                <w:rFonts w:eastAsia="Times New Roman"/>
              </w:rPr>
            </w:pPr>
            <w:hyperlink w:anchor="i2ac35847634046b3a89f93d9b422e8f5_31" w:history="1">
              <w:r>
                <w:rPr>
                  <w:rStyle w:val="a3"/>
                  <w:rFonts w:eastAsia="Times New Roman"/>
                  <w:sz w:val="20"/>
                  <w:szCs w:val="20"/>
                </w:rPr>
                <w:t>Consolidated Statements of Income (Loss), Years Ended December 31, 2021, 2020 and 2019</w:t>
              </w:r>
            </w:hyperlink>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hyperlink w:anchor="i2ac35847634046b3a89f93d9b422e8f5_31" w:history="1">
              <w:r>
                <w:rPr>
                  <w:rStyle w:val="a3"/>
                  <w:rFonts w:eastAsia="Times New Roman"/>
                  <w:sz w:val="20"/>
                  <w:szCs w:val="20"/>
                </w:rPr>
                <w:t>133</w:t>
              </w:r>
            </w:hyperlink>
          </w:p>
        </w:tc>
      </w:tr>
      <w:tr w:rsidR="00000000">
        <w:trPr>
          <w:divId w:val="778447218"/>
          <w:jc w:val="center"/>
        </w:trPr>
        <w:tc>
          <w:tcPr>
            <w:tcW w:w="0" w:type="auto"/>
            <w:gridSpan w:val="3"/>
            <w:tcMar>
              <w:top w:w="30" w:type="dxa"/>
              <w:left w:w="20" w:type="dxa"/>
              <w:bottom w:w="30" w:type="dxa"/>
              <w:right w:w="20" w:type="dxa"/>
            </w:tcMar>
            <w:hideMark/>
          </w:tcPr>
          <w:p w:rsidR="00000000" w:rsidRDefault="005B0BC3">
            <w:pPr>
              <w:spacing w:after="100"/>
              <w:divId w:val="619266846"/>
              <w:rPr>
                <w:rFonts w:eastAsia="Times New Roman"/>
              </w:rPr>
            </w:pPr>
            <w:hyperlink w:anchor="i2ac35847634046b3a89f93d9b422e8f5_34" w:history="1">
              <w:r>
                <w:rPr>
                  <w:rStyle w:val="a3"/>
                  <w:rFonts w:eastAsia="Times New Roman"/>
                  <w:sz w:val="20"/>
                  <w:szCs w:val="20"/>
                </w:rPr>
                <w:t>Consolidated Statements of Comprehensive Income (Loss), Years Ended December 31, 2021, 2020 and 2019</w:t>
              </w:r>
            </w:hyperlink>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hyperlink w:anchor="i2ac35847634046b3a89f93d9b422e8f5_34" w:history="1">
              <w:r>
                <w:rPr>
                  <w:rStyle w:val="a3"/>
                  <w:rFonts w:eastAsia="Times New Roman"/>
                  <w:sz w:val="20"/>
                  <w:szCs w:val="20"/>
                </w:rPr>
                <w:t>134</w:t>
              </w:r>
            </w:hyperlink>
          </w:p>
        </w:tc>
      </w:tr>
      <w:tr w:rsidR="00000000">
        <w:trPr>
          <w:divId w:val="778447218"/>
          <w:jc w:val="center"/>
        </w:trPr>
        <w:tc>
          <w:tcPr>
            <w:tcW w:w="0" w:type="auto"/>
            <w:gridSpan w:val="3"/>
            <w:tcMar>
              <w:top w:w="30" w:type="dxa"/>
              <w:left w:w="20" w:type="dxa"/>
              <w:bottom w:w="30" w:type="dxa"/>
              <w:right w:w="20" w:type="dxa"/>
            </w:tcMar>
            <w:hideMark/>
          </w:tcPr>
          <w:p w:rsidR="00000000" w:rsidRDefault="005B0BC3">
            <w:pPr>
              <w:spacing w:after="100"/>
              <w:divId w:val="1729768889"/>
              <w:rPr>
                <w:rFonts w:eastAsia="Times New Roman"/>
              </w:rPr>
            </w:pPr>
            <w:hyperlink w:anchor="i2ac35847634046b3a89f93d9b422e8f5_43" w:history="1">
              <w:r>
                <w:rPr>
                  <w:rStyle w:val="a3"/>
                  <w:rFonts w:eastAsia="Times New Roman"/>
                  <w:sz w:val="20"/>
                  <w:szCs w:val="20"/>
                </w:rPr>
                <w:t>Consolidated Statements of Equity, Years Ended December 31, 2021, 2020 and 2019</w:t>
              </w:r>
            </w:hyperlink>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hyperlink w:anchor="i2ac35847634046b3a89f93d9b422e8f5_43" w:history="1">
              <w:r>
                <w:rPr>
                  <w:rStyle w:val="a3"/>
                  <w:rFonts w:eastAsia="Times New Roman"/>
                  <w:sz w:val="20"/>
                  <w:szCs w:val="20"/>
                </w:rPr>
                <w:t>135</w:t>
              </w:r>
            </w:hyperlink>
          </w:p>
        </w:tc>
      </w:tr>
      <w:tr w:rsidR="00000000">
        <w:trPr>
          <w:divId w:val="778447218"/>
          <w:jc w:val="center"/>
        </w:trPr>
        <w:tc>
          <w:tcPr>
            <w:tcW w:w="0" w:type="auto"/>
            <w:gridSpan w:val="3"/>
            <w:tcMar>
              <w:top w:w="30" w:type="dxa"/>
              <w:left w:w="20" w:type="dxa"/>
              <w:bottom w:w="30" w:type="dxa"/>
              <w:right w:w="20" w:type="dxa"/>
            </w:tcMar>
            <w:hideMark/>
          </w:tcPr>
          <w:p w:rsidR="00000000" w:rsidRDefault="005B0BC3">
            <w:pPr>
              <w:spacing w:after="100"/>
              <w:divId w:val="834878993"/>
              <w:rPr>
                <w:rFonts w:eastAsia="Times New Roman"/>
              </w:rPr>
            </w:pPr>
            <w:hyperlink w:anchor="i2ac35847634046b3a89f93d9b422e8f5_52" w:history="1">
              <w:r>
                <w:rPr>
                  <w:rStyle w:val="a3"/>
                  <w:rFonts w:eastAsia="Times New Roman"/>
                  <w:sz w:val="20"/>
                  <w:szCs w:val="20"/>
                </w:rPr>
                <w:t>Consolidated Statements of Cash Flows, Years Ended December 31, 2021, 2020 and 2019</w:t>
              </w:r>
            </w:hyperlink>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hyperlink w:anchor="i2ac35847634046b3a89f93d9b422e8f5_52" w:history="1">
              <w:r>
                <w:rPr>
                  <w:rStyle w:val="a3"/>
                  <w:rFonts w:eastAsia="Times New Roman"/>
                  <w:sz w:val="20"/>
                  <w:szCs w:val="20"/>
                </w:rPr>
                <w:t>136</w:t>
              </w:r>
            </w:hyperlink>
          </w:p>
        </w:tc>
      </w:tr>
      <w:tr w:rsidR="00000000">
        <w:trPr>
          <w:divId w:val="778447218"/>
          <w:jc w:val="center"/>
        </w:trPr>
        <w:tc>
          <w:tcPr>
            <w:tcW w:w="0" w:type="auto"/>
            <w:gridSpan w:val="3"/>
            <w:tcMar>
              <w:top w:w="30" w:type="dxa"/>
              <w:left w:w="20" w:type="dxa"/>
              <w:bottom w:w="30" w:type="dxa"/>
              <w:right w:w="20" w:type="dxa"/>
            </w:tcMar>
            <w:hideMark/>
          </w:tcPr>
          <w:p w:rsidR="00000000" w:rsidRDefault="005B0BC3">
            <w:pPr>
              <w:spacing w:after="100"/>
              <w:divId w:val="905191901"/>
              <w:rPr>
                <w:rFonts w:eastAsia="Times New Roman"/>
              </w:rPr>
            </w:pPr>
            <w:hyperlink w:anchor="i2ac35847634046b3a89f93d9b422e8f5_58" w:history="1">
              <w:r>
                <w:rPr>
                  <w:rStyle w:val="a3"/>
                  <w:rFonts w:eastAsia="Times New Roman"/>
                  <w:sz w:val="20"/>
                  <w:szCs w:val="20"/>
                </w:rPr>
                <w:t>Notes to Consolidated Financial Statements</w:t>
              </w:r>
            </w:hyperlink>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r>
      <w:tr w:rsidR="00000000">
        <w:trPr>
          <w:divId w:val="778447218"/>
          <w:jc w:val="center"/>
        </w:trPr>
        <w:tc>
          <w:tcPr>
            <w:tcW w:w="0" w:type="auto"/>
            <w:gridSpan w:val="3"/>
            <w:tcMar>
              <w:top w:w="30" w:type="dxa"/>
              <w:left w:w="20" w:type="dxa"/>
              <w:bottom w:w="30" w:type="dxa"/>
              <w:right w:w="20" w:type="dxa"/>
            </w:tcMar>
            <w:vAlign w:val="bottom"/>
            <w:hideMark/>
          </w:tcPr>
          <w:p w:rsidR="00000000" w:rsidRDefault="005B0BC3">
            <w:pPr>
              <w:spacing w:after="100"/>
              <w:divId w:val="974062195"/>
              <w:rPr>
                <w:rFonts w:eastAsia="Times New Roman"/>
              </w:rPr>
            </w:pPr>
            <w:hyperlink w:anchor="i2ac35847634046b3a89f93d9b422e8f5_61" w:history="1">
              <w:r>
                <w:rPr>
                  <w:rStyle w:val="a3"/>
                  <w:rFonts w:eastAsia="Times New Roman"/>
                  <w:sz w:val="20"/>
                  <w:szCs w:val="20"/>
                </w:rPr>
                <w:t>Note 1 - Organization</w:t>
              </w:r>
            </w:hyperlink>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hyperlink w:anchor="i2ac35847634046b3a89f93d9b422e8f5_61" w:history="1">
              <w:r>
                <w:rPr>
                  <w:rStyle w:val="a3"/>
                  <w:rFonts w:eastAsia="Times New Roman"/>
                  <w:sz w:val="20"/>
                  <w:szCs w:val="20"/>
                  <w:u w:val="none"/>
                </w:rPr>
                <w:t>138</w:t>
              </w:r>
            </w:hyperlink>
          </w:p>
        </w:tc>
      </w:tr>
      <w:tr w:rsidR="00000000">
        <w:trPr>
          <w:divId w:val="778447218"/>
          <w:jc w:val="center"/>
        </w:trPr>
        <w:tc>
          <w:tcPr>
            <w:tcW w:w="0" w:type="auto"/>
            <w:gridSpan w:val="3"/>
            <w:tcMar>
              <w:top w:w="30" w:type="dxa"/>
              <w:left w:w="20" w:type="dxa"/>
              <w:bottom w:w="30" w:type="dxa"/>
              <w:right w:w="20" w:type="dxa"/>
            </w:tcMar>
            <w:hideMark/>
          </w:tcPr>
          <w:p w:rsidR="00000000" w:rsidRDefault="005B0BC3">
            <w:pPr>
              <w:spacing w:after="100"/>
              <w:divId w:val="1948273257"/>
              <w:rPr>
                <w:rFonts w:eastAsia="Times New Roman"/>
              </w:rPr>
            </w:pPr>
            <w:hyperlink w:anchor="i2ac35847634046b3a89f93d9b422e8f5_67" w:history="1">
              <w:r>
                <w:rPr>
                  <w:rStyle w:val="a3"/>
                  <w:rFonts w:eastAsia="Times New Roman"/>
                  <w:sz w:val="20"/>
                  <w:szCs w:val="20"/>
                </w:rPr>
                <w:t>Note 2 - Significant Accounting Policies</w:t>
              </w:r>
            </w:hyperlink>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hyperlink w:anchor="i2ac35847634046b3a89f93d9b422e8f5_67" w:history="1">
              <w:r>
                <w:rPr>
                  <w:rStyle w:val="a3"/>
                  <w:rFonts w:eastAsia="Times New Roman"/>
                  <w:sz w:val="20"/>
                  <w:szCs w:val="20"/>
                  <w:u w:val="none"/>
                </w:rPr>
                <w:t>139</w:t>
              </w:r>
            </w:hyperlink>
          </w:p>
        </w:tc>
      </w:tr>
      <w:tr w:rsidR="00000000">
        <w:trPr>
          <w:divId w:val="778447218"/>
          <w:jc w:val="center"/>
        </w:trPr>
        <w:tc>
          <w:tcPr>
            <w:tcW w:w="0" w:type="auto"/>
            <w:gridSpan w:val="3"/>
            <w:tcMar>
              <w:top w:w="30" w:type="dxa"/>
              <w:left w:w="20" w:type="dxa"/>
              <w:bottom w:w="30" w:type="dxa"/>
              <w:right w:w="20" w:type="dxa"/>
            </w:tcMar>
            <w:vAlign w:val="bottom"/>
            <w:hideMark/>
          </w:tcPr>
          <w:p w:rsidR="00000000" w:rsidRDefault="005B0BC3">
            <w:pPr>
              <w:spacing w:after="100"/>
              <w:divId w:val="707952191"/>
              <w:rPr>
                <w:rFonts w:eastAsia="Times New Roman"/>
              </w:rPr>
            </w:pPr>
            <w:hyperlink w:anchor="i2ac35847634046b3a89f93d9b422e8f5_97" w:history="1">
              <w:r>
                <w:rPr>
                  <w:rStyle w:val="a3"/>
                  <w:rFonts w:eastAsia="Times New Roman"/>
                  <w:sz w:val="20"/>
                  <w:szCs w:val="20"/>
                </w:rPr>
                <w:t>Note 3 - Investments</w:t>
              </w:r>
            </w:hyperlink>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hyperlink w:anchor="i2ac35847634046b3a89f93d9b422e8f5_97" w:history="1">
              <w:r>
                <w:rPr>
                  <w:rStyle w:val="a3"/>
                  <w:rFonts w:eastAsia="Times New Roman"/>
                  <w:sz w:val="20"/>
                  <w:szCs w:val="20"/>
                  <w:u w:val="none"/>
                </w:rPr>
                <w:t>157</w:t>
              </w:r>
            </w:hyperlink>
          </w:p>
        </w:tc>
      </w:tr>
      <w:tr w:rsidR="00000000">
        <w:trPr>
          <w:divId w:val="778447218"/>
          <w:jc w:val="center"/>
        </w:trPr>
        <w:tc>
          <w:tcPr>
            <w:tcW w:w="0" w:type="auto"/>
            <w:gridSpan w:val="3"/>
            <w:tcMar>
              <w:top w:w="30" w:type="dxa"/>
              <w:left w:w="20" w:type="dxa"/>
              <w:bottom w:w="30" w:type="dxa"/>
              <w:right w:w="20" w:type="dxa"/>
            </w:tcMar>
            <w:vAlign w:val="bottom"/>
            <w:hideMark/>
          </w:tcPr>
          <w:p w:rsidR="00000000" w:rsidRDefault="005B0BC3">
            <w:pPr>
              <w:spacing w:after="100"/>
              <w:divId w:val="1605500965"/>
              <w:rPr>
                <w:rFonts w:eastAsia="Times New Roman"/>
              </w:rPr>
            </w:pPr>
            <w:hyperlink w:anchor="i2ac35847634046b3a89f93d9b422e8f5_106" w:history="1">
              <w:r>
                <w:rPr>
                  <w:rStyle w:val="a3"/>
                  <w:rFonts w:eastAsia="Times New Roman"/>
                  <w:sz w:val="20"/>
                  <w:szCs w:val="20"/>
                </w:rPr>
                <w:t>Note 4 - Derivatives</w:t>
              </w:r>
            </w:hyperlink>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hyperlink w:anchor="i2ac35847634046b3a89f93d9b422e8f5_106" w:history="1">
              <w:r>
                <w:rPr>
                  <w:rStyle w:val="a3"/>
                  <w:rFonts w:eastAsia="Times New Roman"/>
                  <w:sz w:val="20"/>
                  <w:szCs w:val="20"/>
                  <w:u w:val="none"/>
                </w:rPr>
                <w:t>168</w:t>
              </w:r>
            </w:hyperlink>
          </w:p>
        </w:tc>
      </w:tr>
      <w:tr w:rsidR="00000000">
        <w:trPr>
          <w:divId w:val="778447218"/>
          <w:jc w:val="center"/>
        </w:trPr>
        <w:tc>
          <w:tcPr>
            <w:tcW w:w="0" w:type="auto"/>
            <w:gridSpan w:val="3"/>
            <w:tcMar>
              <w:top w:w="30" w:type="dxa"/>
              <w:left w:w="20" w:type="dxa"/>
              <w:bottom w:w="30" w:type="dxa"/>
              <w:right w:w="20" w:type="dxa"/>
            </w:tcMar>
            <w:vAlign w:val="bottom"/>
            <w:hideMark/>
          </w:tcPr>
          <w:p w:rsidR="00000000" w:rsidRDefault="005B0BC3">
            <w:pPr>
              <w:spacing w:after="100"/>
              <w:divId w:val="326447881"/>
              <w:rPr>
                <w:rFonts w:eastAsia="Times New Roman"/>
              </w:rPr>
            </w:pPr>
            <w:hyperlink w:anchor="i2ac35847634046b3a89f93d9b422e8f5_643" w:history="1">
              <w:r>
                <w:rPr>
                  <w:rStyle w:val="a3"/>
                  <w:rFonts w:eastAsia="Times New Roman"/>
                  <w:sz w:val="20"/>
                  <w:szCs w:val="20"/>
                </w:rPr>
                <w:t>Note 5 - Goodwill and Other Intangible Assets</w:t>
              </w:r>
            </w:hyperlink>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hyperlink w:anchor="i2ac35847634046b3a89f93d9b422e8f5_643" w:history="1">
              <w:r>
                <w:rPr>
                  <w:rStyle w:val="a3"/>
                  <w:rFonts w:eastAsia="Times New Roman"/>
                  <w:sz w:val="20"/>
                  <w:szCs w:val="20"/>
                  <w:u w:val="none"/>
                </w:rPr>
                <w:t>174</w:t>
              </w:r>
            </w:hyperlink>
          </w:p>
        </w:tc>
      </w:tr>
      <w:tr w:rsidR="00000000">
        <w:trPr>
          <w:divId w:val="778447218"/>
          <w:jc w:val="center"/>
        </w:trPr>
        <w:tc>
          <w:tcPr>
            <w:tcW w:w="0" w:type="auto"/>
            <w:gridSpan w:val="3"/>
            <w:tcMar>
              <w:top w:w="30" w:type="dxa"/>
              <w:left w:w="20" w:type="dxa"/>
              <w:bottom w:w="30" w:type="dxa"/>
              <w:right w:w="20" w:type="dxa"/>
            </w:tcMar>
            <w:vAlign w:val="bottom"/>
            <w:hideMark/>
          </w:tcPr>
          <w:p w:rsidR="00000000" w:rsidRDefault="005B0BC3">
            <w:pPr>
              <w:spacing w:after="100"/>
              <w:divId w:val="2031450614"/>
              <w:rPr>
                <w:rFonts w:eastAsia="Times New Roman"/>
              </w:rPr>
            </w:pPr>
            <w:hyperlink w:anchor="i2ac35847634046b3a89f93d9b422e8f5_112" w:history="1">
              <w:r>
                <w:rPr>
                  <w:rStyle w:val="a3"/>
                  <w:rFonts w:eastAsia="Times New Roman"/>
                  <w:sz w:val="20"/>
                  <w:szCs w:val="20"/>
                </w:rPr>
                <w:t>Note 6 - Closed Block</w:t>
              </w:r>
            </w:hyperlink>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hyperlink w:anchor="i2ac35847634046b3a89f93d9b422e8f5_112" w:history="1">
              <w:r>
                <w:rPr>
                  <w:rStyle w:val="a3"/>
                  <w:rFonts w:eastAsia="Times New Roman"/>
                  <w:sz w:val="20"/>
                  <w:szCs w:val="20"/>
                  <w:u w:val="none"/>
                </w:rPr>
                <w:t>175</w:t>
              </w:r>
            </w:hyperlink>
          </w:p>
        </w:tc>
      </w:tr>
      <w:tr w:rsidR="00000000">
        <w:trPr>
          <w:divId w:val="778447218"/>
          <w:jc w:val="center"/>
        </w:trPr>
        <w:tc>
          <w:tcPr>
            <w:tcW w:w="0" w:type="auto"/>
            <w:gridSpan w:val="3"/>
            <w:tcMar>
              <w:top w:w="30" w:type="dxa"/>
              <w:left w:w="20" w:type="dxa"/>
              <w:bottom w:w="30" w:type="dxa"/>
              <w:right w:w="20" w:type="dxa"/>
            </w:tcMar>
            <w:vAlign w:val="bottom"/>
            <w:hideMark/>
          </w:tcPr>
          <w:p w:rsidR="00000000" w:rsidRDefault="005B0BC3">
            <w:pPr>
              <w:spacing w:after="100"/>
              <w:divId w:val="294723101"/>
              <w:rPr>
                <w:rFonts w:eastAsia="Times New Roman"/>
              </w:rPr>
            </w:pPr>
            <w:hyperlink w:anchor="i2ac35847634046b3a89f93d9b422e8f5_649" w:history="1">
              <w:r>
                <w:rPr>
                  <w:rStyle w:val="a3"/>
                  <w:rFonts w:eastAsia="Times New Roman"/>
                  <w:sz w:val="20"/>
                  <w:szCs w:val="20"/>
                </w:rPr>
                <w:t>Note 7 - DAC and Policyholder Bonus Interest Credits</w:t>
              </w:r>
            </w:hyperlink>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hyperlink w:anchor="i2ac35847634046b3a89f93d9b422e8f5_649" w:history="1">
              <w:r>
                <w:rPr>
                  <w:rStyle w:val="a3"/>
                  <w:rFonts w:eastAsia="Times New Roman"/>
                  <w:sz w:val="20"/>
                  <w:szCs w:val="20"/>
                  <w:u w:val="none"/>
                </w:rPr>
                <w:t>177</w:t>
              </w:r>
            </w:hyperlink>
          </w:p>
        </w:tc>
      </w:tr>
      <w:tr w:rsidR="00000000">
        <w:trPr>
          <w:divId w:val="778447218"/>
          <w:jc w:val="center"/>
        </w:trPr>
        <w:tc>
          <w:tcPr>
            <w:tcW w:w="0" w:type="auto"/>
            <w:gridSpan w:val="3"/>
            <w:tcMar>
              <w:top w:w="30" w:type="dxa"/>
              <w:left w:w="20" w:type="dxa"/>
              <w:bottom w:w="30" w:type="dxa"/>
              <w:right w:w="20" w:type="dxa"/>
            </w:tcMar>
            <w:vAlign w:val="bottom"/>
            <w:hideMark/>
          </w:tcPr>
          <w:p w:rsidR="00000000" w:rsidRDefault="005B0BC3">
            <w:pPr>
              <w:spacing w:after="100"/>
              <w:divId w:val="1516070906"/>
              <w:rPr>
                <w:rFonts w:eastAsia="Times New Roman"/>
              </w:rPr>
            </w:pPr>
            <w:hyperlink w:anchor="i2ac35847634046b3a89f93d9b422e8f5_139" w:history="1">
              <w:r>
                <w:rPr>
                  <w:rStyle w:val="a3"/>
                  <w:rFonts w:eastAsia="Times New Roman"/>
                  <w:sz w:val="20"/>
                  <w:szCs w:val="20"/>
                </w:rPr>
                <w:t xml:space="preserve">Note 8 - Fair </w:t>
              </w:r>
              <w:r>
                <w:rPr>
                  <w:rStyle w:val="a3"/>
                  <w:rFonts w:eastAsia="Times New Roman"/>
                  <w:sz w:val="20"/>
                  <w:szCs w:val="20"/>
                </w:rPr>
                <w:t>Value Disclosures</w:t>
              </w:r>
            </w:hyperlink>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hyperlink w:anchor="i2ac35847634046b3a89f93d9b422e8f5_139" w:history="1">
              <w:r>
                <w:rPr>
                  <w:rStyle w:val="a3"/>
                  <w:rFonts w:eastAsia="Times New Roman"/>
                  <w:sz w:val="20"/>
                  <w:szCs w:val="20"/>
                  <w:u w:val="none"/>
                </w:rPr>
                <w:t>177</w:t>
              </w:r>
            </w:hyperlink>
          </w:p>
        </w:tc>
      </w:tr>
      <w:tr w:rsidR="00000000">
        <w:trPr>
          <w:divId w:val="778447218"/>
          <w:jc w:val="center"/>
        </w:trPr>
        <w:tc>
          <w:tcPr>
            <w:tcW w:w="0" w:type="auto"/>
            <w:gridSpan w:val="3"/>
            <w:tcMar>
              <w:top w:w="30" w:type="dxa"/>
              <w:left w:w="20" w:type="dxa"/>
              <w:bottom w:w="30" w:type="dxa"/>
              <w:right w:w="20" w:type="dxa"/>
            </w:tcMar>
            <w:vAlign w:val="bottom"/>
            <w:hideMark/>
          </w:tcPr>
          <w:p w:rsidR="00000000" w:rsidRDefault="005B0BC3">
            <w:pPr>
              <w:spacing w:after="100"/>
              <w:divId w:val="155921687"/>
              <w:rPr>
                <w:rFonts w:eastAsia="Times New Roman"/>
              </w:rPr>
            </w:pPr>
            <w:hyperlink w:anchor="i2ac35847634046b3a89f93d9b422e8f5_127" w:history="1">
              <w:r>
                <w:rPr>
                  <w:rStyle w:val="a3"/>
                  <w:rFonts w:eastAsia="Times New Roman"/>
                  <w:sz w:val="20"/>
                  <w:szCs w:val="20"/>
                </w:rPr>
                <w:t>Note 9 - Insurance Liabilities</w:t>
              </w:r>
            </w:hyperlink>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hyperlink w:anchor="i2ac35847634046b3a89f93d9b422e8f5_127" w:history="1">
              <w:r>
                <w:rPr>
                  <w:rStyle w:val="a3"/>
                  <w:rFonts w:eastAsia="Times New Roman"/>
                  <w:sz w:val="20"/>
                  <w:szCs w:val="20"/>
                  <w:u w:val="none"/>
                </w:rPr>
                <w:t>193</w:t>
              </w:r>
            </w:hyperlink>
          </w:p>
        </w:tc>
      </w:tr>
      <w:tr w:rsidR="00000000">
        <w:trPr>
          <w:divId w:val="778447218"/>
          <w:jc w:val="center"/>
        </w:trPr>
        <w:tc>
          <w:tcPr>
            <w:tcW w:w="0" w:type="auto"/>
            <w:gridSpan w:val="3"/>
            <w:tcMar>
              <w:top w:w="30" w:type="dxa"/>
              <w:left w:w="20" w:type="dxa"/>
              <w:bottom w:w="30" w:type="dxa"/>
              <w:right w:w="20" w:type="dxa"/>
            </w:tcMar>
            <w:vAlign w:val="bottom"/>
            <w:hideMark/>
          </w:tcPr>
          <w:p w:rsidR="00000000" w:rsidRDefault="005B0BC3">
            <w:pPr>
              <w:spacing w:after="100"/>
              <w:divId w:val="1790274460"/>
              <w:rPr>
                <w:rFonts w:eastAsia="Times New Roman"/>
              </w:rPr>
            </w:pPr>
            <w:hyperlink w:anchor="i2ac35847634046b3a89f93d9b422e8f5_652" w:history="1">
              <w:r>
                <w:rPr>
                  <w:rStyle w:val="a3"/>
                  <w:rFonts w:eastAsia="Times New Roman"/>
                  <w:sz w:val="20"/>
                  <w:szCs w:val="20"/>
                </w:rPr>
                <w:t>Note 10 - Leases</w:t>
              </w:r>
            </w:hyperlink>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hyperlink w:anchor="i2ac35847634046b3a89f93d9b422e8f5_652" w:history="1">
              <w:r>
                <w:rPr>
                  <w:rStyle w:val="a3"/>
                  <w:rFonts w:eastAsia="Times New Roman"/>
                  <w:sz w:val="20"/>
                  <w:szCs w:val="20"/>
                  <w:u w:val="none"/>
                </w:rPr>
                <w:t>196</w:t>
              </w:r>
            </w:hyperlink>
          </w:p>
        </w:tc>
      </w:tr>
      <w:tr w:rsidR="00000000">
        <w:trPr>
          <w:divId w:val="778447218"/>
          <w:jc w:val="center"/>
        </w:trPr>
        <w:tc>
          <w:tcPr>
            <w:tcW w:w="0" w:type="auto"/>
            <w:gridSpan w:val="3"/>
            <w:tcMar>
              <w:top w:w="30" w:type="dxa"/>
              <w:left w:w="20" w:type="dxa"/>
              <w:bottom w:w="30" w:type="dxa"/>
              <w:right w:w="20" w:type="dxa"/>
            </w:tcMar>
            <w:vAlign w:val="bottom"/>
            <w:hideMark/>
          </w:tcPr>
          <w:p w:rsidR="00000000" w:rsidRDefault="005B0BC3">
            <w:pPr>
              <w:spacing w:after="100"/>
              <w:divId w:val="2044087166"/>
              <w:rPr>
                <w:rFonts w:eastAsia="Times New Roman"/>
              </w:rPr>
            </w:pPr>
            <w:hyperlink w:anchor="i2ac35847634046b3a89f93d9b422e8f5_133" w:history="1">
              <w:r>
                <w:rPr>
                  <w:rStyle w:val="a3"/>
                  <w:rFonts w:eastAsia="Times New Roman"/>
                  <w:sz w:val="20"/>
                  <w:szCs w:val="20"/>
                </w:rPr>
                <w:t>Note 11 - Reinsurance</w:t>
              </w:r>
            </w:hyperlink>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hyperlink w:anchor="i2ac35847634046b3a89f93d9b422e8f5_133" w:history="1">
              <w:r>
                <w:rPr>
                  <w:rStyle w:val="a3"/>
                  <w:rFonts w:eastAsia="Times New Roman"/>
                  <w:sz w:val="20"/>
                  <w:szCs w:val="20"/>
                  <w:u w:val="none"/>
                </w:rPr>
                <w:t>199</w:t>
              </w:r>
            </w:hyperlink>
          </w:p>
        </w:tc>
      </w:tr>
      <w:tr w:rsidR="00000000">
        <w:trPr>
          <w:divId w:val="778447218"/>
          <w:jc w:val="center"/>
        </w:trPr>
        <w:tc>
          <w:tcPr>
            <w:tcW w:w="0" w:type="auto"/>
            <w:gridSpan w:val="3"/>
            <w:tcMar>
              <w:top w:w="30" w:type="dxa"/>
              <w:left w:w="20" w:type="dxa"/>
              <w:bottom w:w="30" w:type="dxa"/>
              <w:right w:w="20" w:type="dxa"/>
            </w:tcMar>
            <w:vAlign w:val="bottom"/>
            <w:hideMark/>
          </w:tcPr>
          <w:p w:rsidR="00000000" w:rsidRDefault="005B0BC3">
            <w:pPr>
              <w:spacing w:after="100"/>
              <w:divId w:val="1363436750"/>
              <w:rPr>
                <w:rFonts w:eastAsia="Times New Roman"/>
              </w:rPr>
            </w:pPr>
            <w:hyperlink w:anchor="i2ac35847634046b3a89f93d9b422e8f5_658" w:history="1">
              <w:r>
                <w:rPr>
                  <w:rStyle w:val="a3"/>
                  <w:rFonts w:eastAsia="Times New Roman"/>
                  <w:sz w:val="20"/>
                  <w:szCs w:val="20"/>
                </w:rPr>
                <w:t>Note 12 - Short-term and Long-term Debt</w:t>
              </w:r>
            </w:hyperlink>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hyperlink w:anchor="i2ac35847634046b3a89f93d9b422e8f5_658" w:history="1">
              <w:r>
                <w:rPr>
                  <w:rStyle w:val="a3"/>
                  <w:rFonts w:eastAsia="Times New Roman"/>
                  <w:sz w:val="20"/>
                  <w:szCs w:val="20"/>
                  <w:u w:val="none"/>
                </w:rPr>
                <w:t>201</w:t>
              </w:r>
            </w:hyperlink>
          </w:p>
        </w:tc>
      </w:tr>
      <w:tr w:rsidR="00000000">
        <w:trPr>
          <w:divId w:val="778447218"/>
          <w:jc w:val="center"/>
        </w:trPr>
        <w:tc>
          <w:tcPr>
            <w:tcW w:w="0" w:type="auto"/>
            <w:gridSpan w:val="3"/>
            <w:tcMar>
              <w:top w:w="30" w:type="dxa"/>
              <w:left w:w="20" w:type="dxa"/>
              <w:bottom w:w="30" w:type="dxa"/>
              <w:right w:w="20" w:type="dxa"/>
            </w:tcMar>
            <w:vAlign w:val="bottom"/>
            <w:hideMark/>
          </w:tcPr>
          <w:p w:rsidR="00000000" w:rsidRDefault="005B0BC3">
            <w:pPr>
              <w:spacing w:after="100"/>
              <w:divId w:val="1720277564"/>
              <w:rPr>
                <w:rFonts w:eastAsia="Times New Roman"/>
              </w:rPr>
            </w:pPr>
            <w:hyperlink w:anchor="i2ac35847634046b3a89f93d9b422e8f5_661" w:history="1">
              <w:r>
                <w:rPr>
                  <w:rStyle w:val="a3"/>
                  <w:rFonts w:eastAsia="Times New Roman"/>
                  <w:sz w:val="20"/>
                  <w:szCs w:val="20"/>
                </w:rPr>
                <w:t>Note 13 - Related Party Transactions</w:t>
              </w:r>
            </w:hyperlink>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hyperlink w:anchor="i2ac35847634046b3a89f93d9b422e8f5_661" w:history="1">
              <w:r>
                <w:rPr>
                  <w:rStyle w:val="a3"/>
                  <w:rFonts w:eastAsia="Times New Roman"/>
                  <w:sz w:val="20"/>
                  <w:szCs w:val="20"/>
                  <w:u w:val="none"/>
                </w:rPr>
                <w:t>203</w:t>
              </w:r>
            </w:hyperlink>
          </w:p>
        </w:tc>
      </w:tr>
      <w:tr w:rsidR="00000000">
        <w:trPr>
          <w:divId w:val="778447218"/>
          <w:jc w:val="center"/>
        </w:trPr>
        <w:tc>
          <w:tcPr>
            <w:tcW w:w="0" w:type="auto"/>
            <w:gridSpan w:val="3"/>
            <w:tcMar>
              <w:top w:w="30" w:type="dxa"/>
              <w:left w:w="20" w:type="dxa"/>
              <w:bottom w:w="30" w:type="dxa"/>
              <w:right w:w="20" w:type="dxa"/>
            </w:tcMar>
            <w:vAlign w:val="bottom"/>
            <w:hideMark/>
          </w:tcPr>
          <w:p w:rsidR="00000000" w:rsidRDefault="005B0BC3">
            <w:pPr>
              <w:spacing w:after="100"/>
              <w:divId w:val="1557621828"/>
              <w:rPr>
                <w:rFonts w:eastAsia="Times New Roman"/>
              </w:rPr>
            </w:pPr>
            <w:hyperlink w:anchor="i2ac35847634046b3a89f93d9b422e8f5_664" w:history="1">
              <w:r>
                <w:rPr>
                  <w:rStyle w:val="a3"/>
                  <w:rFonts w:eastAsia="Times New Roman"/>
                  <w:sz w:val="20"/>
                  <w:szCs w:val="20"/>
                </w:rPr>
                <w:t>Note 14 - Employee Benefit Plans</w:t>
              </w:r>
            </w:hyperlink>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hyperlink w:anchor="i2ac35847634046b3a89f93d9b422e8f5_664" w:history="1">
              <w:r>
                <w:rPr>
                  <w:rStyle w:val="a3"/>
                  <w:rFonts w:eastAsia="Times New Roman"/>
                  <w:sz w:val="20"/>
                  <w:szCs w:val="20"/>
                  <w:u w:val="none"/>
                </w:rPr>
                <w:t>204</w:t>
              </w:r>
            </w:hyperlink>
          </w:p>
        </w:tc>
      </w:tr>
      <w:tr w:rsidR="00000000">
        <w:trPr>
          <w:divId w:val="778447218"/>
          <w:jc w:val="center"/>
        </w:trPr>
        <w:tc>
          <w:tcPr>
            <w:tcW w:w="0" w:type="auto"/>
            <w:gridSpan w:val="3"/>
            <w:tcMar>
              <w:top w:w="30" w:type="dxa"/>
              <w:left w:w="20" w:type="dxa"/>
              <w:bottom w:w="30" w:type="dxa"/>
              <w:right w:w="20" w:type="dxa"/>
            </w:tcMar>
            <w:vAlign w:val="bottom"/>
            <w:hideMark/>
          </w:tcPr>
          <w:p w:rsidR="00000000" w:rsidRDefault="005B0BC3">
            <w:pPr>
              <w:spacing w:after="100"/>
              <w:divId w:val="225919906"/>
              <w:rPr>
                <w:rFonts w:eastAsia="Times New Roman"/>
              </w:rPr>
            </w:pPr>
            <w:hyperlink w:anchor="i2ac35847634046b3a89f93d9b422e8f5_670" w:history="1">
              <w:r>
                <w:rPr>
                  <w:rStyle w:val="a3"/>
                  <w:rFonts w:eastAsia="Times New Roman"/>
                  <w:sz w:val="20"/>
                  <w:szCs w:val="20"/>
                </w:rPr>
                <w:t>Note 15 - Share-Based and Other Compensation Programs</w:t>
              </w:r>
            </w:hyperlink>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hyperlink w:anchor="i2ac35847634046b3a89f93d9b422e8f5_670" w:history="1">
              <w:r>
                <w:rPr>
                  <w:rStyle w:val="a3"/>
                  <w:rFonts w:eastAsia="Times New Roman"/>
                  <w:sz w:val="20"/>
                  <w:szCs w:val="20"/>
                  <w:u w:val="none"/>
                </w:rPr>
                <w:t>212</w:t>
              </w:r>
            </w:hyperlink>
          </w:p>
        </w:tc>
      </w:tr>
      <w:tr w:rsidR="00000000">
        <w:trPr>
          <w:divId w:val="778447218"/>
          <w:jc w:val="center"/>
        </w:trPr>
        <w:tc>
          <w:tcPr>
            <w:tcW w:w="0" w:type="auto"/>
            <w:gridSpan w:val="3"/>
            <w:tcMar>
              <w:top w:w="30" w:type="dxa"/>
              <w:left w:w="20" w:type="dxa"/>
              <w:bottom w:w="30" w:type="dxa"/>
              <w:right w:w="20" w:type="dxa"/>
            </w:tcMar>
            <w:vAlign w:val="bottom"/>
            <w:hideMark/>
          </w:tcPr>
          <w:p w:rsidR="00000000" w:rsidRDefault="005B0BC3">
            <w:pPr>
              <w:spacing w:after="100"/>
              <w:divId w:val="1129937751"/>
              <w:rPr>
                <w:rFonts w:eastAsia="Times New Roman"/>
              </w:rPr>
            </w:pPr>
            <w:hyperlink w:anchor="i2ac35847634046b3a89f93d9b422e8f5_679" w:history="1">
              <w:r>
                <w:rPr>
                  <w:rStyle w:val="a3"/>
                  <w:rFonts w:eastAsia="Times New Roman"/>
                  <w:sz w:val="20"/>
                  <w:szCs w:val="20"/>
                </w:rPr>
                <w:t>Note 16 - Income Taxes</w:t>
              </w:r>
            </w:hyperlink>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hyperlink w:anchor="i2ac35847634046b3a89f93d9b422e8f5_679" w:history="1">
              <w:r>
                <w:rPr>
                  <w:rStyle w:val="a3"/>
                  <w:rFonts w:eastAsia="Times New Roman"/>
                  <w:sz w:val="20"/>
                  <w:szCs w:val="20"/>
                  <w:u w:val="none"/>
                </w:rPr>
                <w:t>217</w:t>
              </w:r>
            </w:hyperlink>
          </w:p>
        </w:tc>
      </w:tr>
      <w:tr w:rsidR="00000000">
        <w:trPr>
          <w:divId w:val="778447218"/>
          <w:jc w:val="center"/>
        </w:trPr>
        <w:tc>
          <w:tcPr>
            <w:tcW w:w="0" w:type="auto"/>
            <w:gridSpan w:val="3"/>
            <w:tcMar>
              <w:top w:w="30" w:type="dxa"/>
              <w:left w:w="20" w:type="dxa"/>
              <w:bottom w:w="30" w:type="dxa"/>
              <w:right w:w="20" w:type="dxa"/>
            </w:tcMar>
            <w:vAlign w:val="bottom"/>
            <w:hideMark/>
          </w:tcPr>
          <w:p w:rsidR="00000000" w:rsidRDefault="005B0BC3">
            <w:pPr>
              <w:spacing w:after="100"/>
              <w:divId w:val="1650473015"/>
              <w:rPr>
                <w:rFonts w:eastAsia="Times New Roman"/>
              </w:rPr>
            </w:pPr>
            <w:hyperlink w:anchor="i2ac35847634046b3a89f93d9b422e8f5_163" w:history="1">
              <w:r>
                <w:rPr>
                  <w:rStyle w:val="a3"/>
                  <w:rFonts w:eastAsia="Times New Roman"/>
                  <w:sz w:val="20"/>
                  <w:szCs w:val="20"/>
                </w:rPr>
                <w:t>Note 17 - Commitments and Contingent Liabilities</w:t>
              </w:r>
            </w:hyperlink>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hyperlink w:anchor="i2ac35847634046b3a89f93d9b422e8f5_163" w:history="1">
              <w:r>
                <w:rPr>
                  <w:rStyle w:val="a3"/>
                  <w:rFonts w:eastAsia="Times New Roman"/>
                  <w:sz w:val="20"/>
                  <w:szCs w:val="20"/>
                  <w:u w:val="none"/>
                </w:rPr>
                <w:t>219</w:t>
              </w:r>
            </w:hyperlink>
          </w:p>
        </w:tc>
      </w:tr>
      <w:tr w:rsidR="00000000">
        <w:trPr>
          <w:divId w:val="778447218"/>
          <w:jc w:val="center"/>
        </w:trPr>
        <w:tc>
          <w:tcPr>
            <w:tcW w:w="0" w:type="auto"/>
            <w:gridSpan w:val="3"/>
            <w:tcMar>
              <w:top w:w="30" w:type="dxa"/>
              <w:left w:w="20" w:type="dxa"/>
              <w:bottom w:w="30" w:type="dxa"/>
              <w:right w:w="20" w:type="dxa"/>
            </w:tcMar>
            <w:vAlign w:val="bottom"/>
            <w:hideMark/>
          </w:tcPr>
          <w:p w:rsidR="00000000" w:rsidRDefault="005B0BC3">
            <w:pPr>
              <w:spacing w:after="100"/>
              <w:divId w:val="652297946"/>
              <w:rPr>
                <w:rFonts w:eastAsia="Times New Roman"/>
              </w:rPr>
            </w:pPr>
            <w:hyperlink w:anchor="i2ac35847634046b3a89f93d9b422e8f5_682" w:history="1">
              <w:r>
                <w:rPr>
                  <w:rStyle w:val="a3"/>
                  <w:rFonts w:eastAsia="Times New Roman"/>
                  <w:sz w:val="20"/>
                  <w:szCs w:val="20"/>
                </w:rPr>
                <w:t>Note 18 - Insurance Group Statutory Financial Information</w:t>
              </w:r>
            </w:hyperlink>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hyperlink w:anchor="i2ac35847634046b3a89f93d9b422e8f5_682" w:history="1">
              <w:r>
                <w:rPr>
                  <w:rStyle w:val="a3"/>
                  <w:rFonts w:eastAsia="Times New Roman"/>
                  <w:sz w:val="20"/>
                  <w:szCs w:val="20"/>
                  <w:u w:val="none"/>
                </w:rPr>
                <w:t>222</w:t>
              </w:r>
            </w:hyperlink>
          </w:p>
        </w:tc>
      </w:tr>
      <w:tr w:rsidR="00000000">
        <w:trPr>
          <w:divId w:val="778447218"/>
          <w:jc w:val="center"/>
        </w:trPr>
        <w:tc>
          <w:tcPr>
            <w:tcW w:w="0" w:type="auto"/>
            <w:gridSpan w:val="3"/>
            <w:tcMar>
              <w:top w:w="30" w:type="dxa"/>
              <w:left w:w="20" w:type="dxa"/>
              <w:bottom w:w="30" w:type="dxa"/>
              <w:right w:w="20" w:type="dxa"/>
            </w:tcMar>
            <w:vAlign w:val="bottom"/>
            <w:hideMark/>
          </w:tcPr>
          <w:p w:rsidR="00000000" w:rsidRDefault="005B0BC3">
            <w:pPr>
              <w:spacing w:after="100"/>
              <w:divId w:val="1125730306"/>
              <w:rPr>
                <w:rFonts w:eastAsia="Times New Roman"/>
              </w:rPr>
            </w:pPr>
            <w:hyperlink w:anchor="i2ac35847634046b3a89f93d9b422e8f5_172" w:history="1">
              <w:r>
                <w:rPr>
                  <w:rStyle w:val="a3"/>
                  <w:rFonts w:eastAsia="Times New Roman"/>
                  <w:sz w:val="20"/>
                  <w:szCs w:val="20"/>
                </w:rPr>
                <w:t>Note 19 - Business Segment Information</w:t>
              </w:r>
            </w:hyperlink>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hyperlink w:anchor="i2ac35847634046b3a89f93d9b422e8f5_172" w:history="1">
              <w:r>
                <w:rPr>
                  <w:rStyle w:val="a3"/>
                  <w:rFonts w:eastAsia="Times New Roman"/>
                  <w:sz w:val="20"/>
                  <w:szCs w:val="20"/>
                  <w:u w:val="none"/>
                </w:rPr>
                <w:t>224</w:t>
              </w:r>
            </w:hyperlink>
          </w:p>
        </w:tc>
      </w:tr>
      <w:tr w:rsidR="00000000">
        <w:trPr>
          <w:divId w:val="778447218"/>
          <w:jc w:val="center"/>
        </w:trPr>
        <w:tc>
          <w:tcPr>
            <w:tcW w:w="0" w:type="auto"/>
            <w:gridSpan w:val="3"/>
            <w:tcMar>
              <w:top w:w="30" w:type="dxa"/>
              <w:left w:w="20" w:type="dxa"/>
              <w:bottom w:w="30" w:type="dxa"/>
              <w:right w:w="20" w:type="dxa"/>
            </w:tcMar>
            <w:vAlign w:val="bottom"/>
            <w:hideMark/>
          </w:tcPr>
          <w:p w:rsidR="00000000" w:rsidRDefault="005B0BC3">
            <w:pPr>
              <w:spacing w:after="100"/>
              <w:divId w:val="87427532"/>
              <w:rPr>
                <w:rFonts w:eastAsia="Times New Roman"/>
              </w:rPr>
            </w:pPr>
            <w:hyperlink w:anchor="i2ac35847634046b3a89f93d9b422e8f5_685" w:history="1">
              <w:r>
                <w:rPr>
                  <w:rStyle w:val="a3"/>
                  <w:rFonts w:eastAsia="Times New Roman"/>
                  <w:sz w:val="20"/>
                  <w:szCs w:val="20"/>
                </w:rPr>
                <w:t>Note 20 - Equity</w:t>
              </w:r>
            </w:hyperlink>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hyperlink w:anchor="i2ac35847634046b3a89f93d9b422e8f5_685" w:history="1">
              <w:r>
                <w:rPr>
                  <w:rStyle w:val="a3"/>
                  <w:rFonts w:eastAsia="Times New Roman"/>
                  <w:sz w:val="20"/>
                  <w:szCs w:val="20"/>
                  <w:u w:val="none"/>
                </w:rPr>
                <w:t>227</w:t>
              </w:r>
            </w:hyperlink>
          </w:p>
        </w:tc>
      </w:tr>
      <w:tr w:rsidR="00000000">
        <w:trPr>
          <w:divId w:val="778447218"/>
          <w:jc w:val="center"/>
        </w:trPr>
        <w:tc>
          <w:tcPr>
            <w:tcW w:w="0" w:type="auto"/>
            <w:gridSpan w:val="3"/>
            <w:tcMar>
              <w:top w:w="30" w:type="dxa"/>
              <w:left w:w="20" w:type="dxa"/>
              <w:bottom w:w="30" w:type="dxa"/>
              <w:right w:w="20" w:type="dxa"/>
            </w:tcMar>
            <w:vAlign w:val="bottom"/>
            <w:hideMark/>
          </w:tcPr>
          <w:p w:rsidR="00000000" w:rsidRDefault="005B0BC3">
            <w:pPr>
              <w:spacing w:after="100"/>
              <w:divId w:val="1451585148"/>
              <w:rPr>
                <w:rFonts w:eastAsia="Times New Roman"/>
              </w:rPr>
            </w:pPr>
            <w:hyperlink w:anchor="i2ac35847634046b3a89f93d9b422e8f5_694" w:history="1">
              <w:r>
                <w:rPr>
                  <w:rStyle w:val="a3"/>
                  <w:rFonts w:eastAsia="Times New Roman"/>
                  <w:sz w:val="20"/>
                  <w:szCs w:val="20"/>
                </w:rPr>
                <w:t>Note 21 - Earnings Per Share</w:t>
              </w:r>
            </w:hyperlink>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hyperlink w:anchor="i2ac35847634046b3a89f93d9b422e8f5_694" w:history="1">
              <w:r>
                <w:rPr>
                  <w:rStyle w:val="a3"/>
                  <w:rFonts w:eastAsia="Times New Roman"/>
                  <w:sz w:val="20"/>
                  <w:szCs w:val="20"/>
                  <w:u w:val="none"/>
                </w:rPr>
                <w:t>231</w:t>
              </w:r>
            </w:hyperlink>
          </w:p>
        </w:tc>
      </w:tr>
      <w:tr w:rsidR="00000000">
        <w:trPr>
          <w:divId w:val="778447218"/>
          <w:jc w:val="center"/>
        </w:trPr>
        <w:tc>
          <w:tcPr>
            <w:tcW w:w="0" w:type="auto"/>
            <w:gridSpan w:val="3"/>
            <w:vAlign w:val="center"/>
            <w:hideMark/>
          </w:tcPr>
          <w:p w:rsidR="00000000" w:rsidRDefault="005B0BC3">
            <w:pPr>
              <w:spacing w:after="100"/>
              <w:jc w:val="center"/>
              <w:rPr>
                <w:rFonts w:eastAsia="Times New Roman"/>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778447218"/>
          <w:jc w:val="center"/>
        </w:trPr>
        <w:tc>
          <w:tcPr>
            <w:tcW w:w="0" w:type="auto"/>
            <w:gridSpan w:val="3"/>
            <w:tcMar>
              <w:top w:w="30" w:type="dxa"/>
              <w:left w:w="20" w:type="dxa"/>
              <w:bottom w:w="30" w:type="dxa"/>
              <w:right w:w="20" w:type="dxa"/>
            </w:tcMar>
            <w:vAlign w:val="bottom"/>
            <w:hideMark/>
          </w:tcPr>
          <w:p w:rsidR="00000000" w:rsidRDefault="005B0BC3">
            <w:pPr>
              <w:spacing w:after="100"/>
              <w:divId w:val="556013748"/>
              <w:rPr>
                <w:rFonts w:eastAsia="Times New Roman"/>
              </w:rPr>
            </w:pPr>
            <w:hyperlink w:anchor="i2ac35847634046b3a89f93d9b422e8f5_160" w:history="1">
              <w:r>
                <w:rPr>
                  <w:rStyle w:val="a3"/>
                  <w:rFonts w:eastAsia="Times New Roman"/>
                  <w:sz w:val="20"/>
                  <w:szCs w:val="20"/>
                </w:rPr>
                <w:t>Note 22 - Redeemable Noncontrolling Interest</w:t>
              </w:r>
            </w:hyperlink>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hyperlink w:anchor="i2ac35847634046b3a89f93d9b422e8f5_160" w:history="1">
              <w:r>
                <w:rPr>
                  <w:rStyle w:val="a3"/>
                  <w:rFonts w:eastAsia="Times New Roman"/>
                  <w:sz w:val="20"/>
                  <w:szCs w:val="20"/>
                  <w:u w:val="none"/>
                </w:rPr>
                <w:t>231</w:t>
              </w:r>
            </w:hyperlink>
          </w:p>
        </w:tc>
      </w:tr>
      <w:tr w:rsidR="00000000">
        <w:trPr>
          <w:divId w:val="778447218"/>
          <w:jc w:val="center"/>
        </w:trPr>
        <w:tc>
          <w:tcPr>
            <w:tcW w:w="0" w:type="auto"/>
            <w:gridSpan w:val="3"/>
            <w:tcMar>
              <w:top w:w="30" w:type="dxa"/>
              <w:left w:w="20" w:type="dxa"/>
              <w:bottom w:w="30" w:type="dxa"/>
              <w:right w:w="20" w:type="dxa"/>
            </w:tcMar>
            <w:vAlign w:val="bottom"/>
            <w:hideMark/>
          </w:tcPr>
          <w:p w:rsidR="00000000" w:rsidRDefault="005B0BC3">
            <w:pPr>
              <w:spacing w:after="100"/>
              <w:divId w:val="822964134"/>
              <w:rPr>
                <w:rFonts w:eastAsia="Times New Roman"/>
              </w:rPr>
            </w:pPr>
            <w:hyperlink w:anchor="i2ac35847634046b3a89f93d9b422e8f5_178" w:history="1">
              <w:r>
                <w:rPr>
                  <w:rStyle w:val="a3"/>
                  <w:rFonts w:eastAsia="Times New Roman"/>
                  <w:sz w:val="20"/>
                  <w:szCs w:val="20"/>
                </w:rPr>
                <w:t>Note 23 - Held-For-Sale</w:t>
              </w:r>
            </w:hyperlink>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hyperlink w:anchor="i2ac35847634046b3a89f93d9b422e8f5_178" w:history="1">
              <w:r>
                <w:rPr>
                  <w:rStyle w:val="a3"/>
                  <w:rFonts w:eastAsia="Times New Roman"/>
                  <w:sz w:val="20"/>
                  <w:szCs w:val="20"/>
                  <w:u w:val="none"/>
                </w:rPr>
                <w:t>231</w:t>
              </w:r>
            </w:hyperlink>
          </w:p>
        </w:tc>
      </w:tr>
      <w:tr w:rsidR="00000000">
        <w:trPr>
          <w:divId w:val="778447218"/>
          <w:jc w:val="center"/>
        </w:trPr>
        <w:tc>
          <w:tcPr>
            <w:tcW w:w="0" w:type="auto"/>
            <w:gridSpan w:val="3"/>
            <w:vAlign w:val="center"/>
            <w:hideMark/>
          </w:tcPr>
          <w:p w:rsidR="00000000" w:rsidRDefault="005B0BC3">
            <w:pPr>
              <w:spacing w:after="100"/>
              <w:jc w:val="center"/>
              <w:rPr>
                <w:rFonts w:eastAsia="Times New Roman"/>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778447218"/>
          <w:jc w:val="center"/>
        </w:trPr>
        <w:tc>
          <w:tcPr>
            <w:tcW w:w="0" w:type="auto"/>
            <w:gridSpan w:val="3"/>
            <w:tcMar>
              <w:top w:w="30" w:type="dxa"/>
              <w:left w:w="20" w:type="dxa"/>
              <w:bottom w:w="30" w:type="dxa"/>
              <w:right w:w="20" w:type="dxa"/>
            </w:tcMar>
            <w:vAlign w:val="bottom"/>
            <w:hideMark/>
          </w:tcPr>
          <w:p w:rsidR="00000000" w:rsidRDefault="005B0BC3">
            <w:pPr>
              <w:spacing w:after="100"/>
              <w:divId w:val="1622032608"/>
              <w:rPr>
                <w:rFonts w:eastAsia="Times New Roman"/>
              </w:rPr>
            </w:pPr>
            <w:hyperlink w:anchor="i2ac35847634046b3a89f93d9b422e8f5_181" w:history="1">
              <w:r>
                <w:rPr>
                  <w:rStyle w:val="a3"/>
                  <w:rFonts w:eastAsia="Times New Roman"/>
                  <w:sz w:val="20"/>
                  <w:szCs w:val="20"/>
                </w:rPr>
                <w:t>Note 2</w:t>
              </w:r>
            </w:hyperlink>
            <w:hyperlink w:anchor="i2ac35847634046b3a89f93d9b422e8f5_181" w:history="1">
              <w:r>
                <w:rPr>
                  <w:rStyle w:val="a3"/>
                  <w:rFonts w:eastAsia="Times New Roman"/>
                  <w:sz w:val="20"/>
                  <w:szCs w:val="20"/>
                </w:rPr>
                <w:t>4</w:t>
              </w:r>
            </w:hyperlink>
            <w:hyperlink w:anchor="i2ac35847634046b3a89f93d9b422e8f5_181" w:history="1">
              <w:r>
                <w:rPr>
                  <w:rStyle w:val="a3"/>
                  <w:rFonts w:eastAsia="Times New Roman"/>
                  <w:sz w:val="20"/>
                  <w:szCs w:val="20"/>
                </w:rPr>
                <w:t xml:space="preserve"> - Subsequent Events</w:t>
              </w:r>
            </w:hyperlink>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hyperlink w:anchor="i2ac35847634046b3a89f93d9b422e8f5_181" w:history="1">
              <w:r>
                <w:rPr>
                  <w:rStyle w:val="a3"/>
                  <w:rFonts w:eastAsia="Times New Roman"/>
                  <w:sz w:val="20"/>
                  <w:szCs w:val="20"/>
                  <w:u w:val="none"/>
                </w:rPr>
                <w:t>232</w:t>
              </w:r>
            </w:hyperlink>
          </w:p>
        </w:tc>
      </w:tr>
      <w:tr w:rsidR="00000000">
        <w:trPr>
          <w:divId w:val="778447218"/>
          <w:jc w:val="center"/>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Audited Consolidated Financial Statement Schedules</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r>
      <w:tr w:rsidR="00000000">
        <w:trPr>
          <w:divId w:val="778447218"/>
          <w:jc w:val="center"/>
        </w:trPr>
        <w:tc>
          <w:tcPr>
            <w:tcW w:w="0" w:type="auto"/>
            <w:gridSpan w:val="3"/>
            <w:tcMar>
              <w:top w:w="30" w:type="dxa"/>
              <w:left w:w="20" w:type="dxa"/>
              <w:bottom w:w="30" w:type="dxa"/>
              <w:right w:w="20" w:type="dxa"/>
            </w:tcMar>
            <w:hideMark/>
          </w:tcPr>
          <w:p w:rsidR="00000000" w:rsidRDefault="005B0BC3">
            <w:pPr>
              <w:spacing w:after="100"/>
              <w:divId w:val="1540170089"/>
              <w:rPr>
                <w:rFonts w:eastAsia="Times New Roman"/>
              </w:rPr>
            </w:pPr>
            <w:hyperlink w:anchor="i2ac35847634046b3a89f93d9b422e8f5_871" w:history="1">
              <w:r>
                <w:rPr>
                  <w:rStyle w:val="a3"/>
                  <w:rFonts w:eastAsia="Times New Roman"/>
                  <w:sz w:val="20"/>
                  <w:szCs w:val="20"/>
                </w:rPr>
                <w:t>Schedule I - Summary of Investments - Other than Investments in Related Parties, December 31, 2021</w:t>
              </w:r>
            </w:hyperlink>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hyperlink w:anchor="i2ac35847634046b3a89f93d9b422e8f5_871" w:history="1">
              <w:r>
                <w:rPr>
                  <w:rStyle w:val="a3"/>
                  <w:rFonts w:eastAsia="Times New Roman"/>
                  <w:sz w:val="20"/>
                  <w:szCs w:val="20"/>
                </w:rPr>
                <w:t>232</w:t>
              </w:r>
            </w:hyperlink>
          </w:p>
        </w:tc>
      </w:tr>
      <w:tr w:rsidR="00000000">
        <w:trPr>
          <w:divId w:val="778447218"/>
          <w:jc w:val="center"/>
        </w:trPr>
        <w:tc>
          <w:tcPr>
            <w:tcW w:w="0" w:type="auto"/>
            <w:gridSpan w:val="3"/>
            <w:tcMar>
              <w:top w:w="30" w:type="dxa"/>
              <w:left w:w="20" w:type="dxa"/>
              <w:bottom w:w="30" w:type="dxa"/>
              <w:right w:w="20" w:type="dxa"/>
            </w:tcMar>
            <w:hideMark/>
          </w:tcPr>
          <w:p w:rsidR="00000000" w:rsidRDefault="005B0BC3">
            <w:pPr>
              <w:spacing w:after="100"/>
              <w:divId w:val="1569920837"/>
              <w:rPr>
                <w:rFonts w:eastAsia="Times New Roman"/>
              </w:rPr>
            </w:pPr>
            <w:hyperlink w:anchor="i2ac35847634046b3a89f93d9b422e8f5_874" w:history="1">
              <w:r>
                <w:rPr>
                  <w:rStyle w:val="a3"/>
                  <w:rFonts w:eastAsia="Times New Roman"/>
                  <w:sz w:val="20"/>
                  <w:szCs w:val="20"/>
                </w:rPr>
                <w:t>Schedule II -</w:t>
              </w:r>
            </w:hyperlink>
            <w:hyperlink w:anchor="i2ac35847634046b3a89f93d9b422e8f5_874" w:history="1">
              <w:r>
                <w:rPr>
                  <w:rStyle w:val="a3"/>
                  <w:rFonts w:eastAsia="Times New Roman"/>
                  <w:sz w:val="20"/>
                  <w:szCs w:val="20"/>
                </w:rPr>
                <w:t xml:space="preserve"> Balance Sheets (</w:t>
              </w:r>
            </w:hyperlink>
            <w:hyperlink w:anchor="i2ac35847634046b3a89f93d9b422e8f5_874" w:history="1">
              <w:r>
                <w:rPr>
                  <w:rStyle w:val="a3"/>
                  <w:rFonts w:eastAsia="Times New Roman"/>
                  <w:sz w:val="20"/>
                  <w:szCs w:val="20"/>
                </w:rPr>
                <w:t xml:space="preserve"> Parent Company</w:t>
              </w:r>
            </w:hyperlink>
            <w:hyperlink w:anchor="i2ac35847634046b3a89f93d9b422e8f5_874" w:history="1">
              <w:r>
                <w:rPr>
                  <w:rStyle w:val="a3"/>
                  <w:rFonts w:eastAsia="Times New Roman"/>
                  <w:sz w:val="20"/>
                  <w:szCs w:val="20"/>
                </w:rPr>
                <w:t>)</w:t>
              </w:r>
            </w:hyperlink>
            <w:hyperlink w:anchor="i2ac35847634046b3a89f93d9b422e8f5_874" w:history="1">
              <w:r>
                <w:rPr>
                  <w:rStyle w:val="a3"/>
                  <w:rFonts w:eastAsia="Times New Roman"/>
                  <w:sz w:val="20"/>
                  <w:szCs w:val="20"/>
                </w:rPr>
                <w:t>, December 31, 2021 and 2020 and Years Ended December 31, 2021, 2020 and 2019</w:t>
              </w:r>
            </w:hyperlink>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hyperlink w:anchor="i2ac35847634046b3a89f93d9b422e8f5_874" w:history="1">
              <w:r>
                <w:rPr>
                  <w:rStyle w:val="a3"/>
                  <w:rFonts w:eastAsia="Times New Roman"/>
                  <w:sz w:val="20"/>
                  <w:szCs w:val="20"/>
                </w:rPr>
                <w:t>234</w:t>
              </w:r>
            </w:hyperlink>
          </w:p>
        </w:tc>
      </w:tr>
      <w:tr w:rsidR="00000000">
        <w:trPr>
          <w:divId w:val="778447218"/>
          <w:jc w:val="center"/>
        </w:trPr>
        <w:tc>
          <w:tcPr>
            <w:tcW w:w="0" w:type="auto"/>
            <w:gridSpan w:val="3"/>
            <w:tcMar>
              <w:top w:w="30" w:type="dxa"/>
              <w:left w:w="20" w:type="dxa"/>
              <w:bottom w:w="30" w:type="dxa"/>
              <w:right w:w="20" w:type="dxa"/>
            </w:tcMar>
            <w:hideMark/>
          </w:tcPr>
          <w:p w:rsidR="00000000" w:rsidRDefault="005B0BC3">
            <w:pPr>
              <w:spacing w:after="100"/>
              <w:divId w:val="1230574797"/>
              <w:rPr>
                <w:rFonts w:eastAsia="Times New Roman"/>
              </w:rPr>
            </w:pPr>
            <w:hyperlink w:anchor="i2ac35847634046b3a89f93d9b422e8f5_880" w:history="1">
              <w:r>
                <w:rPr>
                  <w:rStyle w:val="a3"/>
                  <w:rFonts w:eastAsia="Times New Roman"/>
                  <w:sz w:val="20"/>
                  <w:szCs w:val="20"/>
                </w:rPr>
                <w:t>Schedule III - Supplementary Insurance Information, as of and for the Years Ended December 31, 2021, 2020 and 2019</w:t>
              </w:r>
            </w:hyperlink>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hyperlink w:anchor="i2ac35847634046b3a89f93d9b422e8f5_880" w:history="1">
              <w:r>
                <w:rPr>
                  <w:rStyle w:val="a3"/>
                  <w:rFonts w:eastAsia="Times New Roman"/>
                  <w:sz w:val="20"/>
                  <w:szCs w:val="20"/>
                </w:rPr>
                <w:t>238</w:t>
              </w:r>
            </w:hyperlink>
          </w:p>
        </w:tc>
      </w:tr>
      <w:tr w:rsidR="00000000">
        <w:trPr>
          <w:divId w:val="778447218"/>
          <w:jc w:val="center"/>
        </w:trPr>
        <w:tc>
          <w:tcPr>
            <w:tcW w:w="0" w:type="auto"/>
            <w:gridSpan w:val="3"/>
            <w:tcMar>
              <w:top w:w="30" w:type="dxa"/>
              <w:left w:w="20" w:type="dxa"/>
              <w:bottom w:w="30" w:type="dxa"/>
              <w:right w:w="20" w:type="dxa"/>
            </w:tcMar>
            <w:hideMark/>
          </w:tcPr>
          <w:p w:rsidR="00000000" w:rsidRDefault="005B0BC3">
            <w:pPr>
              <w:spacing w:after="100"/>
              <w:divId w:val="365566218"/>
              <w:rPr>
                <w:rFonts w:eastAsia="Times New Roman"/>
              </w:rPr>
            </w:pPr>
            <w:hyperlink w:anchor="i2ac35847634046b3a89f93d9b422e8f5_883" w:history="1">
              <w:r>
                <w:rPr>
                  <w:rStyle w:val="a3"/>
                  <w:rFonts w:eastAsia="Times New Roman"/>
                  <w:sz w:val="20"/>
                  <w:szCs w:val="20"/>
                </w:rPr>
                <w:t>Schedule IV - Reinsurance, Years Ended December 31, 2021, 2020 and 2019</w:t>
              </w:r>
            </w:hyperlink>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hyperlink w:anchor="i2ac35847634046b3a89f93d9b422e8f5_883" w:history="1">
              <w:r>
                <w:rPr>
                  <w:rStyle w:val="a3"/>
                  <w:rFonts w:eastAsia="Times New Roman"/>
                  <w:sz w:val="20"/>
                  <w:szCs w:val="20"/>
                </w:rPr>
                <w:t>239</w:t>
              </w:r>
            </w:hyperlink>
          </w:p>
        </w:tc>
      </w:tr>
      <w:tr w:rsidR="00000000">
        <w:trPr>
          <w:divId w:val="778447218"/>
          <w:trHeight w:val="60"/>
          <w:jc w:val="center"/>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bl>
    <w:p w:rsidR="00000000" w:rsidRDefault="005B0BC3">
      <w:pPr>
        <w:jc w:val="center"/>
        <w:divId w:val="299844357"/>
        <w:rPr>
          <w:rFonts w:eastAsia="Times New Roman"/>
        </w:rPr>
      </w:pPr>
      <w:r>
        <w:rPr>
          <w:rFonts w:eastAsia="Times New Roman"/>
          <w:color w:val="000000"/>
          <w:sz w:val="20"/>
          <w:szCs w:val="20"/>
        </w:rPr>
        <w:t>127</w:t>
      </w:r>
    </w:p>
    <w:p w:rsidR="00000000" w:rsidRDefault="005B0BC3">
      <w:pPr>
        <w:rPr>
          <w:rFonts w:eastAsia="Times New Roman"/>
        </w:rPr>
      </w:pPr>
      <w:r>
        <w:rPr>
          <w:rFonts w:eastAsia="Times New Roman"/>
        </w:rPr>
        <w:pict>
          <v:rect id="_x0000_i1165" style="width:0;height:1.5pt" o:hralign="center" o:hrstd="t" o:hr="t" fillcolor="#a0a0a0" stroked="f"/>
        </w:pict>
      </w:r>
    </w:p>
    <w:p w:rsidR="00000000" w:rsidRDefault="005B0BC3">
      <w:pPr>
        <w:divId w:val="1951664132"/>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jc w:val="center"/>
        <w:rPr>
          <w:rFonts w:eastAsia="Times New Roman"/>
        </w:rPr>
      </w:pPr>
      <w:r>
        <w:rPr>
          <w:rFonts w:eastAsia="Times New Roman"/>
          <w:b/>
          <w:bCs/>
          <w:color w:val="000000"/>
          <w:sz w:val="20"/>
          <w:szCs w:val="20"/>
        </w:rPr>
        <w:t>Report of Independent Registered Public Accounting Firm</w:t>
      </w:r>
    </w:p>
    <w:p w:rsidR="00000000" w:rsidRDefault="005B0BC3">
      <w:pPr>
        <w:divId w:val="1268931567"/>
        <w:rPr>
          <w:rFonts w:eastAsia="Times New Roman"/>
        </w:rPr>
      </w:pPr>
    </w:p>
    <w:p w:rsidR="00000000" w:rsidRDefault="005B0BC3">
      <w:pPr>
        <w:divId w:val="1900047501"/>
        <w:rPr>
          <w:rFonts w:eastAsia="Times New Roman"/>
        </w:rPr>
      </w:pPr>
      <w:r>
        <w:rPr>
          <w:rFonts w:eastAsia="Times New Roman"/>
          <w:color w:val="000000"/>
          <w:sz w:val="20"/>
          <w:szCs w:val="20"/>
        </w:rPr>
        <w:t>To the Board of Directors and Stockholders of Equitable Holdings, Inc.</w:t>
      </w:r>
    </w:p>
    <w:p w:rsidR="00000000" w:rsidRDefault="005B0BC3">
      <w:pPr>
        <w:divId w:val="1972468331"/>
        <w:rPr>
          <w:rFonts w:eastAsia="Times New Roman"/>
        </w:rPr>
      </w:pPr>
      <w:r>
        <w:rPr>
          <w:rFonts w:eastAsia="Times New Roman"/>
          <w:b/>
          <w:bCs/>
          <w:color w:val="000000"/>
          <w:sz w:val="20"/>
          <w:szCs w:val="20"/>
        </w:rPr>
        <w:t>Opinions on the Financial Statements and Internal Control over Financial Reporting</w:t>
      </w:r>
    </w:p>
    <w:p w:rsidR="00000000" w:rsidRDefault="005B0BC3">
      <w:pPr>
        <w:divId w:val="2056927717"/>
        <w:rPr>
          <w:rFonts w:eastAsia="Times New Roman"/>
        </w:rPr>
      </w:pPr>
      <w:r>
        <w:rPr>
          <w:rFonts w:eastAsia="Times New Roman"/>
          <w:color w:val="000000"/>
          <w:sz w:val="20"/>
          <w:szCs w:val="20"/>
        </w:rPr>
        <w:t>We have audited the consolidated financial statements, including the related notes and financial state</w:t>
      </w:r>
      <w:r>
        <w:rPr>
          <w:rFonts w:eastAsia="Times New Roman"/>
          <w:color w:val="000000"/>
          <w:sz w:val="20"/>
          <w:szCs w:val="20"/>
        </w:rPr>
        <w:t>ment schedules, of Equitable Holdings, Inc. and its subsidiaries (the “Company”) as listed in the accompanying index (collectively referred to as the “consolidated financial statements”). We also have audited the Company's internal control over financial r</w:t>
      </w:r>
      <w:r>
        <w:rPr>
          <w:rFonts w:eastAsia="Times New Roman"/>
          <w:color w:val="000000"/>
          <w:sz w:val="20"/>
          <w:szCs w:val="20"/>
        </w:rPr>
        <w:t>eporting as of December 31, 2021, based on criteria established in Internal Control - Integrated Framework (2013) issued by the Committee of Sponsoring Organizations of the Treadway Commission (COSO).</w:t>
      </w:r>
    </w:p>
    <w:p w:rsidR="00000000" w:rsidRDefault="005B0BC3">
      <w:pPr>
        <w:divId w:val="757750597"/>
        <w:rPr>
          <w:rFonts w:eastAsia="Times New Roman"/>
        </w:rPr>
      </w:pPr>
      <w:r>
        <w:rPr>
          <w:rFonts w:eastAsia="Times New Roman"/>
          <w:color w:val="000000"/>
          <w:sz w:val="20"/>
          <w:szCs w:val="20"/>
        </w:rPr>
        <w:t>In our opinion, the consolidated financial statements r</w:t>
      </w:r>
      <w:r>
        <w:rPr>
          <w:rFonts w:eastAsia="Times New Roman"/>
          <w:color w:val="000000"/>
          <w:sz w:val="20"/>
          <w:szCs w:val="20"/>
        </w:rPr>
        <w:t>eferred to above present fairly, in all material respects, the financial position of the Company as of December 31, 2021 and 2020, and the results of its operations and its cash flows for each of the three years in the period ended December 31, 2021, in co</w:t>
      </w:r>
      <w:r>
        <w:rPr>
          <w:rFonts w:eastAsia="Times New Roman"/>
          <w:color w:val="000000"/>
          <w:sz w:val="20"/>
          <w:szCs w:val="20"/>
        </w:rPr>
        <w:t>nformity with accounting principles generally accepted in the United States of America. Also in our opinion, the Company maintained, in all material respects, effective internal control over financial reporting as of December 31, 2021, based on criteria es</w:t>
      </w:r>
      <w:r>
        <w:rPr>
          <w:rFonts w:eastAsia="Times New Roman"/>
          <w:color w:val="000000"/>
          <w:sz w:val="20"/>
          <w:szCs w:val="20"/>
        </w:rPr>
        <w:t>tablished in Internal Control - Integrated Framework (2013) issued by the COSO.</w:t>
      </w:r>
    </w:p>
    <w:p w:rsidR="00000000" w:rsidRDefault="005B0BC3">
      <w:pPr>
        <w:divId w:val="415902605"/>
        <w:rPr>
          <w:rFonts w:eastAsia="Times New Roman"/>
        </w:rPr>
      </w:pPr>
      <w:r>
        <w:rPr>
          <w:rFonts w:eastAsia="Times New Roman"/>
          <w:b/>
          <w:bCs/>
          <w:color w:val="000000"/>
          <w:sz w:val="20"/>
          <w:szCs w:val="20"/>
        </w:rPr>
        <w:t>Basis for Opinions</w:t>
      </w:r>
    </w:p>
    <w:p w:rsidR="00000000" w:rsidRDefault="005B0BC3">
      <w:pPr>
        <w:divId w:val="1512718159"/>
        <w:rPr>
          <w:rFonts w:eastAsia="Times New Roman"/>
        </w:rPr>
      </w:pPr>
      <w:r>
        <w:rPr>
          <w:rFonts w:eastAsia="Times New Roman"/>
          <w:color w:val="000000"/>
          <w:sz w:val="20"/>
          <w:szCs w:val="20"/>
        </w:rPr>
        <w:t>The Company's management is responsible for these consolidated financial statements, for maintaining effective internal control over financial reporting, and</w:t>
      </w:r>
      <w:r>
        <w:rPr>
          <w:rFonts w:eastAsia="Times New Roman"/>
          <w:color w:val="000000"/>
          <w:sz w:val="20"/>
          <w:szCs w:val="20"/>
        </w:rPr>
        <w:t xml:space="preserve"> for its assessment of the effectiveness of internal control over financial reporting, included in Management’s Annual Report on Internal Control Over Financial Reporting appearing under Item 9A. Our responsibility is to express opinions on the Company’s c</w:t>
      </w:r>
      <w:r>
        <w:rPr>
          <w:rFonts w:eastAsia="Times New Roman"/>
          <w:color w:val="000000"/>
          <w:sz w:val="20"/>
          <w:szCs w:val="20"/>
        </w:rPr>
        <w:t>onsolidated financial statements and on the Company's internal control over financial reporting based on our audits. We are a public accounting firm registered with the Public Company Accounting Oversight Board (United States) (PCAOB) and are required to b</w:t>
      </w:r>
      <w:r>
        <w:rPr>
          <w:rFonts w:eastAsia="Times New Roman"/>
          <w:color w:val="000000"/>
          <w:sz w:val="20"/>
          <w:szCs w:val="20"/>
        </w:rPr>
        <w:t>e independent with respect to the Company in accordance with the U.S. federal securities laws and the applicable rules and regulations of the Securities and Exchange Commission and the PCAOB.</w:t>
      </w:r>
    </w:p>
    <w:p w:rsidR="00000000" w:rsidRDefault="005B0BC3">
      <w:pPr>
        <w:divId w:val="1126391431"/>
        <w:rPr>
          <w:rFonts w:eastAsia="Times New Roman"/>
        </w:rPr>
      </w:pPr>
      <w:r>
        <w:rPr>
          <w:rFonts w:eastAsia="Times New Roman"/>
          <w:color w:val="000000"/>
          <w:sz w:val="20"/>
          <w:szCs w:val="20"/>
        </w:rPr>
        <w:t xml:space="preserve">We conducted our audits in accordance with the standards of the </w:t>
      </w:r>
      <w:r>
        <w:rPr>
          <w:rFonts w:eastAsia="Times New Roman"/>
          <w:color w:val="000000"/>
          <w:sz w:val="20"/>
          <w:szCs w:val="20"/>
        </w:rPr>
        <w:t>PCAOB. Those standards require that we plan and perform the audits to obtain reasonable assurance about whether the consolidated financial statements are free of material misstatement, whether due to error or fraud, and whether effective internal control o</w:t>
      </w:r>
      <w:r>
        <w:rPr>
          <w:rFonts w:eastAsia="Times New Roman"/>
          <w:color w:val="000000"/>
          <w:sz w:val="20"/>
          <w:szCs w:val="20"/>
        </w:rPr>
        <w:t>ver financial reporting was maintained in all material respects.</w:t>
      </w:r>
    </w:p>
    <w:p w:rsidR="00000000" w:rsidRDefault="005B0BC3">
      <w:pPr>
        <w:divId w:val="138352305"/>
        <w:rPr>
          <w:rFonts w:eastAsia="Times New Roman"/>
        </w:rPr>
      </w:pPr>
      <w:r>
        <w:rPr>
          <w:rFonts w:eastAsia="Times New Roman"/>
          <w:color w:val="000000"/>
          <w:sz w:val="20"/>
          <w:szCs w:val="20"/>
        </w:rPr>
        <w:t xml:space="preserve">Our audits of the consolidated financial statements included performing procedures to assess the risks of material misstatement of the consolidated financial statements, whether due to error </w:t>
      </w:r>
      <w:r>
        <w:rPr>
          <w:rFonts w:eastAsia="Times New Roman"/>
          <w:color w:val="000000"/>
          <w:sz w:val="20"/>
          <w:szCs w:val="20"/>
        </w:rPr>
        <w:t>or fraud, and performing procedures that respond to those risks. Such procedures included examining, on a test basis, evidence regarding the amounts and disclosures in the consolidated financial statements. Our audits also included evaluating the accountin</w:t>
      </w:r>
      <w:r>
        <w:rPr>
          <w:rFonts w:eastAsia="Times New Roman"/>
          <w:color w:val="000000"/>
          <w:sz w:val="20"/>
          <w:szCs w:val="20"/>
        </w:rPr>
        <w:t xml:space="preserve">g principles used and significant estimates made by management, as well as evaluating the overall presentation of the consolidated financial statements. Our audit of internal control over financial reporting included obtaining an understanding of internal </w:t>
      </w:r>
      <w:r>
        <w:rPr>
          <w:rFonts w:eastAsia="Times New Roman"/>
          <w:color w:val="000000"/>
          <w:sz w:val="20"/>
          <w:szCs w:val="20"/>
        </w:rPr>
        <w:t>control over financial reporting, assessing the risk that a material weakness exists, and testing and evaluating the design and operating effectiveness of internal control based on the assessed risk. Our audits also included performing such other procedure</w:t>
      </w:r>
      <w:r>
        <w:rPr>
          <w:rFonts w:eastAsia="Times New Roman"/>
          <w:color w:val="000000"/>
          <w:sz w:val="20"/>
          <w:szCs w:val="20"/>
        </w:rPr>
        <w:t>s as we considered necessary in the circumstances. We believe that our audits provide a reasonable basis for our opinions.</w:t>
      </w:r>
    </w:p>
    <w:p w:rsidR="00000000" w:rsidRDefault="005B0BC3">
      <w:pPr>
        <w:divId w:val="189925534"/>
        <w:rPr>
          <w:rFonts w:eastAsia="Times New Roman"/>
        </w:rPr>
      </w:pPr>
      <w:r>
        <w:rPr>
          <w:rFonts w:eastAsia="Times New Roman"/>
          <w:b/>
          <w:bCs/>
          <w:color w:val="000000"/>
          <w:sz w:val="20"/>
          <w:szCs w:val="20"/>
        </w:rPr>
        <w:t>Definition and Limitations of Internal Control over Financial Reporting</w:t>
      </w:r>
    </w:p>
    <w:p w:rsidR="00000000" w:rsidRDefault="005B0BC3">
      <w:pPr>
        <w:divId w:val="563294010"/>
        <w:rPr>
          <w:rFonts w:eastAsia="Times New Roman"/>
        </w:rPr>
      </w:pPr>
      <w:r>
        <w:rPr>
          <w:rFonts w:eastAsia="Times New Roman"/>
          <w:color w:val="000000"/>
          <w:sz w:val="20"/>
          <w:szCs w:val="20"/>
        </w:rPr>
        <w:t>A company’s internal control over financial reporting is a pr</w:t>
      </w:r>
      <w:r>
        <w:rPr>
          <w:rFonts w:eastAsia="Times New Roman"/>
          <w:color w:val="000000"/>
          <w:sz w:val="20"/>
          <w:szCs w:val="20"/>
        </w:rPr>
        <w:t>ocess designed to provide reasonable assurance regarding the reliability of financial reporting and the preparation of financial statements for external purposes in accordance with generally accepted accounting principles. A company’s internal control over</w:t>
      </w:r>
      <w:r>
        <w:rPr>
          <w:rFonts w:eastAsia="Times New Roman"/>
          <w:color w:val="000000"/>
          <w:sz w:val="20"/>
          <w:szCs w:val="20"/>
        </w:rPr>
        <w:t xml:space="preserve"> financial reporting includes those policies and procedures that (i) pertain to the maintenance of records that, in reasonable detail, accurately and fairly reflect the transactions and dispositions of the assets of the company; (ii) provide reasonable ass</w:t>
      </w:r>
      <w:r>
        <w:rPr>
          <w:rFonts w:eastAsia="Times New Roman"/>
          <w:color w:val="000000"/>
          <w:sz w:val="20"/>
          <w:szCs w:val="20"/>
        </w:rPr>
        <w:t>urance that transactions are recorded as necessary to permit preparation of financial statements in accordance with generally accepted accounting principles, and that receipts and expenditures of the company are being made only in accordance with authoriza</w:t>
      </w:r>
      <w:r>
        <w:rPr>
          <w:rFonts w:eastAsia="Times New Roman"/>
          <w:color w:val="000000"/>
          <w:sz w:val="20"/>
          <w:szCs w:val="20"/>
        </w:rPr>
        <w:t>tions of management and directors of the company; and (iii) provide reasonable assurance regarding prevention or timely detection of unauthorized acquisition, use, or disposition of the company’s assets that could have a material effect on the financial st</w:t>
      </w:r>
      <w:r>
        <w:rPr>
          <w:rFonts w:eastAsia="Times New Roman"/>
          <w:color w:val="000000"/>
          <w:sz w:val="20"/>
          <w:szCs w:val="20"/>
        </w:rPr>
        <w:t>atements.</w:t>
      </w:r>
    </w:p>
    <w:p w:rsidR="00000000" w:rsidRDefault="005B0BC3">
      <w:pPr>
        <w:jc w:val="center"/>
        <w:divId w:val="1591544989"/>
        <w:rPr>
          <w:rFonts w:eastAsia="Times New Roman"/>
        </w:rPr>
      </w:pPr>
      <w:r>
        <w:rPr>
          <w:rFonts w:eastAsia="Times New Roman"/>
          <w:color w:val="000000"/>
          <w:sz w:val="20"/>
          <w:szCs w:val="20"/>
        </w:rPr>
        <w:t>128</w:t>
      </w:r>
    </w:p>
    <w:p w:rsidR="00000000" w:rsidRDefault="005B0BC3">
      <w:pPr>
        <w:rPr>
          <w:rFonts w:eastAsia="Times New Roman"/>
        </w:rPr>
      </w:pPr>
      <w:r>
        <w:rPr>
          <w:rFonts w:eastAsia="Times New Roman"/>
        </w:rPr>
        <w:pict>
          <v:rect id="_x0000_i1166" style="width:0;height:1.5pt" o:hralign="center" o:hrstd="t" o:hr="t" fillcolor="#a0a0a0" stroked="f"/>
        </w:pict>
      </w:r>
    </w:p>
    <w:p w:rsidR="00000000" w:rsidRDefault="005B0BC3">
      <w:pPr>
        <w:divId w:val="506209822"/>
        <w:rPr>
          <w:rFonts w:eastAsia="Times New Roman"/>
        </w:rPr>
      </w:pPr>
      <w:r>
        <w:rPr>
          <w:rFonts w:eastAsia="Times New Roman"/>
          <w:b/>
          <w:bCs/>
          <w:color w:val="0000FF"/>
          <w:sz w:val="20"/>
          <w:szCs w:val="20"/>
          <w:u w:val="single"/>
        </w:rPr>
        <w:t>Table of Contents</w:t>
      </w:r>
    </w:p>
    <w:p w:rsidR="00000000" w:rsidRDefault="005B0BC3">
      <w:pPr>
        <w:divId w:val="1982071855"/>
        <w:rPr>
          <w:rFonts w:eastAsia="Times New Roman"/>
        </w:rPr>
      </w:pPr>
      <w:r>
        <w:rPr>
          <w:rFonts w:eastAsia="Times New Roman"/>
          <w:color w:val="000000"/>
          <w:sz w:val="20"/>
          <w:szCs w:val="20"/>
        </w:rPr>
        <w:t>Because of its inherent limitations, internal control over financial reporting may not prevent or detect misstatements. Also, projections of any evaluation of effectiveness to future periods are subject to the risk that controls may become inadequate becau</w:t>
      </w:r>
      <w:r>
        <w:rPr>
          <w:rFonts w:eastAsia="Times New Roman"/>
          <w:color w:val="000000"/>
          <w:sz w:val="20"/>
          <w:szCs w:val="20"/>
        </w:rPr>
        <w:t>se of changes in conditions, or that the degree of compliance with the policies or procedures may deteriorate.</w:t>
      </w:r>
    </w:p>
    <w:p w:rsidR="00000000" w:rsidRDefault="005B0BC3">
      <w:pPr>
        <w:divId w:val="329217983"/>
        <w:rPr>
          <w:rFonts w:eastAsia="Times New Roman"/>
        </w:rPr>
      </w:pPr>
      <w:r>
        <w:rPr>
          <w:rFonts w:eastAsia="Times New Roman"/>
          <w:b/>
          <w:bCs/>
          <w:color w:val="000000"/>
          <w:sz w:val="20"/>
          <w:szCs w:val="20"/>
        </w:rPr>
        <w:t>Critical Audit Matters</w:t>
      </w:r>
    </w:p>
    <w:p w:rsidR="00000000" w:rsidRDefault="005B0BC3">
      <w:pPr>
        <w:divId w:val="59865942"/>
        <w:rPr>
          <w:rFonts w:eastAsia="Times New Roman"/>
        </w:rPr>
      </w:pPr>
      <w:r>
        <w:rPr>
          <w:rFonts w:eastAsia="Times New Roman"/>
          <w:color w:val="000000"/>
          <w:sz w:val="20"/>
          <w:szCs w:val="20"/>
        </w:rPr>
        <w:t>The critical audit matters communicated below are matters arising from the current period audit of the consolidated financ</w:t>
      </w:r>
      <w:r>
        <w:rPr>
          <w:rFonts w:eastAsia="Times New Roman"/>
          <w:color w:val="000000"/>
          <w:sz w:val="20"/>
          <w:szCs w:val="20"/>
        </w:rPr>
        <w:t xml:space="preserve">ial statements that were communicated or required to be communicated to the audit committee and that (i) relate to accounts or disclosures that are material to the consolidated financial statements and (ii) involved our especially challenging, subjective, </w:t>
      </w:r>
      <w:r>
        <w:rPr>
          <w:rFonts w:eastAsia="Times New Roman"/>
          <w:color w:val="000000"/>
          <w:sz w:val="20"/>
          <w:szCs w:val="20"/>
        </w:rPr>
        <w:t>or complex judgments. The communication of critical audit matters does not alter in any way our opinion on the consolidated financial statements, taken as a whole, and we are not, by communicating the critical audit matters below, providing separate opinio</w:t>
      </w:r>
      <w:r>
        <w:rPr>
          <w:rFonts w:eastAsia="Times New Roman"/>
          <w:color w:val="000000"/>
          <w:sz w:val="20"/>
          <w:szCs w:val="20"/>
        </w:rPr>
        <w:t>ns on the critical audit matters or on the accounts or disclosures to which they relate.</w:t>
      </w:r>
    </w:p>
    <w:p w:rsidR="00000000" w:rsidRDefault="005B0BC3">
      <w:pPr>
        <w:divId w:val="940601861"/>
        <w:rPr>
          <w:rFonts w:eastAsia="Times New Roman"/>
        </w:rPr>
      </w:pPr>
      <w:r>
        <w:rPr>
          <w:rFonts w:eastAsia="Times New Roman"/>
          <w:i/>
          <w:iCs/>
          <w:color w:val="000000"/>
          <w:sz w:val="20"/>
          <w:szCs w:val="20"/>
        </w:rPr>
        <w:t>Amortization and Valuation of Deferred Policy Acquisition Costs (“DAC”) related to Variable and Interest Sensitive Life Products and Variable Annuity Products with Gua</w:t>
      </w:r>
      <w:r>
        <w:rPr>
          <w:rFonts w:eastAsia="Times New Roman"/>
          <w:i/>
          <w:iCs/>
          <w:color w:val="000000"/>
          <w:sz w:val="20"/>
          <w:szCs w:val="20"/>
        </w:rPr>
        <w:t>ranteed Minimum Benefits</w:t>
      </w:r>
    </w:p>
    <w:p w:rsidR="00000000" w:rsidRDefault="005B0BC3">
      <w:pPr>
        <w:divId w:val="1340041061"/>
        <w:rPr>
          <w:rFonts w:eastAsia="Times New Roman"/>
        </w:rPr>
      </w:pPr>
      <w:r>
        <w:rPr>
          <w:rFonts w:eastAsia="Times New Roman"/>
          <w:color w:val="000000"/>
          <w:sz w:val="20"/>
          <w:szCs w:val="20"/>
        </w:rPr>
        <w:t>As described in Note 2 to the consolidated financial statements, DAC represents acquisition costs that vary with and are primarily related to the acquisition of new and renewal insurance business that are deferred. A significant po</w:t>
      </w:r>
      <w:r>
        <w:rPr>
          <w:rFonts w:eastAsia="Times New Roman"/>
          <w:color w:val="000000"/>
          <w:sz w:val="20"/>
          <w:szCs w:val="20"/>
        </w:rPr>
        <w:t>rtion of the $5.5 billion of DAC as of December 31, 2021, is associated with the variable and interest sensitive life and variable annuity products with guaranteed minimum benefits. DAC associated with certain variable annuity products is amortized based o</w:t>
      </w:r>
      <w:r>
        <w:rPr>
          <w:rFonts w:eastAsia="Times New Roman"/>
          <w:color w:val="000000"/>
          <w:sz w:val="20"/>
          <w:szCs w:val="20"/>
        </w:rPr>
        <w:t>n estimated assessments, with DAC on the remainder of variable annuities, Universal Life and investment-type products amortized over the expected total life of the contract group as a constant percentage of estimated gross profits. DAC is subject to recove</w:t>
      </w:r>
      <w:r>
        <w:rPr>
          <w:rFonts w:eastAsia="Times New Roman"/>
          <w:color w:val="000000"/>
          <w:sz w:val="20"/>
          <w:szCs w:val="20"/>
        </w:rPr>
        <w:t>rability testing at the time of policy issue and loss recognition testing at the end of each accounting period. The DAC amortization and valuation estimates for these products are determined using models and significant assumptions related to projected fut</w:t>
      </w:r>
      <w:r>
        <w:rPr>
          <w:rFonts w:eastAsia="Times New Roman"/>
          <w:color w:val="000000"/>
          <w:sz w:val="20"/>
          <w:szCs w:val="20"/>
        </w:rPr>
        <w:t xml:space="preserve">ure separate account performance, mortality, contract persistency, and general account investment spread. </w:t>
      </w:r>
    </w:p>
    <w:p w:rsidR="00000000" w:rsidRDefault="005B0BC3">
      <w:pPr>
        <w:divId w:val="1021468440"/>
        <w:rPr>
          <w:rFonts w:eastAsia="Times New Roman"/>
        </w:rPr>
      </w:pPr>
      <w:r>
        <w:rPr>
          <w:rFonts w:eastAsia="Times New Roman"/>
          <w:color w:val="000000"/>
          <w:sz w:val="20"/>
          <w:szCs w:val="20"/>
        </w:rPr>
        <w:t>The principal considerations for our determination that performing procedures relating to the amortization and valuation of DAC related to variable a</w:t>
      </w:r>
      <w:r>
        <w:rPr>
          <w:rFonts w:eastAsia="Times New Roman"/>
          <w:color w:val="000000"/>
          <w:sz w:val="20"/>
          <w:szCs w:val="20"/>
        </w:rPr>
        <w:t>nd interest sensitive life products and variable annuity products with guaranteed minimum benefits is a critical audit matter are (i) the significant judgment by management when determining the amortization and valuation estimates, (ii) a high degree of au</w:t>
      </w:r>
      <w:r>
        <w:rPr>
          <w:rFonts w:eastAsia="Times New Roman"/>
          <w:color w:val="000000"/>
          <w:sz w:val="20"/>
          <w:szCs w:val="20"/>
        </w:rPr>
        <w:t>ditor judgment, subjectivity and effort in performing procedures and evaluating audit evidence relating to the relevant models and significant assumptions related to projected future separate account performance, mortality, contract persistency, and genera</w:t>
      </w:r>
      <w:r>
        <w:rPr>
          <w:rFonts w:eastAsia="Times New Roman"/>
          <w:color w:val="000000"/>
          <w:sz w:val="20"/>
          <w:szCs w:val="20"/>
        </w:rPr>
        <w:t xml:space="preserve">l account investment spread, and (iii) the audit effort involved the use of professionals with specialized skill and knowledge. </w:t>
      </w:r>
    </w:p>
    <w:p w:rsidR="00000000" w:rsidRDefault="005B0BC3">
      <w:pPr>
        <w:divId w:val="815151013"/>
        <w:rPr>
          <w:rFonts w:eastAsia="Times New Roman"/>
        </w:rPr>
      </w:pPr>
      <w:r>
        <w:rPr>
          <w:rFonts w:eastAsia="Times New Roman"/>
          <w:color w:val="000000"/>
          <w:sz w:val="20"/>
          <w:szCs w:val="20"/>
        </w:rPr>
        <w:t>Addressing the matter involved performing procedures and evaluating audit evidence in connection with forming our overall opini</w:t>
      </w:r>
      <w:r>
        <w:rPr>
          <w:rFonts w:eastAsia="Times New Roman"/>
          <w:color w:val="000000"/>
          <w:sz w:val="20"/>
          <w:szCs w:val="20"/>
        </w:rPr>
        <w:t>on on the consolidated financial statements. These procedures included testing the effectiveness of controls relating to the amortization and valuation of DAC related to variable and interest sensitive life products and variable annuity products with guara</w:t>
      </w:r>
      <w:r>
        <w:rPr>
          <w:rFonts w:eastAsia="Times New Roman"/>
          <w:color w:val="000000"/>
          <w:sz w:val="20"/>
          <w:szCs w:val="20"/>
        </w:rPr>
        <w:t xml:space="preserve">nteed minimum benefits, including controls over the relevant models and development of the significant assumptions. These procedures also included, among others, testing management’s process for determining the amortization and valuation estimates of DAC, </w:t>
      </w:r>
      <w:r>
        <w:rPr>
          <w:rFonts w:eastAsia="Times New Roman"/>
          <w:color w:val="000000"/>
          <w:sz w:val="20"/>
          <w:szCs w:val="20"/>
        </w:rPr>
        <w:t>which included (i) testing the completeness and accuracy of the historical data used by management to develop and update the significant assumptions, (ii) testing that significant assumptions are accurately reflected in the relevant models, and (iii) the u</w:t>
      </w:r>
      <w:r>
        <w:rPr>
          <w:rFonts w:eastAsia="Times New Roman"/>
          <w:color w:val="000000"/>
          <w:sz w:val="20"/>
          <w:szCs w:val="20"/>
        </w:rPr>
        <w:t xml:space="preserve">se of professionals with specialized skill and knowledge to assist in evaluating the appropriateness of the relevant models and the reasonableness of the significant assumptions related to projected future separate account performance, mortality, contract </w:t>
      </w:r>
      <w:r>
        <w:rPr>
          <w:rFonts w:eastAsia="Times New Roman"/>
          <w:color w:val="000000"/>
          <w:sz w:val="20"/>
          <w:szCs w:val="20"/>
        </w:rPr>
        <w:t>persistency, and general account investment spread based on consideration of the Company’s experience, industry trends, and market conditions, as applicable.</w:t>
      </w:r>
    </w:p>
    <w:p w:rsidR="00000000" w:rsidRDefault="005B0BC3">
      <w:pPr>
        <w:divId w:val="1331912314"/>
        <w:rPr>
          <w:rFonts w:eastAsia="Times New Roman"/>
        </w:rPr>
      </w:pPr>
      <w:r>
        <w:rPr>
          <w:rFonts w:eastAsia="Times New Roman"/>
          <w:i/>
          <w:iCs/>
          <w:color w:val="000000"/>
          <w:sz w:val="20"/>
          <w:szCs w:val="20"/>
        </w:rPr>
        <w:t>Valuation of Guaranteed Minimum Benefit Features related to Certain Life and Annuity Contracts inc</w:t>
      </w:r>
      <w:r>
        <w:rPr>
          <w:rFonts w:eastAsia="Times New Roman"/>
          <w:i/>
          <w:iCs/>
          <w:color w:val="000000"/>
          <w:sz w:val="20"/>
          <w:szCs w:val="20"/>
        </w:rPr>
        <w:t>luded within Future Policy Benefits and Other Policyholders’ Liabilities and Amounts Due From Reinsurers</w:t>
      </w:r>
    </w:p>
    <w:p w:rsidR="00000000" w:rsidRDefault="005B0BC3">
      <w:pPr>
        <w:divId w:val="567108707"/>
        <w:rPr>
          <w:rFonts w:eastAsia="Times New Roman"/>
        </w:rPr>
      </w:pPr>
      <w:r>
        <w:rPr>
          <w:rFonts w:eastAsia="Times New Roman"/>
          <w:color w:val="000000"/>
          <w:sz w:val="20"/>
          <w:szCs w:val="20"/>
        </w:rPr>
        <w:t>As described in Note 2 to the consolidated financial statements, future policy benefits and other policyholders’ liabilities of $36.7 billion as of Dec</w:t>
      </w:r>
      <w:r>
        <w:rPr>
          <w:rFonts w:eastAsia="Times New Roman"/>
          <w:color w:val="000000"/>
          <w:sz w:val="20"/>
          <w:szCs w:val="20"/>
        </w:rPr>
        <w:t>ember 31, 2021, includes reserves related to guaranteed minimum death benefits (“GMDB”) and guaranteed minimum income benefit (“GMIB”) features for certain life and annuity contracts, other than those accounted for as embedded derivatives. Amounts due from</w:t>
      </w:r>
      <w:r>
        <w:rPr>
          <w:rFonts w:eastAsia="Times New Roman"/>
          <w:color w:val="000000"/>
          <w:sz w:val="20"/>
          <w:szCs w:val="20"/>
        </w:rPr>
        <w:t xml:space="preserve"> reinsurers of $14.7 billion as of December 31, 2021, includes reinsurance recoverables related to GMDB and GMIB features for certain life and annuity contracts ceded under reinsurance contracts other than those accounted for as embedded derivatives. For c</w:t>
      </w:r>
      <w:r>
        <w:rPr>
          <w:rFonts w:eastAsia="Times New Roman"/>
          <w:color w:val="000000"/>
          <w:sz w:val="20"/>
          <w:szCs w:val="20"/>
        </w:rPr>
        <w:t xml:space="preserve">ertain contracts with guaranteed minimum benefit features, the benefits are accounted for as reserves and determined by estimating the </w:t>
      </w:r>
    </w:p>
    <w:p w:rsidR="00000000" w:rsidRDefault="005B0BC3">
      <w:pPr>
        <w:jc w:val="center"/>
        <w:divId w:val="1299073893"/>
        <w:rPr>
          <w:rFonts w:eastAsia="Times New Roman"/>
        </w:rPr>
      </w:pPr>
      <w:r>
        <w:rPr>
          <w:rFonts w:eastAsia="Times New Roman"/>
          <w:color w:val="000000"/>
          <w:sz w:val="20"/>
          <w:szCs w:val="20"/>
        </w:rPr>
        <w:t>129</w:t>
      </w:r>
    </w:p>
    <w:p w:rsidR="00000000" w:rsidRDefault="005B0BC3">
      <w:pPr>
        <w:rPr>
          <w:rFonts w:eastAsia="Times New Roman"/>
        </w:rPr>
      </w:pPr>
      <w:r>
        <w:rPr>
          <w:rFonts w:eastAsia="Times New Roman"/>
        </w:rPr>
        <w:pict>
          <v:rect id="_x0000_i1167" style="width:0;height:1.5pt" o:hralign="center" o:hrstd="t" o:hr="t" fillcolor="#a0a0a0" stroked="f"/>
        </w:pict>
      </w:r>
    </w:p>
    <w:p w:rsidR="00000000" w:rsidRDefault="005B0BC3">
      <w:pPr>
        <w:divId w:val="121769513"/>
        <w:rPr>
          <w:rFonts w:eastAsia="Times New Roman"/>
        </w:rPr>
      </w:pPr>
      <w:r>
        <w:rPr>
          <w:rFonts w:eastAsia="Times New Roman"/>
          <w:b/>
          <w:bCs/>
          <w:color w:val="0000FF"/>
          <w:sz w:val="20"/>
          <w:szCs w:val="20"/>
          <w:u w:val="single"/>
        </w:rPr>
        <w:t>Table of Contents</w:t>
      </w:r>
    </w:p>
    <w:p w:rsidR="00000000" w:rsidRDefault="005B0BC3">
      <w:pPr>
        <w:divId w:val="1319768014"/>
        <w:rPr>
          <w:rFonts w:eastAsia="Times New Roman"/>
        </w:rPr>
      </w:pPr>
      <w:r>
        <w:rPr>
          <w:rFonts w:eastAsia="Times New Roman"/>
          <w:color w:val="000000"/>
          <w:sz w:val="20"/>
          <w:szCs w:val="20"/>
        </w:rPr>
        <w:t>expected value of death or income benefits in excess of the projected contract accumulation value and recognizing the excess over the estimated life based on expected assessments (i.e., benefit ratio). The liability equals the current benefit ratio multipl</w:t>
      </w:r>
      <w:r>
        <w:rPr>
          <w:rFonts w:eastAsia="Times New Roman"/>
          <w:color w:val="000000"/>
          <w:sz w:val="20"/>
          <w:szCs w:val="20"/>
        </w:rPr>
        <w:t>ied by cumulative assessments recognized to date, plus interest, less cumulative excess payments to date. The determination of this estimated liability is based on models that involve numerous assumptions and subjective judgments, including those regarding</w:t>
      </w:r>
      <w:r>
        <w:rPr>
          <w:rFonts w:eastAsia="Times New Roman"/>
          <w:color w:val="000000"/>
          <w:sz w:val="20"/>
          <w:szCs w:val="20"/>
        </w:rPr>
        <w:t xml:space="preserve"> expected market rates of return and volatility, contract surrender and withdrawal rates, mortality experience, and, for contracts with the GMIB feature, GMIB election rates. Amounts due from reinsurers, other than those accounted for as embedded derivativ</w:t>
      </w:r>
      <w:r>
        <w:rPr>
          <w:rFonts w:eastAsia="Times New Roman"/>
          <w:color w:val="000000"/>
          <w:sz w:val="20"/>
          <w:szCs w:val="20"/>
        </w:rPr>
        <w:t xml:space="preserve">es, are calculated using methodologies and assumptions that are consistent with those used to calculate the direct liabilities. </w:t>
      </w:r>
    </w:p>
    <w:p w:rsidR="00000000" w:rsidRDefault="005B0BC3">
      <w:pPr>
        <w:divId w:val="1267037919"/>
        <w:rPr>
          <w:rFonts w:eastAsia="Times New Roman"/>
        </w:rPr>
      </w:pPr>
      <w:r>
        <w:rPr>
          <w:rFonts w:eastAsia="Times New Roman"/>
          <w:color w:val="000000"/>
          <w:sz w:val="20"/>
          <w:szCs w:val="20"/>
        </w:rPr>
        <w:t>The principal considerations for our determination that performing procedures relating to the valuation of guaranteed minimum b</w:t>
      </w:r>
      <w:r>
        <w:rPr>
          <w:rFonts w:eastAsia="Times New Roman"/>
          <w:color w:val="000000"/>
          <w:sz w:val="20"/>
          <w:szCs w:val="20"/>
        </w:rPr>
        <w:t>enefit features related to certain life and annuity contracts included within future policy benefits and other policyholders’ liabilities and amounts due from reinsurers is a critical audit matter are (i) the significant judgment by management when determi</w:t>
      </w:r>
      <w:r>
        <w:rPr>
          <w:rFonts w:eastAsia="Times New Roman"/>
          <w:color w:val="000000"/>
          <w:sz w:val="20"/>
          <w:szCs w:val="20"/>
        </w:rPr>
        <w:t xml:space="preserve">ning the valuation of these guaranteed minimum benefit features, (ii) a high degree of auditor judgment, subjectivity and effort in performing procedures and evaluating audit evidence relating to the relevant models and significant assumptions of expected </w:t>
      </w:r>
      <w:r>
        <w:rPr>
          <w:rFonts w:eastAsia="Times New Roman"/>
          <w:color w:val="000000"/>
          <w:sz w:val="20"/>
          <w:szCs w:val="20"/>
        </w:rPr>
        <w:t>market rates of return and volatility, contract surrender and withdrawal rates, mortality experience, and, for contracts with the GMIB feature, GMIB election rates (collectively referred to as “the significant assumptions”), and (iii) the audit effort invo</w:t>
      </w:r>
      <w:r>
        <w:rPr>
          <w:rFonts w:eastAsia="Times New Roman"/>
          <w:color w:val="000000"/>
          <w:sz w:val="20"/>
          <w:szCs w:val="20"/>
        </w:rPr>
        <w:t xml:space="preserve">lved the use of professionals with specialized skill and knowledge. </w:t>
      </w:r>
    </w:p>
    <w:p w:rsidR="00000000" w:rsidRDefault="005B0BC3">
      <w:pPr>
        <w:divId w:val="2063285838"/>
        <w:rPr>
          <w:rFonts w:eastAsia="Times New Roman"/>
        </w:rPr>
      </w:pPr>
      <w:r>
        <w:rPr>
          <w:rFonts w:eastAsia="Times New Roman"/>
          <w:color w:val="000000"/>
          <w:sz w:val="20"/>
          <w:szCs w:val="20"/>
        </w:rPr>
        <w:t>Addressing the matter involved performing procedures and evaluating audit evidence in connection with forming our overall opinion on the consolidated financial statements. These procedure</w:t>
      </w:r>
      <w:r>
        <w:rPr>
          <w:rFonts w:eastAsia="Times New Roman"/>
          <w:color w:val="000000"/>
          <w:sz w:val="20"/>
          <w:szCs w:val="20"/>
        </w:rPr>
        <w:t>s included testing the effectiveness of controls relating to valuation of guaranteed minimum benefit features related to certain life and annuity contracts, including controls over the relevant models and development of the significant assumptions. These p</w:t>
      </w:r>
      <w:r>
        <w:rPr>
          <w:rFonts w:eastAsia="Times New Roman"/>
          <w:color w:val="000000"/>
          <w:sz w:val="20"/>
          <w:szCs w:val="20"/>
        </w:rPr>
        <w:t xml:space="preserve">rocedures also included, among others, testing management’s process for determining the valuation of the guaranteed minimum benefit features, which included (i) testing the completeness and accuracy of the historical data used by management to develop and </w:t>
      </w:r>
      <w:r>
        <w:rPr>
          <w:rFonts w:eastAsia="Times New Roman"/>
          <w:color w:val="000000"/>
          <w:sz w:val="20"/>
          <w:szCs w:val="20"/>
        </w:rPr>
        <w:t>update the significant assumptions, (ii) testing that significant assumptions are accurately reflected in the relevant models, and (iii) the use of professionals with specialized skill and knowledge to assist in evaluating the appropriateness of the releva</w:t>
      </w:r>
      <w:r>
        <w:rPr>
          <w:rFonts w:eastAsia="Times New Roman"/>
          <w:color w:val="000000"/>
          <w:sz w:val="20"/>
          <w:szCs w:val="20"/>
        </w:rPr>
        <w:t>nt models and the reasonableness of the significant assumptions based on consideration of the Company’s experience, industry trends, and market conditions, as applicable.</w:t>
      </w:r>
    </w:p>
    <w:p w:rsidR="00000000" w:rsidRDefault="005B0BC3">
      <w:pPr>
        <w:divId w:val="1513837165"/>
        <w:rPr>
          <w:rFonts w:eastAsia="Times New Roman"/>
        </w:rPr>
      </w:pPr>
      <w:r>
        <w:rPr>
          <w:rFonts w:eastAsia="Times New Roman"/>
          <w:i/>
          <w:iCs/>
          <w:color w:val="000000"/>
          <w:sz w:val="20"/>
          <w:szCs w:val="20"/>
        </w:rPr>
        <w:t>Valuation of GMIB Features accounted for as Derivatives included within Future Policy</w:t>
      </w:r>
      <w:r>
        <w:rPr>
          <w:rFonts w:eastAsia="Times New Roman"/>
          <w:i/>
          <w:iCs/>
          <w:color w:val="000000"/>
          <w:sz w:val="20"/>
          <w:szCs w:val="20"/>
        </w:rPr>
        <w:t xml:space="preserve"> Benefits and Other Policyholders’ Liabilities, GMIB Reinsurance Contract Asset, at fair value and Amounts Due from Reinsurers</w:t>
      </w:r>
    </w:p>
    <w:p w:rsidR="00000000" w:rsidRDefault="005B0BC3">
      <w:pPr>
        <w:divId w:val="914781133"/>
        <w:rPr>
          <w:rFonts w:eastAsia="Times New Roman"/>
        </w:rPr>
      </w:pPr>
      <w:r>
        <w:rPr>
          <w:rFonts w:eastAsia="Times New Roman"/>
          <w:color w:val="000000"/>
          <w:sz w:val="20"/>
          <w:szCs w:val="20"/>
        </w:rPr>
        <w:t>As described in Notes 2 and 8 to the consolidated financial statements, the Company issues certain annuity contracts that contain</w:t>
      </w:r>
      <w:r>
        <w:rPr>
          <w:rFonts w:eastAsia="Times New Roman"/>
          <w:color w:val="000000"/>
          <w:sz w:val="20"/>
          <w:szCs w:val="20"/>
        </w:rPr>
        <w:t xml:space="preserve"> GMIB features that are accounted for as embedded derivatives, recorded at fair value and presented within policy benefits and other policyholders’ liabilities. The reinsurance of certain of these GMIB features are accounted for as embedded derivatives and</w:t>
      </w:r>
      <w:r>
        <w:rPr>
          <w:rFonts w:eastAsia="Times New Roman"/>
          <w:color w:val="000000"/>
          <w:sz w:val="20"/>
          <w:szCs w:val="20"/>
        </w:rPr>
        <w:t xml:space="preserve"> are presented at fair value within amounts due from reinsurers. Additionally, there are ceded reinsurance contracts that are net settled, accounted for as a derivative at fair value and presented within GMIB reinsurance contract asset, at fair value. As o</w:t>
      </w:r>
      <w:r>
        <w:rPr>
          <w:rFonts w:eastAsia="Times New Roman"/>
          <w:color w:val="000000"/>
          <w:sz w:val="20"/>
          <w:szCs w:val="20"/>
        </w:rPr>
        <w:t>f December 31, 2021, the fair value of the GMIB features accounted for as embedded derivatives and presented within future policy benefits and other policyholders’ liabilities was $8.5 billion, GMIB reinsurance contract asset, at fair value was $1.8 billio</w:t>
      </w:r>
      <w:r>
        <w:rPr>
          <w:rFonts w:eastAsia="Times New Roman"/>
          <w:color w:val="000000"/>
          <w:sz w:val="20"/>
          <w:szCs w:val="20"/>
        </w:rPr>
        <w:t>n, and amounts due from reinsurers was $5.8 billion. Management determined the fair values the of the GMIB features presented as embedded derivatives using a discounted cash flow valuation technique that incorporates significant unobservable inputs with re</w:t>
      </w:r>
      <w:r>
        <w:rPr>
          <w:rFonts w:eastAsia="Times New Roman"/>
          <w:color w:val="000000"/>
          <w:sz w:val="20"/>
          <w:szCs w:val="20"/>
        </w:rPr>
        <w:t>spect to (i) non-performance risk, lapse rates, withdrawal rates, annuitization rates, and mortality rates for future policy benefits and other policyholders’ liabilities, and (ii) non-performance risk, lapse rates, withdrawal rates, utilization rates, vol</w:t>
      </w:r>
      <w:r>
        <w:rPr>
          <w:rFonts w:eastAsia="Times New Roman"/>
          <w:color w:val="000000"/>
          <w:sz w:val="20"/>
          <w:szCs w:val="20"/>
        </w:rPr>
        <w:t xml:space="preserve">atility rates, and mortality rates for the GMIB reinsurance contract asset, at fair value and the amounts due from reinsurers. </w:t>
      </w:r>
    </w:p>
    <w:p w:rsidR="00000000" w:rsidRDefault="005B0BC3">
      <w:pPr>
        <w:divId w:val="638729933"/>
        <w:rPr>
          <w:rFonts w:eastAsia="Times New Roman"/>
        </w:rPr>
      </w:pPr>
      <w:r>
        <w:rPr>
          <w:rFonts w:eastAsia="Times New Roman"/>
          <w:color w:val="000000"/>
          <w:sz w:val="20"/>
          <w:szCs w:val="20"/>
        </w:rPr>
        <w:t>The principal considerations for our determination that performing procedures relating to the valuation of GMIB features account</w:t>
      </w:r>
      <w:r>
        <w:rPr>
          <w:rFonts w:eastAsia="Times New Roman"/>
          <w:color w:val="000000"/>
          <w:sz w:val="20"/>
          <w:szCs w:val="20"/>
        </w:rPr>
        <w:t>ed for as derivatives and included within future policy benefits and other policyholders’ liabilities, GMIB reinsurance contract asset, at fair value, and amounts due from reinsurers is a critical audit matter are (i) the significant judgment by management</w:t>
      </w:r>
      <w:r>
        <w:rPr>
          <w:rFonts w:eastAsia="Times New Roman"/>
          <w:color w:val="000000"/>
          <w:sz w:val="20"/>
          <w:szCs w:val="20"/>
        </w:rPr>
        <w:t xml:space="preserve"> when determining the fair values of the GMIB features accounted for as derivatives, (ii) a high degree of auditor judgment, subjectivity, and effort in performing procedures and evaluating audit evidence relating to the valuation technique and significant</w:t>
      </w:r>
      <w:r>
        <w:rPr>
          <w:rFonts w:eastAsia="Times New Roman"/>
          <w:color w:val="000000"/>
          <w:sz w:val="20"/>
          <w:szCs w:val="20"/>
        </w:rPr>
        <w:t xml:space="preserve"> unobservable inputs with related to non-performance risk, lapse rates, withdrawal rates, annuitization rates, and mortality rates for the reinsurance contract asset and the amounts due from reinsurers, and non-performance risk, lapse rates, withdrawal rat</w:t>
      </w:r>
      <w:r>
        <w:rPr>
          <w:rFonts w:eastAsia="Times New Roman"/>
          <w:color w:val="000000"/>
          <w:sz w:val="20"/>
          <w:szCs w:val="20"/>
        </w:rPr>
        <w:t xml:space="preserve">es, annuitization rates and mortality rates for future policyholders’ liabilities (collectively referred to as “the significant unobservable inputs”), and (iii) the audit effort involved the use of professionals with specialized skill and knowledge. </w:t>
      </w:r>
    </w:p>
    <w:p w:rsidR="00000000" w:rsidRDefault="005B0BC3">
      <w:pPr>
        <w:divId w:val="1815178799"/>
        <w:rPr>
          <w:rFonts w:eastAsia="Times New Roman"/>
        </w:rPr>
      </w:pPr>
      <w:r>
        <w:rPr>
          <w:rFonts w:eastAsia="Times New Roman"/>
          <w:color w:val="000000"/>
          <w:sz w:val="20"/>
          <w:szCs w:val="20"/>
        </w:rPr>
        <w:t>Addre</w:t>
      </w:r>
      <w:r>
        <w:rPr>
          <w:rFonts w:eastAsia="Times New Roman"/>
          <w:color w:val="000000"/>
          <w:sz w:val="20"/>
          <w:szCs w:val="20"/>
        </w:rPr>
        <w:t xml:space="preserve">ssing the matter involved performing procedures and evaluating audit evidence in connection with forming our overall opinion on the consolidated financial statements. These procedures included testing the effectiveness of </w:t>
      </w:r>
    </w:p>
    <w:p w:rsidR="00000000" w:rsidRDefault="005B0BC3">
      <w:pPr>
        <w:jc w:val="center"/>
        <w:divId w:val="1023214513"/>
        <w:rPr>
          <w:rFonts w:eastAsia="Times New Roman"/>
        </w:rPr>
      </w:pPr>
      <w:r>
        <w:rPr>
          <w:rFonts w:eastAsia="Times New Roman"/>
          <w:color w:val="000000"/>
          <w:sz w:val="20"/>
          <w:szCs w:val="20"/>
        </w:rPr>
        <w:t>130</w:t>
      </w:r>
    </w:p>
    <w:p w:rsidR="00000000" w:rsidRDefault="005B0BC3">
      <w:pPr>
        <w:rPr>
          <w:rFonts w:eastAsia="Times New Roman"/>
        </w:rPr>
      </w:pPr>
      <w:r>
        <w:rPr>
          <w:rFonts w:eastAsia="Times New Roman"/>
        </w:rPr>
        <w:pict>
          <v:rect id="_x0000_i1168" style="width:0;height:1.5pt" o:hralign="center" o:hrstd="t" o:hr="t" fillcolor="#a0a0a0" stroked="f"/>
        </w:pict>
      </w:r>
    </w:p>
    <w:p w:rsidR="00000000" w:rsidRDefault="005B0BC3">
      <w:pPr>
        <w:divId w:val="2130737385"/>
        <w:rPr>
          <w:rFonts w:eastAsia="Times New Roman"/>
        </w:rPr>
      </w:pPr>
      <w:r>
        <w:rPr>
          <w:rFonts w:eastAsia="Times New Roman"/>
          <w:b/>
          <w:bCs/>
          <w:color w:val="0000FF"/>
          <w:sz w:val="20"/>
          <w:szCs w:val="20"/>
          <w:u w:val="single"/>
        </w:rPr>
        <w:t>Table of Contents</w:t>
      </w:r>
    </w:p>
    <w:p w:rsidR="00000000" w:rsidRDefault="005B0BC3">
      <w:pPr>
        <w:divId w:val="1201477669"/>
        <w:rPr>
          <w:rFonts w:eastAsia="Times New Roman"/>
        </w:rPr>
      </w:pPr>
      <w:r>
        <w:rPr>
          <w:rFonts w:eastAsia="Times New Roman"/>
          <w:color w:val="000000"/>
          <w:sz w:val="20"/>
          <w:szCs w:val="20"/>
        </w:rPr>
        <w:t>controls relating to determining the fair value of the GMIB features accounted for as derivatives included within future policy benefits and other policyholders’ liabilities, GMIB reinsurance contract asset, at fair value, and amo</w:t>
      </w:r>
      <w:r>
        <w:rPr>
          <w:rFonts w:eastAsia="Times New Roman"/>
          <w:color w:val="000000"/>
          <w:sz w:val="20"/>
          <w:szCs w:val="20"/>
        </w:rPr>
        <w:t>unts due from reinsurers, including controls over the valuation technique and determination of significant unobservable inputs. These procedures also included, among others, testing management’s process for determining the fair value of the GMIB features a</w:t>
      </w:r>
      <w:r>
        <w:rPr>
          <w:rFonts w:eastAsia="Times New Roman"/>
          <w:color w:val="000000"/>
          <w:sz w:val="20"/>
          <w:szCs w:val="20"/>
        </w:rPr>
        <w:t>ccounted for as derivatives, which included (i) testing the completeness and accuracy of the historical data used by management to develop and update the significant unobservable inputs, (ii) testing that significant unobservable inputs are accurately refl</w:t>
      </w:r>
      <w:r>
        <w:rPr>
          <w:rFonts w:eastAsia="Times New Roman"/>
          <w:color w:val="000000"/>
          <w:sz w:val="20"/>
          <w:szCs w:val="20"/>
        </w:rPr>
        <w:t>ected in the relevant valuation technique, and (iii) the use of professionals with specialized skill and knowledge to assist in evaluating the appropriateness of the valuation technique and the reasonableness of the significant unobservable inputs based on</w:t>
      </w:r>
      <w:r>
        <w:rPr>
          <w:rFonts w:eastAsia="Times New Roman"/>
          <w:color w:val="000000"/>
          <w:sz w:val="20"/>
          <w:szCs w:val="20"/>
        </w:rPr>
        <w:t xml:space="preserve"> consideration of the Company’s experience, industry trends, and market conditions, as applicable.</w:t>
      </w:r>
    </w:p>
    <w:p w:rsidR="00000000" w:rsidRDefault="005B0BC3">
      <w:pPr>
        <w:divId w:val="1551183501"/>
        <w:rPr>
          <w:rFonts w:eastAsia="Times New Roman"/>
        </w:rPr>
      </w:pPr>
    </w:p>
    <w:p w:rsidR="00000000" w:rsidRDefault="005B0BC3">
      <w:pPr>
        <w:divId w:val="1812138073"/>
        <w:rPr>
          <w:rFonts w:eastAsia="Times New Roman"/>
        </w:rPr>
      </w:pPr>
    </w:p>
    <w:p w:rsidR="00000000" w:rsidRDefault="005B0BC3">
      <w:pPr>
        <w:divId w:val="1312710060"/>
        <w:rPr>
          <w:rFonts w:eastAsia="Times New Roman"/>
        </w:rPr>
      </w:pPr>
    </w:p>
    <w:p w:rsidR="00000000" w:rsidRDefault="005B0BC3">
      <w:pPr>
        <w:divId w:val="950016240"/>
        <w:rPr>
          <w:rFonts w:eastAsia="Times New Roman"/>
        </w:rPr>
      </w:pPr>
    </w:p>
    <w:p w:rsidR="00000000" w:rsidRDefault="005B0BC3">
      <w:pPr>
        <w:divId w:val="910122049"/>
        <w:rPr>
          <w:rFonts w:eastAsia="Times New Roman"/>
        </w:rPr>
      </w:pPr>
      <w:r>
        <w:rPr>
          <w:rFonts w:eastAsia="Times New Roman"/>
          <w:color w:val="000000"/>
          <w:sz w:val="20"/>
          <w:szCs w:val="20"/>
        </w:rPr>
        <w:t xml:space="preserve">/s/ PricewaterhouseCoopers LLP </w:t>
      </w:r>
    </w:p>
    <w:p w:rsidR="00000000" w:rsidRDefault="005B0BC3">
      <w:pPr>
        <w:divId w:val="1308365315"/>
        <w:rPr>
          <w:rFonts w:eastAsia="Times New Roman"/>
        </w:rPr>
      </w:pPr>
      <w:r>
        <w:rPr>
          <w:rFonts w:eastAsia="Times New Roman"/>
          <w:color w:val="000000"/>
          <w:sz w:val="20"/>
          <w:szCs w:val="20"/>
        </w:rPr>
        <w:t>New York, New York</w:t>
      </w:r>
    </w:p>
    <w:p w:rsidR="00000000" w:rsidRDefault="005B0BC3">
      <w:pPr>
        <w:divId w:val="250545769"/>
        <w:rPr>
          <w:rFonts w:eastAsia="Times New Roman"/>
        </w:rPr>
      </w:pPr>
      <w:r>
        <w:rPr>
          <w:rFonts w:eastAsia="Times New Roman"/>
          <w:color w:val="000000"/>
          <w:sz w:val="20"/>
          <w:szCs w:val="20"/>
        </w:rPr>
        <w:t>February 22, 2022</w:t>
      </w:r>
    </w:p>
    <w:p w:rsidR="00000000" w:rsidRDefault="005B0BC3">
      <w:pPr>
        <w:divId w:val="1803304853"/>
        <w:rPr>
          <w:rFonts w:eastAsia="Times New Roman"/>
        </w:rPr>
      </w:pPr>
      <w:r>
        <w:rPr>
          <w:rFonts w:eastAsia="Times New Roman"/>
          <w:color w:val="000000"/>
          <w:sz w:val="20"/>
          <w:szCs w:val="20"/>
        </w:rPr>
        <w:t>We have served as the Company’s auditor since 1993.</w:t>
      </w:r>
    </w:p>
    <w:p w:rsidR="00000000" w:rsidRDefault="005B0BC3">
      <w:pPr>
        <w:divId w:val="1657144566"/>
        <w:rPr>
          <w:rFonts w:eastAsia="Times New Roman"/>
        </w:rPr>
      </w:pPr>
    </w:p>
    <w:p w:rsidR="00000000" w:rsidRDefault="005B0BC3">
      <w:pPr>
        <w:divId w:val="1797019771"/>
        <w:rPr>
          <w:rFonts w:eastAsia="Times New Roman"/>
        </w:rPr>
      </w:pPr>
    </w:p>
    <w:p w:rsidR="00000000" w:rsidRDefault="005B0BC3">
      <w:pPr>
        <w:jc w:val="center"/>
        <w:divId w:val="402410301"/>
        <w:rPr>
          <w:rFonts w:eastAsia="Times New Roman"/>
        </w:rPr>
      </w:pPr>
      <w:r>
        <w:rPr>
          <w:rFonts w:eastAsia="Times New Roman"/>
          <w:color w:val="000000"/>
          <w:sz w:val="20"/>
          <w:szCs w:val="20"/>
        </w:rPr>
        <w:t>131</w:t>
      </w:r>
    </w:p>
    <w:p w:rsidR="00000000" w:rsidRDefault="005B0BC3">
      <w:pPr>
        <w:rPr>
          <w:rFonts w:eastAsia="Times New Roman"/>
        </w:rPr>
      </w:pPr>
      <w:r>
        <w:rPr>
          <w:rFonts w:eastAsia="Times New Roman"/>
        </w:rPr>
        <w:pict>
          <v:rect id="_x0000_i1169" style="width:0;height:1.5pt" o:hralign="center" o:hrstd="t" o:hr="t" fillcolor="#a0a0a0" stroked="f"/>
        </w:pict>
      </w:r>
    </w:p>
    <w:p w:rsidR="00000000" w:rsidRDefault="005B0BC3">
      <w:pPr>
        <w:jc w:val="center"/>
        <w:divId w:val="1543521489"/>
        <w:rPr>
          <w:rFonts w:eastAsia="Times New Roman"/>
        </w:rPr>
      </w:pPr>
      <w:r>
        <w:rPr>
          <w:rFonts w:eastAsia="Times New Roman"/>
          <w:b/>
          <w:bCs/>
          <w:color w:val="000000"/>
          <w:sz w:val="20"/>
          <w:szCs w:val="20"/>
        </w:rPr>
        <w:t>EQUITABLE HOLDINGS, INC.</w:t>
      </w:r>
    </w:p>
    <w:p w:rsidR="00000000" w:rsidRDefault="005B0BC3">
      <w:pPr>
        <w:jc w:val="center"/>
        <w:divId w:val="1543521489"/>
        <w:rPr>
          <w:rFonts w:eastAsia="Times New Roman"/>
        </w:rPr>
      </w:pPr>
      <w:r>
        <w:rPr>
          <w:rFonts w:eastAsia="Times New Roman"/>
          <w:b/>
          <w:bCs/>
          <w:color w:val="000000"/>
          <w:sz w:val="20"/>
          <w:szCs w:val="20"/>
        </w:rPr>
        <w:t>Consolidated Balance Sheets</w:t>
      </w:r>
    </w:p>
    <w:p w:rsidR="00000000" w:rsidRDefault="005B0BC3">
      <w:pPr>
        <w:jc w:val="center"/>
        <w:divId w:val="1543521489"/>
        <w:rPr>
          <w:rFonts w:eastAsia="Times New Roman"/>
        </w:rPr>
      </w:pPr>
      <w:r>
        <w:rPr>
          <w:rFonts w:eastAsia="Times New Roman"/>
          <w:b/>
          <w:bCs/>
          <w:color w:val="000000"/>
          <w:sz w:val="20"/>
          <w:szCs w:val="20"/>
        </w:rPr>
        <w:t>December 31, 2021 and 2020</w:t>
      </w:r>
    </w:p>
    <w:tbl>
      <w:tblPr>
        <w:tblW w:w="4994" w:type="pct"/>
        <w:jc w:val="center"/>
        <w:tblCellMar>
          <w:top w:w="15" w:type="dxa"/>
          <w:left w:w="15" w:type="dxa"/>
          <w:bottom w:w="15" w:type="dxa"/>
          <w:right w:w="15" w:type="dxa"/>
        </w:tblCellMar>
        <w:tblLook w:val="04A0" w:firstRow="1" w:lastRow="0" w:firstColumn="1" w:lastColumn="0" w:noHBand="0" w:noVBand="1"/>
      </w:tblPr>
      <w:tblGrid>
        <w:gridCol w:w="40"/>
        <w:gridCol w:w="6240"/>
        <w:gridCol w:w="38"/>
        <w:gridCol w:w="120"/>
        <w:gridCol w:w="805"/>
        <w:gridCol w:w="36"/>
        <w:gridCol w:w="36"/>
        <w:gridCol w:w="36"/>
        <w:gridCol w:w="36"/>
        <w:gridCol w:w="120"/>
        <w:gridCol w:w="753"/>
        <w:gridCol w:w="36"/>
      </w:tblGrid>
      <w:tr w:rsidR="00000000">
        <w:trPr>
          <w:jc w:val="center"/>
        </w:trPr>
        <w:tc>
          <w:tcPr>
            <w:tcW w:w="50" w:type="pct"/>
            <w:vAlign w:val="center"/>
            <w:hideMark/>
          </w:tcPr>
          <w:p w:rsidR="00000000" w:rsidRDefault="005B0BC3">
            <w:pPr>
              <w:jc w:val="center"/>
              <w:rPr>
                <w:rFonts w:eastAsia="Times New Roman"/>
              </w:rPr>
            </w:pPr>
          </w:p>
        </w:tc>
        <w:tc>
          <w:tcPr>
            <w:tcW w:w="378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1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0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December 31,</w:t>
            </w:r>
          </w:p>
        </w:tc>
      </w:tr>
      <w:tr w:rsidR="00000000">
        <w:trPr>
          <w:jc w:val="center"/>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r>
      <w:tr w:rsidR="00000000">
        <w:trPr>
          <w:jc w:val="center"/>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(in millions, except share data)</w:t>
            </w: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ASSETS</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Investments:</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divId w:val="523252034"/>
              <w:rPr>
                <w:rFonts w:eastAsia="Times New Roman"/>
              </w:rPr>
            </w:pPr>
            <w:r>
              <w:rPr>
                <w:rFonts w:eastAsia="Times New Roman"/>
                <w:color w:val="000000"/>
                <w:sz w:val="20"/>
                <w:szCs w:val="20"/>
              </w:rPr>
              <w:t>Fixed maturities available-for-sale, at fair value (amortized cost of $73,429 and $72,867) (allowance for credit losses of $22 and $13)</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78,216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81,638 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B0BC3">
            <w:pPr>
              <w:spacing w:after="100"/>
              <w:divId w:val="1500344825"/>
              <w:rPr>
                <w:rFonts w:eastAsia="Times New Roman"/>
              </w:rPr>
            </w:pPr>
            <w:r>
              <w:rPr>
                <w:rFonts w:eastAsia="Times New Roman"/>
                <w:color w:val="000000"/>
                <w:sz w:val="20"/>
                <w:szCs w:val="20"/>
              </w:rPr>
              <w:t>Fixed maturities, at fair value using the fair value option (1)</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1,641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389 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divId w:val="1992631028"/>
              <w:rPr>
                <w:rFonts w:eastAsia="Times New Roman"/>
              </w:rPr>
            </w:pPr>
            <w:r>
              <w:rPr>
                <w:rFonts w:eastAsia="Times New Roman"/>
                <w:color w:val="000000"/>
                <w:sz w:val="20"/>
                <w:szCs w:val="20"/>
              </w:rPr>
              <w:t>Mortgage loans on real estate (net of allowance for credit losses of $62 and $81) (1)</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14,033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13,159 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Policy loans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4,024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4,118 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Other equity investments (1)</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2,975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1,502 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Trading securities, at fair value</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5,553 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Other invested assets (1)</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3,591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2,728 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Total investments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105,111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109,087 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Cash and cash equivalents (1)</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5,188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6,179 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Cash and securities segregated, at fair value</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1,504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1,753 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Broker-dealer related receivables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2,599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2,223 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Deferred policy acquisition costs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5,491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4,243 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Goodwill and other intangible assets, net</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4,728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4,737 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B0BC3">
            <w:pPr>
              <w:spacing w:after="100"/>
              <w:divId w:val="1790082620"/>
              <w:rPr>
                <w:rFonts w:eastAsia="Times New Roman"/>
              </w:rPr>
            </w:pPr>
            <w:r>
              <w:rPr>
                <w:rFonts w:eastAsia="Times New Roman"/>
                <w:color w:val="000000"/>
                <w:sz w:val="20"/>
                <w:szCs w:val="20"/>
              </w:rPr>
              <w:t>Amounts due from reinsurers (allowance for credit losses of $5 and $5) (includes amounts accounted for at fair value of $5,813 and $—) (3)</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14,679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4,566 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GMIB reinsurance contract asset, at fair value</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1,848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2,488 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Current and 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195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Other assets (1)</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3,613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3,701 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Assets held-for-sale</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470 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Separate Accounts assets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147,306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135,950 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292,262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275,397 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LIABILITIES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Policyholders’ account balances</w:t>
            </w: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79,357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66,820 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Future policy benefits and other policyholders' liabilities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36,717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39,881 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Broker-dealer related payables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1,283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1,443 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Customer related payables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3,600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3,417 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Amounts due to reinsurers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1,381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1,381 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 xml:space="preserve">Short-term and long-term debt </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3,931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4,115 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Current and deferred income taxes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749 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Notes issued by consolidated variable interest entities, at fair value using the fair value option (1)</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1,191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313 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Other liabilities (1)</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3,933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3,686 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Liabilities held-for-sale</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322 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Separate Accounts liabilities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147,306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135,950 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Total Liabilities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278,699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258,077 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Redeemable noncontrolling interest (1) (2)</w:t>
            </w: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468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divId w:val="2140561204"/>
              <w:rPr>
                <w:rFonts w:eastAsia="Times New Roman"/>
              </w:rPr>
            </w:pPr>
            <w:r>
              <w:rPr>
                <w:rFonts w:eastAsia="Times New Roman"/>
                <w:color w:val="000000"/>
                <w:sz w:val="20"/>
                <w:szCs w:val="20"/>
              </w:rPr>
              <w:t>Commitments and contingent liabilities (Note 17)</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EQUITY</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Equity attributable to Holdings:</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B0BC3">
            <w:pPr>
              <w:spacing w:after="100"/>
              <w:divId w:val="1958175112"/>
              <w:rPr>
                <w:rFonts w:eastAsia="Times New Roman"/>
              </w:rPr>
            </w:pPr>
            <w:r>
              <w:rPr>
                <w:rFonts w:eastAsia="Times New Roman"/>
                <w:color w:val="000000"/>
                <w:sz w:val="20"/>
                <w:szCs w:val="20"/>
              </w:rPr>
              <w:t>Preferred stock and additional paid-in capital, $1 par value and $25,000 liquidation preference</w:t>
            </w: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1,562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1,269 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divId w:val="985474789"/>
              <w:rPr>
                <w:rFonts w:eastAsia="Times New Roman"/>
              </w:rPr>
            </w:pPr>
            <w:r>
              <w:rPr>
                <w:rFonts w:eastAsia="Times New Roman"/>
                <w:color w:val="000000"/>
                <w:sz w:val="20"/>
                <w:szCs w:val="20"/>
              </w:rPr>
              <w:t>Common stock, $0.01 par value, 2,000,000,000 shares authorized; 520,918,331 and 552,896,328 shares issued, respectively; 391,290,224 and 440,776,011 shares outstanding, respectively</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Additional paid-in capital</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1,919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1,985 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divId w:val="1120953056"/>
              <w:rPr>
                <w:rFonts w:eastAsia="Times New Roman"/>
              </w:rPr>
            </w:pPr>
            <w:r>
              <w:rPr>
                <w:rFonts w:eastAsia="Times New Roman"/>
                <w:color w:val="000000"/>
                <w:sz w:val="20"/>
                <w:szCs w:val="20"/>
              </w:rPr>
              <w:t>Treasury stock, at cost, 129,628,107 and 112,120,317 shares, respectively</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(2,850)</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(2,245)</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Retained earnings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8,880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10,699 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Accumulated 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2,004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3,863 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Total equity attributable to Holdings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11,519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15,576 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Noncontrolling interest</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1,576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1,601 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Total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13,095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17,177 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Total Liabilities, Redeemable Noncontrolling Interest and Equity</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292,262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275,397 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ind w:hanging="270"/>
        <w:divId w:val="295571131"/>
        <w:rPr>
          <w:rFonts w:eastAsia="Times New Roman"/>
        </w:rPr>
      </w:pPr>
      <w:r>
        <w:rPr>
          <w:rFonts w:eastAsia="Times New Roman"/>
          <w:color w:val="000000"/>
          <w:sz w:val="18"/>
          <w:szCs w:val="18"/>
        </w:rPr>
        <w:t>____________</w:t>
      </w:r>
    </w:p>
    <w:p w:rsidR="00000000" w:rsidRDefault="005B0BC3">
      <w:pPr>
        <w:ind w:hanging="360"/>
        <w:divId w:val="952663929"/>
        <w:rPr>
          <w:rFonts w:eastAsia="Times New Roman"/>
        </w:rPr>
      </w:pPr>
      <w:r>
        <w:rPr>
          <w:rFonts w:eastAsia="Times New Roman"/>
          <w:color w:val="000000"/>
          <w:sz w:val="18"/>
          <w:szCs w:val="18"/>
        </w:rPr>
        <w:t xml:space="preserve">(1) See Note 2 </w:t>
      </w:r>
      <w:r>
        <w:rPr>
          <w:rFonts w:eastAsia="Times New Roman"/>
          <w:color w:val="000000"/>
          <w:sz w:val="18"/>
          <w:szCs w:val="18"/>
        </w:rPr>
        <w:t>of the Notes to these Consolidated Financial Statements for details of balances with VIEs.</w:t>
      </w:r>
    </w:p>
    <w:p w:rsidR="00000000" w:rsidRDefault="005B0BC3">
      <w:pPr>
        <w:ind w:hanging="360"/>
        <w:divId w:val="1942568186"/>
        <w:rPr>
          <w:rFonts w:eastAsia="Times New Roman"/>
        </w:rPr>
      </w:pPr>
      <w:r>
        <w:rPr>
          <w:rFonts w:eastAsia="Times New Roman"/>
          <w:color w:val="000000"/>
          <w:sz w:val="18"/>
          <w:szCs w:val="18"/>
        </w:rPr>
        <w:t>(2) See Note 22 of the Notes to these Consolidated Financial Statements for details of redeemable noncontrolling interest.</w:t>
      </w:r>
    </w:p>
    <w:p w:rsidR="00000000" w:rsidRDefault="005B0BC3">
      <w:pPr>
        <w:ind w:hanging="270"/>
        <w:divId w:val="1384137703"/>
        <w:rPr>
          <w:rFonts w:eastAsia="Times New Roman"/>
        </w:rPr>
      </w:pPr>
      <w:r>
        <w:rPr>
          <w:rFonts w:eastAsia="Times New Roman"/>
          <w:color w:val="000000"/>
          <w:sz w:val="18"/>
          <w:szCs w:val="18"/>
        </w:rPr>
        <w:t>(3) Represents the fair value of the ceded</w:t>
      </w:r>
      <w:r>
        <w:rPr>
          <w:rFonts w:eastAsia="Times New Roman"/>
          <w:color w:val="000000"/>
          <w:sz w:val="18"/>
          <w:szCs w:val="18"/>
        </w:rPr>
        <w:t xml:space="preserve"> reserves to Venerable. See Note 1 of the Notes to these Consolidated Financial Statements for details of the Venerable Transaction and Note 8 of the Notes to these Consolidated Financial Statements .</w:t>
      </w:r>
    </w:p>
    <w:p w:rsidR="00000000" w:rsidRDefault="005B0BC3">
      <w:pPr>
        <w:jc w:val="center"/>
        <w:rPr>
          <w:rFonts w:eastAsia="Times New Roman"/>
        </w:rPr>
      </w:pPr>
      <w:r>
        <w:rPr>
          <w:rFonts w:eastAsia="Times New Roman"/>
          <w:color w:val="000000"/>
          <w:sz w:val="20"/>
          <w:szCs w:val="20"/>
        </w:rPr>
        <w:t>See Notes to Consolidated Financial Statements.</w:t>
      </w:r>
    </w:p>
    <w:p w:rsidR="00000000" w:rsidRDefault="005B0BC3">
      <w:pPr>
        <w:jc w:val="center"/>
        <w:divId w:val="467285301"/>
        <w:rPr>
          <w:rFonts w:eastAsia="Times New Roman"/>
        </w:rPr>
      </w:pPr>
      <w:r>
        <w:rPr>
          <w:rFonts w:eastAsia="Times New Roman"/>
          <w:color w:val="000000"/>
          <w:sz w:val="20"/>
          <w:szCs w:val="20"/>
        </w:rPr>
        <w:t>132</w:t>
      </w:r>
    </w:p>
    <w:p w:rsidR="00000000" w:rsidRDefault="005B0BC3">
      <w:pPr>
        <w:rPr>
          <w:rFonts w:eastAsia="Times New Roman"/>
        </w:rPr>
      </w:pPr>
      <w:r>
        <w:rPr>
          <w:rFonts w:eastAsia="Times New Roman"/>
        </w:rPr>
        <w:pict>
          <v:rect id="_x0000_i1170" style="width:0;height:1.5pt" o:hralign="center" o:hrstd="t" o:hr="t" fillcolor="#a0a0a0" stroked="f"/>
        </w:pict>
      </w:r>
    </w:p>
    <w:p w:rsidR="00000000" w:rsidRDefault="005B0BC3">
      <w:pPr>
        <w:jc w:val="center"/>
        <w:divId w:val="1489206661"/>
        <w:rPr>
          <w:rFonts w:eastAsia="Times New Roman"/>
        </w:rPr>
      </w:pPr>
      <w:r>
        <w:rPr>
          <w:rFonts w:eastAsia="Times New Roman"/>
          <w:b/>
          <w:bCs/>
          <w:color w:val="000000"/>
          <w:sz w:val="20"/>
          <w:szCs w:val="20"/>
        </w:rPr>
        <w:t>EQUITABLE HOLDINGS, INC.</w:t>
      </w:r>
    </w:p>
    <w:p w:rsidR="00000000" w:rsidRDefault="005B0BC3">
      <w:pPr>
        <w:jc w:val="center"/>
        <w:divId w:val="1489206661"/>
        <w:rPr>
          <w:rFonts w:eastAsia="Times New Roman"/>
        </w:rPr>
      </w:pPr>
      <w:r>
        <w:rPr>
          <w:rFonts w:eastAsia="Times New Roman"/>
          <w:b/>
          <w:bCs/>
          <w:color w:val="000000"/>
          <w:sz w:val="20"/>
          <w:szCs w:val="20"/>
        </w:rPr>
        <w:t>Consolidated Statements of Income (Loss)</w:t>
      </w:r>
    </w:p>
    <w:p w:rsidR="00000000" w:rsidRDefault="005B0BC3">
      <w:pPr>
        <w:jc w:val="center"/>
        <w:divId w:val="799541201"/>
        <w:rPr>
          <w:rFonts w:eastAsia="Times New Roman"/>
        </w:rPr>
      </w:pPr>
      <w:r>
        <w:rPr>
          <w:rFonts w:eastAsia="Times New Roman"/>
          <w:b/>
          <w:bCs/>
          <w:color w:val="000000"/>
          <w:sz w:val="20"/>
          <w:szCs w:val="20"/>
        </w:rPr>
        <w:t>Years Ended December 31, 2021, 2020 and 2019</w:t>
      </w:r>
    </w:p>
    <w:p w:rsidR="00000000" w:rsidRDefault="005B0BC3">
      <w:pPr>
        <w:divId w:val="211728707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5143"/>
        <w:gridCol w:w="37"/>
        <w:gridCol w:w="36"/>
        <w:gridCol w:w="36"/>
        <w:gridCol w:w="36"/>
        <w:gridCol w:w="36"/>
        <w:gridCol w:w="120"/>
        <w:gridCol w:w="720"/>
        <w:gridCol w:w="36"/>
        <w:gridCol w:w="36"/>
        <w:gridCol w:w="36"/>
        <w:gridCol w:w="36"/>
        <w:gridCol w:w="120"/>
        <w:gridCol w:w="680"/>
        <w:gridCol w:w="36"/>
        <w:gridCol w:w="36"/>
        <w:gridCol w:w="36"/>
        <w:gridCol w:w="36"/>
        <w:gridCol w:w="120"/>
        <w:gridCol w:w="860"/>
        <w:gridCol w:w="36"/>
      </w:tblGrid>
      <w:tr w:rsidR="00000000">
        <w:trPr>
          <w:divId w:val="223031054"/>
        </w:trPr>
        <w:tc>
          <w:tcPr>
            <w:tcW w:w="50" w:type="pct"/>
            <w:vAlign w:val="center"/>
            <w:hideMark/>
          </w:tcPr>
          <w:p w:rsidR="00000000" w:rsidRDefault="005B0BC3">
            <w:pPr>
              <w:rPr>
                <w:rFonts w:eastAsia="Times New Roman"/>
              </w:rPr>
            </w:pPr>
          </w:p>
        </w:tc>
        <w:tc>
          <w:tcPr>
            <w:tcW w:w="318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7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7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8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223031054"/>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223031054"/>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223031054"/>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 except per share data)</w:t>
            </w:r>
          </w:p>
        </w:tc>
      </w:tr>
      <w:tr w:rsidR="00000000">
        <w:trPr>
          <w:divId w:val="223031054"/>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REVENUES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223031054"/>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Policy charges and fee income</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3,637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3,735 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3,778 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23031054"/>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Premiums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997 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1,147 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23031054"/>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Net derivative gains (losses)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(4,465)</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(1,722)</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(4,012)</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23031054"/>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Net investment income (loss)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3,846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3,477 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3,699 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23031054"/>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Investment gains (losses), net:</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223031054"/>
        </w:trPr>
        <w:tc>
          <w:tcPr>
            <w:tcW w:w="0" w:type="auto"/>
            <w:gridSpan w:val="3"/>
            <w:shd w:val="clear" w:color="auto" w:fill="FFFF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Credit losses on available-for-sale debt securities and loans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(58)</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23031054"/>
        </w:trPr>
        <w:tc>
          <w:tcPr>
            <w:tcW w:w="0" w:type="auto"/>
            <w:gridSpan w:val="3"/>
            <w:shd w:val="clear" w:color="auto" w:fill="CCEE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Other investment gains (losses), net</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802 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23031054"/>
        </w:trPr>
        <w:tc>
          <w:tcPr>
            <w:tcW w:w="0" w:type="auto"/>
            <w:gridSpan w:val="3"/>
            <w:shd w:val="clear" w:color="auto" w:fill="FFFFFF"/>
            <w:tcMar>
              <w:top w:w="30" w:type="dxa"/>
              <w:left w:w="515" w:type="dxa"/>
              <w:bottom w:w="30" w:type="dxa"/>
              <w:right w:w="20" w:type="dxa"/>
            </w:tcMar>
            <w:hideMark/>
          </w:tcPr>
          <w:p w:rsidR="00000000" w:rsidRDefault="005B0BC3">
            <w:pPr>
              <w:spacing w:after="100"/>
              <w:rPr>
                <w:rFonts w:eastAsia="Times New Roman"/>
              </w:rPr>
            </w:pPr>
            <w:r>
              <w:rPr>
                <w:rFonts w:eastAsia="Times New Roman"/>
                <w:color w:val="000000"/>
                <w:sz w:val="20"/>
                <w:szCs w:val="20"/>
              </w:rPr>
              <w:t>Total investment gains (losses), net</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868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23031054"/>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Investment management and service fees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5,395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4,608 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4,380 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23031054"/>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Other income</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795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576 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554 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23031054"/>
        </w:trPr>
        <w:tc>
          <w:tcPr>
            <w:tcW w:w="0" w:type="auto"/>
            <w:gridSpan w:val="3"/>
            <w:shd w:val="clear" w:color="auto" w:fill="CCEEFF"/>
            <w:tcMar>
              <w:top w:w="30" w:type="dxa"/>
              <w:left w:w="38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Total revenues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11,036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12,415 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9,619 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23031054"/>
          <w:trHeight w:val="240"/>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223031054"/>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BENEFITS AND OTHER DEDUCTIONS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223031054"/>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Policyholders’ benefits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3,218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5,326 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4,385 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23031054"/>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Interest credited to policyholders’ account balances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1,222 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1,263 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23031054"/>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Compensation and benefits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2,360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2,096 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2,081 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23031054"/>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Commissions and distribution-related payments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1,662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1,351 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1,242 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23031054"/>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Interest expense</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200 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221 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23031054"/>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Amortization of deferred policy acquisition costs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393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1,613 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597 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23031054"/>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Other operating costs and expenses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2,109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1,700 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1,890 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23031054"/>
        </w:trPr>
        <w:tc>
          <w:tcPr>
            <w:tcW w:w="0" w:type="auto"/>
            <w:gridSpan w:val="3"/>
            <w:shd w:val="clear" w:color="auto" w:fill="CCEEFF"/>
            <w:tcMar>
              <w:top w:w="30" w:type="dxa"/>
              <w:left w:w="38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Total benefits and other deductions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11,205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13,508 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11,679 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23031054"/>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Income (loss) from continuing operations, before income taxes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(169)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(1,093)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(2,060)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23031054"/>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Income tax (expense) benefit</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744 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593 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23031054"/>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Net income (loss)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(349)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w:t>
            </w:r>
            <w:r>
              <w:rPr>
                <w:rFonts w:eastAsia="Times New Roman"/>
                <w:color w:val="000000"/>
                <w:sz w:val="20"/>
                <w:szCs w:val="20"/>
              </w:rPr>
              <w:t>1,467)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23031054"/>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Less: Net income (loss) attributable to the noncontrolling interest</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299 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297 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23031054"/>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Net income (loss) attributable to Holdings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(439)</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(648)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(1,764)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23031054"/>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Less: Preferred stock dividends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79</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23031054"/>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Net income (loss) available to Holdings’ common shareholders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(518)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(701)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(1,764)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23031054"/>
          <w:trHeight w:val="240"/>
        </w:trPr>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223031054"/>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 xml:space="preserve">EARNINGS PER COMMON SHARE </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223031054"/>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Net income (loss) applicable to Holdings’ common shareholders per common share:</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223031054"/>
        </w:trPr>
        <w:tc>
          <w:tcPr>
            <w:tcW w:w="0" w:type="auto"/>
            <w:gridSpan w:val="3"/>
            <w:shd w:val="clear" w:color="auto" w:fill="FFFF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Basic</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(1.24)</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(1.56)</w:t>
            </w:r>
          </w:p>
        </w:tc>
        <w:tc>
          <w:tcPr>
            <w:tcW w:w="0" w:type="auto"/>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(3.57)</w:t>
            </w:r>
          </w:p>
        </w:tc>
        <w:tc>
          <w:tcPr>
            <w:tcW w:w="0" w:type="auto"/>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000000">
        <w:trPr>
          <w:divId w:val="223031054"/>
        </w:trPr>
        <w:tc>
          <w:tcPr>
            <w:tcW w:w="0" w:type="auto"/>
            <w:gridSpan w:val="3"/>
            <w:shd w:val="clear" w:color="auto" w:fill="CCEE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Diluted</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b/>
                <w:bCs/>
                <w:color w:val="000000"/>
                <w:sz w:val="20"/>
                <w:szCs w:val="20"/>
              </w:rPr>
              <w:t>1.24)</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(1.56)</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(3.57)</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23031054"/>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Weighted average common shares outstanding (in millions):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223031054"/>
        </w:trPr>
        <w:tc>
          <w:tcPr>
            <w:tcW w:w="0" w:type="auto"/>
            <w:gridSpan w:val="3"/>
            <w:shd w:val="clear" w:color="auto" w:fill="CCEE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Basic</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417.4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450.4 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493.6 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23031054"/>
        </w:trPr>
        <w:tc>
          <w:tcPr>
            <w:tcW w:w="0" w:type="auto"/>
            <w:gridSpan w:val="3"/>
            <w:shd w:val="clear" w:color="auto" w:fill="FFFF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Diluted</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417.4</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450.4 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493.6 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divId w:val="1390305644"/>
        <w:rPr>
          <w:rFonts w:eastAsia="Times New Roman"/>
        </w:rPr>
      </w:pPr>
    </w:p>
    <w:p w:rsidR="00000000" w:rsidRDefault="005B0BC3">
      <w:pPr>
        <w:jc w:val="center"/>
        <w:rPr>
          <w:rFonts w:eastAsia="Times New Roman"/>
        </w:rPr>
      </w:pPr>
    </w:p>
    <w:p w:rsidR="00000000" w:rsidRDefault="005B0BC3">
      <w:pPr>
        <w:jc w:val="center"/>
        <w:rPr>
          <w:rFonts w:eastAsia="Times New Roman"/>
        </w:rPr>
      </w:pPr>
      <w:r>
        <w:rPr>
          <w:rFonts w:eastAsia="Times New Roman"/>
          <w:color w:val="000000"/>
          <w:sz w:val="20"/>
          <w:szCs w:val="20"/>
        </w:rPr>
        <w:t>See Notes to Consolidated Financial Statements.</w:t>
      </w:r>
    </w:p>
    <w:p w:rsidR="00000000" w:rsidRDefault="005B0BC3">
      <w:pPr>
        <w:jc w:val="center"/>
        <w:divId w:val="487020879"/>
        <w:rPr>
          <w:rFonts w:eastAsia="Times New Roman"/>
        </w:rPr>
      </w:pPr>
      <w:r>
        <w:rPr>
          <w:rFonts w:eastAsia="Times New Roman"/>
          <w:color w:val="000000"/>
          <w:sz w:val="20"/>
          <w:szCs w:val="20"/>
        </w:rPr>
        <w:t>133</w:t>
      </w:r>
    </w:p>
    <w:p w:rsidR="00000000" w:rsidRDefault="005B0BC3">
      <w:pPr>
        <w:rPr>
          <w:rFonts w:eastAsia="Times New Roman"/>
        </w:rPr>
      </w:pPr>
      <w:r>
        <w:rPr>
          <w:rFonts w:eastAsia="Times New Roman"/>
        </w:rPr>
        <w:pict>
          <v:rect id="_x0000_i1171" style="width:0;height:1.5pt" o:hralign="center" o:hrstd="t" o:hr="t" fillcolor="#a0a0a0" stroked="f"/>
        </w:pict>
      </w:r>
    </w:p>
    <w:p w:rsidR="00000000" w:rsidRDefault="005B0BC3">
      <w:pPr>
        <w:divId w:val="1306469015"/>
        <w:rPr>
          <w:rFonts w:eastAsia="Times New Roman"/>
        </w:rPr>
      </w:pPr>
    </w:p>
    <w:p w:rsidR="00000000" w:rsidRDefault="005B0BC3">
      <w:pPr>
        <w:jc w:val="center"/>
        <w:divId w:val="2128961921"/>
        <w:rPr>
          <w:rFonts w:eastAsia="Times New Roman"/>
        </w:rPr>
      </w:pPr>
      <w:r>
        <w:rPr>
          <w:rFonts w:eastAsia="Times New Roman"/>
          <w:b/>
          <w:bCs/>
          <w:color w:val="000000"/>
          <w:sz w:val="20"/>
          <w:szCs w:val="20"/>
        </w:rPr>
        <w:t>EQUITABLE HOLDINGS, INC.</w:t>
      </w:r>
    </w:p>
    <w:p w:rsidR="00000000" w:rsidRDefault="005B0BC3">
      <w:pPr>
        <w:jc w:val="center"/>
        <w:divId w:val="2128961921"/>
        <w:rPr>
          <w:rFonts w:eastAsia="Times New Roman"/>
        </w:rPr>
      </w:pPr>
      <w:r>
        <w:rPr>
          <w:rFonts w:eastAsia="Times New Roman"/>
          <w:b/>
          <w:bCs/>
          <w:color w:val="000000"/>
          <w:sz w:val="20"/>
          <w:szCs w:val="20"/>
        </w:rPr>
        <w:t>Consolidated Statements of Comprehensive Income (Loss)</w:t>
      </w:r>
    </w:p>
    <w:p w:rsidR="00000000" w:rsidRDefault="005B0BC3">
      <w:pPr>
        <w:jc w:val="center"/>
        <w:divId w:val="255678467"/>
        <w:rPr>
          <w:rFonts w:eastAsia="Times New Roman"/>
        </w:rPr>
      </w:pPr>
      <w:r>
        <w:rPr>
          <w:rFonts w:eastAsia="Times New Roman"/>
          <w:b/>
          <w:bCs/>
          <w:color w:val="000000"/>
          <w:sz w:val="20"/>
          <w:szCs w:val="20"/>
        </w:rPr>
        <w:t>Years Ended December 31, 2021, 2020 and 2019</w:t>
      </w:r>
    </w:p>
    <w:tbl>
      <w:tblPr>
        <w:tblW w:w="4472" w:type="pct"/>
        <w:jc w:val="center"/>
        <w:tblCellMar>
          <w:top w:w="15" w:type="dxa"/>
          <w:left w:w="15" w:type="dxa"/>
          <w:bottom w:w="15" w:type="dxa"/>
          <w:right w:w="15" w:type="dxa"/>
        </w:tblCellMar>
        <w:tblLook w:val="04A0" w:firstRow="1" w:lastRow="0" w:firstColumn="1" w:lastColumn="0" w:noHBand="0" w:noVBand="1"/>
      </w:tblPr>
      <w:tblGrid>
        <w:gridCol w:w="37"/>
        <w:gridCol w:w="4276"/>
        <w:gridCol w:w="36"/>
        <w:gridCol w:w="36"/>
        <w:gridCol w:w="36"/>
        <w:gridCol w:w="36"/>
        <w:gridCol w:w="36"/>
        <w:gridCol w:w="120"/>
        <w:gridCol w:w="749"/>
        <w:gridCol w:w="36"/>
        <w:gridCol w:w="36"/>
        <w:gridCol w:w="36"/>
        <w:gridCol w:w="36"/>
        <w:gridCol w:w="120"/>
        <w:gridCol w:w="700"/>
        <w:gridCol w:w="36"/>
        <w:gridCol w:w="36"/>
        <w:gridCol w:w="36"/>
        <w:gridCol w:w="36"/>
        <w:gridCol w:w="120"/>
        <w:gridCol w:w="803"/>
        <w:gridCol w:w="36"/>
      </w:tblGrid>
      <w:tr w:rsidR="00000000">
        <w:trPr>
          <w:jc w:val="center"/>
        </w:trPr>
        <w:tc>
          <w:tcPr>
            <w:tcW w:w="50" w:type="pct"/>
            <w:vAlign w:val="center"/>
            <w:hideMark/>
          </w:tcPr>
          <w:p w:rsidR="00000000" w:rsidRDefault="005B0BC3">
            <w:pPr>
              <w:jc w:val="center"/>
              <w:rPr>
                <w:rFonts w:eastAsia="Times New Roman"/>
              </w:rPr>
            </w:pPr>
          </w:p>
        </w:tc>
        <w:tc>
          <w:tcPr>
            <w:tcW w:w="298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jc w:val="center"/>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COMPREHENSIVE INCOME (LOSS)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Net income (loss)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(24)</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(349)</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(1,467)</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Other comprehensive income (loss) net of income taxes: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Change in unrealized gains (losses), net of reclassification adjustment</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(2,113)</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2,956 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2,258 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Changes in defined benefit plan related items not yet recognized in periodic benefit cost, net of reclassification adjustment</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266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Foreign currency translation adjustment</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Total other comprehensive income (loss), net of income taxes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(1,858)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3,026 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2,248 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Comprehensive income (loss)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(1,882)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2,677 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Less: Comprehensive income (loss) attributable to the noncontrolling interest</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306 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293 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Comprehensive income (loss) attributable to Holdings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(2,298)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2,371 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jc w:val="center"/>
        <w:rPr>
          <w:rFonts w:eastAsia="Times New Roman"/>
        </w:rPr>
      </w:pPr>
    </w:p>
    <w:p w:rsidR="00000000" w:rsidRDefault="005B0BC3">
      <w:pPr>
        <w:jc w:val="center"/>
        <w:rPr>
          <w:rFonts w:eastAsia="Times New Roman"/>
        </w:rPr>
      </w:pPr>
      <w:r>
        <w:rPr>
          <w:rFonts w:eastAsia="Times New Roman"/>
          <w:color w:val="000000"/>
          <w:sz w:val="20"/>
          <w:szCs w:val="20"/>
        </w:rPr>
        <w:t>See Notes to Consolidated Financial Statements.</w:t>
      </w:r>
    </w:p>
    <w:p w:rsidR="00000000" w:rsidRDefault="005B0BC3">
      <w:pPr>
        <w:jc w:val="center"/>
        <w:divId w:val="1221550258"/>
        <w:rPr>
          <w:rFonts w:eastAsia="Times New Roman"/>
        </w:rPr>
      </w:pPr>
      <w:r>
        <w:rPr>
          <w:rFonts w:eastAsia="Times New Roman"/>
          <w:color w:val="000000"/>
          <w:sz w:val="20"/>
          <w:szCs w:val="20"/>
        </w:rPr>
        <w:t>134</w:t>
      </w:r>
    </w:p>
    <w:p w:rsidR="00000000" w:rsidRDefault="005B0BC3">
      <w:pPr>
        <w:rPr>
          <w:rFonts w:eastAsia="Times New Roman"/>
        </w:rPr>
      </w:pPr>
      <w:r>
        <w:rPr>
          <w:rFonts w:eastAsia="Times New Roman"/>
        </w:rPr>
        <w:pict>
          <v:rect id="_x0000_i1172" style="width:0;height:1.5pt" o:hralign="center" o:hrstd="t" o:hr="t" fillcolor="#a0a0a0" stroked="f"/>
        </w:pict>
      </w:r>
    </w:p>
    <w:p w:rsidR="00000000" w:rsidRDefault="005B0BC3">
      <w:pPr>
        <w:jc w:val="center"/>
        <w:divId w:val="533545269"/>
        <w:rPr>
          <w:rFonts w:eastAsia="Times New Roman"/>
        </w:rPr>
      </w:pPr>
      <w:r>
        <w:rPr>
          <w:rFonts w:eastAsia="Times New Roman"/>
          <w:b/>
          <w:bCs/>
          <w:color w:val="000000"/>
          <w:sz w:val="20"/>
          <w:szCs w:val="20"/>
        </w:rPr>
        <w:t xml:space="preserve">EQUITABLE HOLDINGS, INC. </w:t>
      </w:r>
    </w:p>
    <w:p w:rsidR="00000000" w:rsidRDefault="005B0BC3">
      <w:pPr>
        <w:jc w:val="center"/>
        <w:divId w:val="533545269"/>
        <w:rPr>
          <w:rFonts w:eastAsia="Times New Roman"/>
        </w:rPr>
      </w:pPr>
      <w:r>
        <w:rPr>
          <w:rFonts w:eastAsia="Times New Roman"/>
          <w:b/>
          <w:bCs/>
          <w:color w:val="000000"/>
          <w:sz w:val="20"/>
          <w:szCs w:val="20"/>
        </w:rPr>
        <w:t>CONSOLIDATED STATEMENTS OF EQUITY</w:t>
      </w:r>
    </w:p>
    <w:p w:rsidR="00000000" w:rsidRDefault="005B0BC3">
      <w:pPr>
        <w:jc w:val="center"/>
        <w:divId w:val="64766765"/>
        <w:rPr>
          <w:rFonts w:eastAsia="Times New Roman"/>
        </w:rPr>
      </w:pPr>
      <w:r>
        <w:rPr>
          <w:rFonts w:eastAsia="Times New Roman"/>
          <w:b/>
          <w:bCs/>
          <w:color w:val="000000"/>
          <w:sz w:val="20"/>
          <w:szCs w:val="20"/>
        </w:rPr>
        <w:t>Years Ended December 31, 2021, 2020 and 2019</w:t>
      </w:r>
    </w:p>
    <w:tbl>
      <w:tblPr>
        <w:tblW w:w="4956" w:type="pct"/>
        <w:jc w:val="center"/>
        <w:tblCellMar>
          <w:top w:w="15" w:type="dxa"/>
          <w:left w:w="15" w:type="dxa"/>
          <w:bottom w:w="15" w:type="dxa"/>
          <w:right w:w="15" w:type="dxa"/>
        </w:tblCellMar>
        <w:tblLook w:val="04A0" w:firstRow="1" w:lastRow="0" w:firstColumn="1" w:lastColumn="0" w:noHBand="0" w:noVBand="1"/>
      </w:tblPr>
      <w:tblGrid>
        <w:gridCol w:w="39"/>
        <w:gridCol w:w="1132"/>
        <w:gridCol w:w="38"/>
        <w:gridCol w:w="91"/>
        <w:gridCol w:w="581"/>
        <w:gridCol w:w="36"/>
        <w:gridCol w:w="36"/>
        <w:gridCol w:w="36"/>
        <w:gridCol w:w="36"/>
        <w:gridCol w:w="91"/>
        <w:gridCol w:w="495"/>
        <w:gridCol w:w="36"/>
        <w:gridCol w:w="36"/>
        <w:gridCol w:w="36"/>
        <w:gridCol w:w="36"/>
        <w:gridCol w:w="91"/>
        <w:gridCol w:w="578"/>
        <w:gridCol w:w="36"/>
        <w:gridCol w:w="36"/>
        <w:gridCol w:w="36"/>
        <w:gridCol w:w="36"/>
        <w:gridCol w:w="91"/>
        <w:gridCol w:w="495"/>
        <w:gridCol w:w="36"/>
        <w:gridCol w:w="36"/>
        <w:gridCol w:w="36"/>
        <w:gridCol w:w="36"/>
        <w:gridCol w:w="91"/>
        <w:gridCol w:w="488"/>
        <w:gridCol w:w="36"/>
        <w:gridCol w:w="36"/>
        <w:gridCol w:w="36"/>
        <w:gridCol w:w="36"/>
        <w:gridCol w:w="94"/>
        <w:gridCol w:w="871"/>
        <w:gridCol w:w="36"/>
        <w:gridCol w:w="36"/>
        <w:gridCol w:w="36"/>
        <w:gridCol w:w="36"/>
        <w:gridCol w:w="91"/>
        <w:gridCol w:w="493"/>
        <w:gridCol w:w="36"/>
        <w:gridCol w:w="36"/>
        <w:gridCol w:w="36"/>
        <w:gridCol w:w="36"/>
        <w:gridCol w:w="91"/>
        <w:gridCol w:w="594"/>
        <w:gridCol w:w="36"/>
        <w:gridCol w:w="36"/>
        <w:gridCol w:w="36"/>
        <w:gridCol w:w="36"/>
        <w:gridCol w:w="90"/>
        <w:gridCol w:w="420"/>
        <w:gridCol w:w="36"/>
      </w:tblGrid>
      <w:tr w:rsidR="00000000">
        <w:trPr>
          <w:jc w:val="center"/>
        </w:trPr>
        <w:tc>
          <w:tcPr>
            <w:tcW w:w="50" w:type="pct"/>
            <w:vAlign w:val="center"/>
            <w:hideMark/>
          </w:tcPr>
          <w:p w:rsidR="00000000" w:rsidRDefault="005B0BC3">
            <w:pPr>
              <w:jc w:val="center"/>
              <w:rPr>
                <w:rFonts w:eastAsia="Times New Roman"/>
              </w:rPr>
            </w:pPr>
          </w:p>
        </w:tc>
        <w:tc>
          <w:tcPr>
            <w:tcW w:w="126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2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27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2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27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27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6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2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2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29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51"/>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4"/>
                <w:szCs w:val="14"/>
              </w:rPr>
              <w:t>Year Ended December 31,</w:t>
            </w:r>
          </w:p>
        </w:tc>
      </w:tr>
      <w:tr w:rsidR="00000000">
        <w:trPr>
          <w:jc w:val="center"/>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4"/>
                <w:szCs w:val="14"/>
              </w:rPr>
              <w:t>Equity Attributable to Holdings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4"/>
                <w:szCs w:val="14"/>
              </w:rPr>
              <w:t>Preferred Stock and Additional Paid-In Capital</w:t>
            </w:r>
          </w:p>
        </w:tc>
        <w:tc>
          <w:tcPr>
            <w:tcW w:w="0" w:type="auto"/>
            <w:gridSpan w:val="3"/>
            <w:tcBorders>
              <w:top w:val="single" w:sz="8" w:space="0" w:color="000000"/>
              <w:bottom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4"/>
                <w:szCs w:val="14"/>
              </w:rPr>
              <w:t>Common Stock</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4"/>
                <w:szCs w:val="14"/>
              </w:rPr>
              <w:t>Additional Paid-in Capital</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4"/>
                <w:szCs w:val="14"/>
              </w:rPr>
              <w:t>Treasury Stock</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4"/>
                <w:szCs w:val="14"/>
              </w:rPr>
              <w:t>Retained Earnings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4"/>
                <w:szCs w:val="14"/>
              </w:rPr>
              <w:t>Accumulated Other Comprehensive Income (Loss)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4"/>
                <w:szCs w:val="14"/>
              </w:rPr>
              <w:t>Total Holdings Equity</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4"/>
                <w:szCs w:val="14"/>
              </w:rPr>
              <w:t>Non-controlling Interest</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4"/>
                <w:szCs w:val="14"/>
              </w:rPr>
              <w:t>Total Equity</w:t>
            </w:r>
          </w:p>
        </w:tc>
      </w:tr>
      <w:tr w:rsidR="00000000">
        <w:trPr>
          <w:jc w:val="center"/>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51"/>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4"/>
                <w:szCs w:val="14"/>
              </w:rPr>
              <w:t>(in millions)</w:t>
            </w:r>
          </w:p>
        </w:tc>
      </w:tr>
      <w:tr w:rsidR="005B0BC3">
        <w:trPr>
          <w:jc w:val="center"/>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14"/>
                <w:szCs w:val="14"/>
              </w:rPr>
              <w:t>January 1, 2021</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1,269</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5</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1,985</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(2,245)</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10,699</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3,863</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15,576</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1,601</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17,177</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5B0BC3">
        <w:trPr>
          <w:jc w:val="center"/>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14"/>
                <w:szCs w:val="14"/>
              </w:rPr>
              <w:t>Stock compensation</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15</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51</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66</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220</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286</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5B0BC3">
        <w:trPr>
          <w:jc w:val="center"/>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14"/>
                <w:szCs w:val="14"/>
              </w:rPr>
              <w:t>Purchase of treasury stock</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(1)</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(27)</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(1,610)</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(1,638)</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(1,638)</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5B0BC3">
        <w:trPr>
          <w:jc w:val="center"/>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14"/>
                <w:szCs w:val="14"/>
              </w:rPr>
              <w:t>Reissuance of treasury stock</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(51)</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(51)</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(51)</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5B0BC3">
        <w:trPr>
          <w:jc w:val="center"/>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14"/>
                <w:szCs w:val="14"/>
              </w:rPr>
              <w:t>Retirement of common stock</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954</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(954)</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5B0BC3">
        <w:trPr>
          <w:jc w:val="center"/>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14"/>
                <w:szCs w:val="14"/>
              </w:rPr>
              <w:t>Repurchase of AB Holding units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(262)</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(262)</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5B0BC3">
        <w:trPr>
          <w:jc w:val="center"/>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14"/>
                <w:szCs w:val="14"/>
              </w:rPr>
              <w:t>Dividends paid to noncontrolling interest</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(393)</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(393)</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5B0BC3">
        <w:trPr>
          <w:jc w:val="center"/>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14"/>
                <w:szCs w:val="14"/>
              </w:rPr>
              <w:t>Dividends on common stock (cash dividends declared per common share of $0.71)</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(296)</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(296)</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(296)</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5B0BC3">
        <w:trPr>
          <w:jc w:val="center"/>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14"/>
                <w:szCs w:val="14"/>
              </w:rPr>
              <w:t>Dividends on preferred stock</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(79)</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(79)</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(79)</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5B0BC3">
        <w:trPr>
          <w:jc w:val="center"/>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14"/>
                <w:szCs w:val="14"/>
              </w:rPr>
              <w:t>Issuance of preferred stock</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293</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293</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293</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5B0BC3">
        <w:trPr>
          <w:jc w:val="center"/>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14"/>
                <w:szCs w:val="14"/>
              </w:rPr>
              <w:t>Net income (loss)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(439)</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(439)</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410</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(29)</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5B0BC3">
        <w:trPr>
          <w:jc w:val="center"/>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14"/>
                <w:szCs w:val="14"/>
              </w:rPr>
              <w:t>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(1,859)</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(1,859)</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1</w:t>
            </w: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(1,858)</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5B0BC3">
        <w:trPr>
          <w:jc w:val="center"/>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14"/>
                <w:szCs w:val="14"/>
              </w:rPr>
              <w:t>Other</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(54)</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w:t>
            </w: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(54)</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(1)</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(55)</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5B0BC3">
        <w:trPr>
          <w:jc w:val="center"/>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14"/>
                <w:szCs w:val="14"/>
              </w:rPr>
              <w:t>December 31, 2021</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1,562</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4</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1,919</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(2,850)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8,880</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2,004</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11,519</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1,576</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4"/>
                <w:szCs w:val="14"/>
              </w:rPr>
              <w:t>13,095</w:t>
            </w:r>
            <w:r>
              <w:rPr>
                <w:rFonts w:eastAsia="Times New Roman"/>
                <w:color w:val="000000"/>
                <w:sz w:val="14"/>
                <w:szCs w:val="14"/>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jc w:val="center"/>
        <w:divId w:val="1276906447"/>
        <w:rPr>
          <w:rFonts w:eastAsia="Times New Roman"/>
          <w:vanish/>
        </w:rPr>
      </w:pPr>
    </w:p>
    <w:tbl>
      <w:tblPr>
        <w:tblW w:w="4956" w:type="pct"/>
        <w:jc w:val="center"/>
        <w:tblCellMar>
          <w:top w:w="15" w:type="dxa"/>
          <w:left w:w="15" w:type="dxa"/>
          <w:bottom w:w="15" w:type="dxa"/>
          <w:right w:w="15" w:type="dxa"/>
        </w:tblCellMar>
        <w:tblLook w:val="04A0" w:firstRow="1" w:lastRow="0" w:firstColumn="1" w:lastColumn="0" w:noHBand="0" w:noVBand="1"/>
      </w:tblPr>
      <w:tblGrid>
        <w:gridCol w:w="40"/>
        <w:gridCol w:w="104"/>
        <w:gridCol w:w="1939"/>
        <w:gridCol w:w="39"/>
        <w:gridCol w:w="90"/>
        <w:gridCol w:w="14"/>
        <w:gridCol w:w="144"/>
        <w:gridCol w:w="144"/>
        <w:gridCol w:w="196"/>
        <w:gridCol w:w="36"/>
        <w:gridCol w:w="36"/>
        <w:gridCol w:w="36"/>
        <w:gridCol w:w="36"/>
        <w:gridCol w:w="90"/>
        <w:gridCol w:w="110"/>
        <w:gridCol w:w="144"/>
        <w:gridCol w:w="123"/>
        <w:gridCol w:w="21"/>
        <w:gridCol w:w="15"/>
        <w:gridCol w:w="36"/>
        <w:gridCol w:w="36"/>
        <w:gridCol w:w="36"/>
        <w:gridCol w:w="21"/>
        <w:gridCol w:w="69"/>
        <w:gridCol w:w="75"/>
        <w:gridCol w:w="144"/>
        <w:gridCol w:w="232"/>
        <w:gridCol w:w="36"/>
        <w:gridCol w:w="36"/>
        <w:gridCol w:w="36"/>
        <w:gridCol w:w="36"/>
        <w:gridCol w:w="78"/>
        <w:gridCol w:w="12"/>
        <w:gridCol w:w="132"/>
        <w:gridCol w:w="144"/>
        <w:gridCol w:w="133"/>
        <w:gridCol w:w="11"/>
        <w:gridCol w:w="25"/>
        <w:gridCol w:w="36"/>
        <w:gridCol w:w="36"/>
        <w:gridCol w:w="36"/>
        <w:gridCol w:w="11"/>
        <w:gridCol w:w="79"/>
        <w:gridCol w:w="65"/>
        <w:gridCol w:w="355"/>
        <w:gridCol w:w="36"/>
        <w:gridCol w:w="36"/>
        <w:gridCol w:w="36"/>
        <w:gridCol w:w="36"/>
        <w:gridCol w:w="29"/>
        <w:gridCol w:w="61"/>
        <w:gridCol w:w="83"/>
        <w:gridCol w:w="144"/>
        <w:gridCol w:w="144"/>
        <w:gridCol w:w="144"/>
        <w:gridCol w:w="107"/>
        <w:gridCol w:w="36"/>
        <w:gridCol w:w="1"/>
        <w:gridCol w:w="35"/>
        <w:gridCol w:w="36"/>
        <w:gridCol w:w="36"/>
        <w:gridCol w:w="90"/>
        <w:gridCol w:w="257"/>
        <w:gridCol w:w="144"/>
        <w:gridCol w:w="50"/>
        <w:gridCol w:w="36"/>
        <w:gridCol w:w="36"/>
        <w:gridCol w:w="22"/>
        <w:gridCol w:w="14"/>
        <w:gridCol w:w="36"/>
        <w:gridCol w:w="90"/>
        <w:gridCol w:w="4"/>
        <w:gridCol w:w="144"/>
        <w:gridCol w:w="144"/>
        <w:gridCol w:w="173"/>
        <w:gridCol w:w="36"/>
        <w:gridCol w:w="36"/>
        <w:gridCol w:w="36"/>
        <w:gridCol w:w="36"/>
        <w:gridCol w:w="90"/>
        <w:gridCol w:w="47"/>
        <w:gridCol w:w="144"/>
        <w:gridCol w:w="144"/>
        <w:gridCol w:w="85"/>
        <w:gridCol w:w="36"/>
        <w:gridCol w:w="23"/>
        <w:gridCol w:w="144"/>
        <w:gridCol w:w="144"/>
        <w:gridCol w:w="770"/>
        <w:gridCol w:w="144"/>
        <w:gridCol w:w="144"/>
        <w:gridCol w:w="144"/>
        <w:gridCol w:w="144"/>
        <w:gridCol w:w="144"/>
        <w:gridCol w:w="528"/>
        <w:gridCol w:w="144"/>
        <w:gridCol w:w="144"/>
        <w:gridCol w:w="144"/>
        <w:gridCol w:w="144"/>
        <w:gridCol w:w="144"/>
        <w:gridCol w:w="540"/>
        <w:gridCol w:w="144"/>
        <w:gridCol w:w="144"/>
        <w:gridCol w:w="144"/>
        <w:gridCol w:w="144"/>
        <w:gridCol w:w="144"/>
        <w:gridCol w:w="479"/>
        <w:gridCol w:w="144"/>
      </w:tblGrid>
      <w:tr w:rsidR="00000000">
        <w:trPr>
          <w:gridAfter w:val="23"/>
          <w:divId w:val="1276906447"/>
          <w:jc w:val="center"/>
        </w:trPr>
        <w:tc>
          <w:tcPr>
            <w:tcW w:w="50" w:type="pct"/>
            <w:vAlign w:val="center"/>
            <w:hideMark/>
          </w:tcPr>
          <w:p w:rsidR="00000000" w:rsidRDefault="005B0BC3">
            <w:pPr>
              <w:jc w:val="center"/>
              <w:rPr>
                <w:rFonts w:eastAsia="Times New Roman"/>
              </w:rPr>
            </w:pPr>
          </w:p>
        </w:tc>
        <w:tc>
          <w:tcPr>
            <w:tcW w:w="1265" w:type="pct"/>
            <w:gridSpan w:val="2"/>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28" w:type="pct"/>
            <w:gridSpan w:val="4"/>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276" w:type="pct"/>
            <w:gridSpan w:val="3"/>
            <w:vAlign w:val="center"/>
            <w:hideMark/>
          </w:tcPr>
          <w:p w:rsidR="00000000" w:rsidRDefault="005B0BC3">
            <w:pPr>
              <w:spacing w:after="100"/>
              <w:rPr>
                <w:rFonts w:eastAsia="Times New Roman"/>
                <w:sz w:val="20"/>
                <w:szCs w:val="20"/>
              </w:rPr>
            </w:pPr>
          </w:p>
        </w:tc>
        <w:tc>
          <w:tcPr>
            <w:tcW w:w="5" w:type="pct"/>
            <w:gridSpan w:val="2"/>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gridSpan w:val="2"/>
            <w:vAlign w:val="center"/>
            <w:hideMark/>
          </w:tcPr>
          <w:p w:rsidR="00000000" w:rsidRDefault="005B0BC3">
            <w:pPr>
              <w:spacing w:after="100"/>
              <w:rPr>
                <w:rFonts w:eastAsia="Times New Roman"/>
                <w:sz w:val="20"/>
                <w:szCs w:val="20"/>
              </w:rPr>
            </w:pPr>
          </w:p>
        </w:tc>
        <w:tc>
          <w:tcPr>
            <w:tcW w:w="321" w:type="pct"/>
            <w:gridSpan w:val="3"/>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gridSpan w:val="2"/>
            <w:vAlign w:val="center"/>
            <w:hideMark/>
          </w:tcPr>
          <w:p w:rsidR="00000000" w:rsidRDefault="005B0BC3">
            <w:pPr>
              <w:spacing w:after="100"/>
              <w:rPr>
                <w:rFonts w:eastAsia="Times New Roman"/>
                <w:sz w:val="20"/>
                <w:szCs w:val="20"/>
              </w:rPr>
            </w:pPr>
          </w:p>
        </w:tc>
        <w:tc>
          <w:tcPr>
            <w:tcW w:w="276" w:type="pct"/>
            <w:gridSpan w:val="3"/>
            <w:vAlign w:val="center"/>
            <w:hideMark/>
          </w:tcPr>
          <w:p w:rsidR="00000000" w:rsidRDefault="005B0BC3">
            <w:pPr>
              <w:spacing w:after="100"/>
              <w:rPr>
                <w:rFonts w:eastAsia="Times New Roman"/>
                <w:sz w:val="20"/>
                <w:szCs w:val="20"/>
              </w:rPr>
            </w:pPr>
          </w:p>
        </w:tc>
        <w:tc>
          <w:tcPr>
            <w:tcW w:w="5" w:type="pct"/>
            <w:gridSpan w:val="2"/>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gridSpan w:val="2"/>
            <w:vAlign w:val="center"/>
            <w:hideMark/>
          </w:tcPr>
          <w:p w:rsidR="00000000" w:rsidRDefault="005B0BC3">
            <w:pPr>
              <w:spacing w:after="100"/>
              <w:rPr>
                <w:rFonts w:eastAsia="Times New Roman"/>
                <w:sz w:val="20"/>
                <w:szCs w:val="20"/>
              </w:rPr>
            </w:pPr>
          </w:p>
        </w:tc>
        <w:tc>
          <w:tcPr>
            <w:tcW w:w="276" w:type="pct"/>
            <w:gridSpan w:val="2"/>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gridSpan w:val="2"/>
            <w:vAlign w:val="center"/>
            <w:hideMark/>
          </w:tcPr>
          <w:p w:rsidR="00000000" w:rsidRDefault="005B0BC3">
            <w:pPr>
              <w:spacing w:after="100"/>
              <w:rPr>
                <w:rFonts w:eastAsia="Times New Roman"/>
                <w:sz w:val="20"/>
                <w:szCs w:val="20"/>
              </w:rPr>
            </w:pPr>
          </w:p>
        </w:tc>
        <w:tc>
          <w:tcPr>
            <w:tcW w:w="468" w:type="pct"/>
            <w:gridSpan w:val="5"/>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gridSpan w:val="2"/>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21" w:type="pct"/>
            <w:gridSpan w:val="3"/>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gridSpan w:val="2"/>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28" w:type="pct"/>
            <w:gridSpan w:val="4"/>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291" w:type="pct"/>
            <w:gridSpan w:val="4"/>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5B0BC3">
        <w:trPr>
          <w:gridAfter w:val="23"/>
          <w:divId w:val="1276906447"/>
          <w:jc w:val="center"/>
        </w:trPr>
        <w:tc>
          <w:tcPr>
            <w:tcW w:w="0" w:type="auto"/>
            <w:gridSpan w:val="4"/>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14"/>
                <w:szCs w:val="14"/>
              </w:rPr>
              <w:t>January 1, 2020</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4"/>
                <w:szCs w:val="14"/>
              </w:rPr>
              <w:t>$</w:t>
            </w:r>
          </w:p>
        </w:tc>
        <w:tc>
          <w:tcPr>
            <w:tcW w:w="0" w:type="auto"/>
            <w:gridSpan w:val="4"/>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775 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4"/>
                <w:szCs w:val="14"/>
              </w:rPr>
              <w:t>$</w:t>
            </w:r>
          </w:p>
        </w:tc>
        <w:tc>
          <w:tcPr>
            <w:tcW w:w="0" w:type="auto"/>
            <w:gridSpan w:val="3"/>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5 </w:t>
            </w:r>
          </w:p>
        </w:tc>
        <w:tc>
          <w:tcPr>
            <w:tcW w:w="0" w:type="auto"/>
            <w:gridSpan w:val="2"/>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4"/>
                <w:szCs w:val="14"/>
              </w:rPr>
              <w:t>$</w:t>
            </w:r>
          </w:p>
        </w:tc>
        <w:tc>
          <w:tcPr>
            <w:tcW w:w="0" w:type="auto"/>
            <w:gridSpan w:val="3"/>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1,920 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4"/>
                <w:szCs w:val="14"/>
              </w:rPr>
              <w:t>$</w:t>
            </w:r>
          </w:p>
        </w:tc>
        <w:tc>
          <w:tcPr>
            <w:tcW w:w="0" w:type="auto"/>
            <w:gridSpan w:val="3"/>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(1,832)</w:t>
            </w:r>
          </w:p>
        </w:tc>
        <w:tc>
          <w:tcPr>
            <w:tcW w:w="0" w:type="auto"/>
            <w:gridSpan w:val="2"/>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4"/>
                <w:szCs w:val="14"/>
              </w:rPr>
              <w:t>$</w:t>
            </w:r>
          </w:p>
        </w:tc>
        <w:tc>
          <w:tcPr>
            <w:tcW w:w="0" w:type="auto"/>
            <w:gridSpan w:val="2"/>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11,744 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4"/>
                <w:szCs w:val="14"/>
              </w:rPr>
              <w:t>$</w:t>
            </w:r>
          </w:p>
        </w:tc>
        <w:tc>
          <w:tcPr>
            <w:tcW w:w="0" w:type="auto"/>
            <w:gridSpan w:val="5"/>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844 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4"/>
                <w:szCs w:val="14"/>
              </w:rPr>
              <w:t>$</w:t>
            </w:r>
          </w:p>
        </w:tc>
        <w:tc>
          <w:tcPr>
            <w:tcW w:w="0" w:type="auto"/>
            <w:gridSpan w:val="3"/>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13,456 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4"/>
                <w:szCs w:val="14"/>
              </w:rPr>
              <w:t>$</w:t>
            </w:r>
          </w:p>
        </w:tc>
        <w:tc>
          <w:tcPr>
            <w:tcW w:w="0" w:type="auto"/>
            <w:gridSpan w:val="4"/>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1,591 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4"/>
                <w:szCs w:val="14"/>
              </w:rPr>
              <w:t>$</w:t>
            </w:r>
          </w:p>
        </w:tc>
        <w:tc>
          <w:tcPr>
            <w:tcW w:w="0" w:type="auto"/>
            <w:gridSpan w:val="4"/>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15,047 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5B0BC3">
        <w:trPr>
          <w:gridAfter w:val="23"/>
          <w:divId w:val="1276906447"/>
          <w:jc w:val="center"/>
        </w:trPr>
        <w:tc>
          <w:tcPr>
            <w:tcW w:w="0" w:type="auto"/>
            <w:gridSpan w:val="4"/>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14"/>
                <w:szCs w:val="14"/>
              </w:rPr>
              <w:t>Cumulative effect of adoption of ASU 2016-03, Current Expected Credit Los</w:t>
            </w:r>
            <w:r>
              <w:rPr>
                <w:rFonts w:eastAsia="Times New Roman"/>
                <w:color w:val="000000"/>
                <w:sz w:val="14"/>
                <w:szCs w:val="14"/>
              </w:rPr>
              <w:t>s</w:t>
            </w:r>
          </w:p>
        </w:tc>
        <w:tc>
          <w:tcPr>
            <w:tcW w:w="0" w:type="auto"/>
            <w:gridSpan w:val="5"/>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gridSpan w:val="2"/>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gridSpan w:val="2"/>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(30)</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(30)</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(30)</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5B0BC3">
        <w:trPr>
          <w:gridAfter w:val="23"/>
          <w:divId w:val="1276906447"/>
          <w:jc w:val="center"/>
        </w:trPr>
        <w:tc>
          <w:tcPr>
            <w:tcW w:w="0" w:type="auto"/>
            <w:gridSpan w:val="4"/>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14"/>
                <w:szCs w:val="14"/>
              </w:rPr>
              <w:t>Stock compensation</w:t>
            </w:r>
          </w:p>
        </w:tc>
        <w:tc>
          <w:tcPr>
            <w:tcW w:w="0" w:type="auto"/>
            <w:gridSpan w:val="5"/>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gridSpan w:val="2"/>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27 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17 </w:t>
            </w:r>
          </w:p>
        </w:tc>
        <w:tc>
          <w:tcPr>
            <w:tcW w:w="0" w:type="auto"/>
            <w:gridSpan w:val="2"/>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44 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69 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113 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5B0BC3">
        <w:trPr>
          <w:gridAfter w:val="23"/>
          <w:divId w:val="1276906447"/>
          <w:jc w:val="center"/>
        </w:trPr>
        <w:tc>
          <w:tcPr>
            <w:tcW w:w="0" w:type="auto"/>
            <w:gridSpan w:val="4"/>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14"/>
                <w:szCs w:val="14"/>
              </w:rPr>
              <w:t>Purchase of treasury stock</w:t>
            </w:r>
          </w:p>
        </w:tc>
        <w:tc>
          <w:tcPr>
            <w:tcW w:w="0" w:type="auto"/>
            <w:gridSpan w:val="5"/>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gridSpan w:val="2"/>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(430)</w:t>
            </w:r>
          </w:p>
        </w:tc>
        <w:tc>
          <w:tcPr>
            <w:tcW w:w="0" w:type="auto"/>
            <w:gridSpan w:val="2"/>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(430)</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(430)</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5B0BC3">
        <w:trPr>
          <w:gridAfter w:val="23"/>
          <w:divId w:val="1276906447"/>
          <w:jc w:val="center"/>
        </w:trPr>
        <w:tc>
          <w:tcPr>
            <w:tcW w:w="0" w:type="auto"/>
            <w:gridSpan w:val="4"/>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14"/>
                <w:szCs w:val="14"/>
              </w:rPr>
              <w:t>Reissuance of treasury stock</w:t>
            </w:r>
          </w:p>
        </w:tc>
        <w:tc>
          <w:tcPr>
            <w:tcW w:w="0" w:type="auto"/>
            <w:gridSpan w:val="5"/>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gridSpan w:val="2"/>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gridSpan w:val="2"/>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(17)</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(17)</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(17)</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gridAfter w:val="23"/>
          <w:divId w:val="1276906447"/>
          <w:jc w:val="center"/>
        </w:trPr>
        <w:tc>
          <w:tcPr>
            <w:tcW w:w="0" w:type="auto"/>
            <w:gridSpan w:val="4"/>
            <w:vAlign w:val="center"/>
            <w:hideMark/>
          </w:tcPr>
          <w:p w:rsidR="00000000" w:rsidRDefault="005B0BC3">
            <w:pPr>
              <w:spacing w:after="100"/>
              <w:jc w:val="right"/>
              <w:rPr>
                <w:rFonts w:eastAsia="Times New Roman"/>
                <w:sz w:val="20"/>
                <w:szCs w:val="20"/>
              </w:rPr>
            </w:pPr>
          </w:p>
        </w:tc>
        <w:tc>
          <w:tcPr>
            <w:tcW w:w="0" w:type="auto"/>
            <w:gridSpan w:val="6"/>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6"/>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6"/>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7"/>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5"/>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8"/>
            <w:vAlign w:val="center"/>
            <w:hideMark/>
          </w:tcPr>
          <w:p w:rsidR="00000000" w:rsidRDefault="005B0BC3">
            <w:pPr>
              <w:spacing w:after="100"/>
              <w:rPr>
                <w:rFonts w:eastAsia="Times New Roman"/>
                <w:sz w:val="20"/>
                <w:szCs w:val="20"/>
              </w:rPr>
            </w:pPr>
          </w:p>
        </w:tc>
        <w:tc>
          <w:tcPr>
            <w:tcW w:w="0" w:type="auto"/>
            <w:gridSpan w:val="4"/>
            <w:vAlign w:val="center"/>
            <w:hideMark/>
          </w:tcPr>
          <w:p w:rsidR="00000000" w:rsidRDefault="005B0BC3">
            <w:pPr>
              <w:spacing w:after="100"/>
              <w:rPr>
                <w:rFonts w:eastAsia="Times New Roman"/>
                <w:sz w:val="20"/>
                <w:szCs w:val="20"/>
              </w:rPr>
            </w:pPr>
          </w:p>
        </w:tc>
        <w:tc>
          <w:tcPr>
            <w:tcW w:w="0" w:type="auto"/>
            <w:gridSpan w:val="5"/>
            <w:vAlign w:val="center"/>
            <w:hideMark/>
          </w:tcPr>
          <w:p w:rsidR="00000000" w:rsidRDefault="005B0BC3">
            <w:pPr>
              <w:spacing w:after="100"/>
              <w:rPr>
                <w:rFonts w:eastAsia="Times New Roman"/>
                <w:sz w:val="20"/>
                <w:szCs w:val="20"/>
              </w:rPr>
            </w:pPr>
          </w:p>
        </w:tc>
        <w:tc>
          <w:tcPr>
            <w:tcW w:w="0" w:type="auto"/>
            <w:gridSpan w:val="4"/>
            <w:vAlign w:val="center"/>
            <w:hideMark/>
          </w:tcPr>
          <w:p w:rsidR="00000000" w:rsidRDefault="005B0BC3">
            <w:pPr>
              <w:spacing w:after="100"/>
              <w:rPr>
                <w:rFonts w:eastAsia="Times New Roman"/>
                <w:sz w:val="20"/>
                <w:szCs w:val="20"/>
              </w:rPr>
            </w:pPr>
          </w:p>
        </w:tc>
        <w:tc>
          <w:tcPr>
            <w:tcW w:w="0" w:type="auto"/>
            <w:gridSpan w:val="6"/>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6"/>
            <w:vAlign w:val="center"/>
            <w:hideMark/>
          </w:tcPr>
          <w:p w:rsidR="00000000" w:rsidRDefault="005B0BC3">
            <w:pPr>
              <w:spacing w:after="100"/>
              <w:rPr>
                <w:rFonts w:eastAsia="Times New Roman"/>
                <w:sz w:val="20"/>
                <w:szCs w:val="20"/>
              </w:rPr>
            </w:pPr>
          </w:p>
        </w:tc>
      </w:tr>
      <w:tr w:rsidR="005B0BC3">
        <w:trPr>
          <w:gridAfter w:val="23"/>
          <w:divId w:val="1276906447"/>
          <w:jc w:val="center"/>
        </w:trPr>
        <w:tc>
          <w:tcPr>
            <w:tcW w:w="0" w:type="auto"/>
            <w:gridSpan w:val="4"/>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14"/>
                <w:szCs w:val="14"/>
              </w:rPr>
              <w:t>Repurchase of AB Holding units</w:t>
            </w:r>
          </w:p>
        </w:tc>
        <w:tc>
          <w:tcPr>
            <w:tcW w:w="0" w:type="auto"/>
            <w:gridSpan w:val="5"/>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gridSpan w:val="2"/>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(48)</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gridSpan w:val="2"/>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(48)</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(53)</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(101)</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5B0BC3">
        <w:trPr>
          <w:gridAfter w:val="23"/>
          <w:divId w:val="1276906447"/>
          <w:jc w:val="center"/>
        </w:trPr>
        <w:tc>
          <w:tcPr>
            <w:tcW w:w="0" w:type="auto"/>
            <w:gridSpan w:val="4"/>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14"/>
                <w:szCs w:val="14"/>
              </w:rPr>
              <w:t>Dividends paid to noncontrolling interest</w:t>
            </w:r>
          </w:p>
        </w:tc>
        <w:tc>
          <w:tcPr>
            <w:tcW w:w="0" w:type="auto"/>
            <w:gridSpan w:val="5"/>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gridSpan w:val="2"/>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gridSpan w:val="2"/>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(305)</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(305)</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5B0BC3">
        <w:trPr>
          <w:gridAfter w:val="23"/>
          <w:divId w:val="1276906447"/>
          <w:jc w:val="center"/>
        </w:trPr>
        <w:tc>
          <w:tcPr>
            <w:tcW w:w="0" w:type="auto"/>
            <w:gridSpan w:val="4"/>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14"/>
                <w:szCs w:val="14"/>
              </w:rPr>
              <w:t>Dividends on common stock (cash dividends declared per common share of $0.66)</w:t>
            </w:r>
          </w:p>
        </w:tc>
        <w:tc>
          <w:tcPr>
            <w:tcW w:w="0" w:type="auto"/>
            <w:gridSpan w:val="5"/>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gridSpan w:val="2"/>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gridSpan w:val="2"/>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(297)</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(297)</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(297)</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5B0BC3">
        <w:trPr>
          <w:gridAfter w:val="23"/>
          <w:divId w:val="1276906447"/>
          <w:jc w:val="center"/>
        </w:trPr>
        <w:tc>
          <w:tcPr>
            <w:tcW w:w="0" w:type="auto"/>
            <w:gridSpan w:val="4"/>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14"/>
                <w:szCs w:val="14"/>
              </w:rPr>
              <w:t>Dividends on preferred stock</w:t>
            </w:r>
          </w:p>
        </w:tc>
        <w:tc>
          <w:tcPr>
            <w:tcW w:w="0" w:type="auto"/>
            <w:gridSpan w:val="5"/>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gridSpan w:val="2"/>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gridSpan w:val="2"/>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(53)</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(53)</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(53)</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5B0BC3">
        <w:trPr>
          <w:gridAfter w:val="23"/>
          <w:divId w:val="1276906447"/>
          <w:jc w:val="center"/>
        </w:trPr>
        <w:tc>
          <w:tcPr>
            <w:tcW w:w="0" w:type="auto"/>
            <w:gridSpan w:val="4"/>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14"/>
                <w:szCs w:val="14"/>
              </w:rPr>
              <w:t>Issuance of preferred stock</w:t>
            </w:r>
          </w:p>
        </w:tc>
        <w:tc>
          <w:tcPr>
            <w:tcW w:w="0" w:type="auto"/>
            <w:gridSpan w:val="5"/>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494 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gridSpan w:val="2"/>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gridSpan w:val="2"/>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494 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494 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5B0BC3">
        <w:trPr>
          <w:gridAfter w:val="23"/>
          <w:divId w:val="1276906447"/>
          <w:jc w:val="center"/>
        </w:trPr>
        <w:tc>
          <w:tcPr>
            <w:tcW w:w="0" w:type="auto"/>
            <w:gridSpan w:val="4"/>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14"/>
                <w:szCs w:val="14"/>
              </w:rPr>
              <w:t>Net income (loss)</w:t>
            </w:r>
          </w:p>
        </w:tc>
        <w:tc>
          <w:tcPr>
            <w:tcW w:w="0" w:type="auto"/>
            <w:gridSpan w:val="5"/>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gridSpan w:val="2"/>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gridSpan w:val="2"/>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(648)</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(648)</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302 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(346)</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5B0BC3">
        <w:trPr>
          <w:gridAfter w:val="23"/>
          <w:divId w:val="1276906447"/>
          <w:jc w:val="center"/>
        </w:trPr>
        <w:tc>
          <w:tcPr>
            <w:tcW w:w="0" w:type="auto"/>
            <w:gridSpan w:val="4"/>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14"/>
                <w:szCs w:val="14"/>
              </w:rPr>
              <w:t>Other comprehensive income (loss)</w:t>
            </w:r>
          </w:p>
        </w:tc>
        <w:tc>
          <w:tcPr>
            <w:tcW w:w="0" w:type="auto"/>
            <w:gridSpan w:val="5"/>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gridSpan w:val="2"/>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gridSpan w:val="2"/>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3,019 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4"/>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3,019 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3,026 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5B0BC3">
        <w:trPr>
          <w:gridAfter w:val="23"/>
          <w:divId w:val="1276906447"/>
          <w:jc w:val="center"/>
        </w:trPr>
        <w:tc>
          <w:tcPr>
            <w:tcW w:w="0" w:type="auto"/>
            <w:gridSpan w:val="4"/>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14"/>
                <w:szCs w:val="14"/>
              </w:rPr>
              <w:t>Other</w:t>
            </w:r>
          </w:p>
        </w:tc>
        <w:tc>
          <w:tcPr>
            <w:tcW w:w="0" w:type="auto"/>
            <w:gridSpan w:val="5"/>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gridSpan w:val="2"/>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86 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gridSpan w:val="2"/>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4"/>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86 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4"/>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(10)</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5"/>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76 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5B0BC3">
        <w:trPr>
          <w:gridAfter w:val="23"/>
          <w:divId w:val="1276906447"/>
          <w:jc w:val="center"/>
        </w:trPr>
        <w:tc>
          <w:tcPr>
            <w:tcW w:w="0" w:type="auto"/>
            <w:gridSpan w:val="4"/>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14"/>
                <w:szCs w:val="14"/>
              </w:rPr>
              <w:t>December 31, 2020</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4"/>
                <w:szCs w:val="14"/>
              </w:rPr>
              <w:t>$</w:t>
            </w:r>
          </w:p>
        </w:tc>
        <w:tc>
          <w:tcPr>
            <w:tcW w:w="0" w:type="auto"/>
            <w:gridSpan w:val="4"/>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1,269 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4"/>
                <w:szCs w:val="14"/>
              </w:rPr>
              <w:t>$</w:t>
            </w:r>
          </w:p>
        </w:tc>
        <w:tc>
          <w:tcPr>
            <w:tcW w:w="0" w:type="auto"/>
            <w:gridSpan w:val="3"/>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5 </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4"/>
                <w:szCs w:val="14"/>
              </w:rPr>
              <w:t>$</w:t>
            </w:r>
          </w:p>
        </w:tc>
        <w:tc>
          <w:tcPr>
            <w:tcW w:w="0" w:type="auto"/>
            <w:gridSpan w:val="3"/>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1,985 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4"/>
                <w:szCs w:val="14"/>
              </w:rPr>
              <w:t>$</w:t>
            </w:r>
          </w:p>
        </w:tc>
        <w:tc>
          <w:tcPr>
            <w:tcW w:w="0" w:type="auto"/>
            <w:gridSpan w:val="3"/>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(2,245)</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4"/>
                <w:szCs w:val="14"/>
              </w:rPr>
              <w:t>$</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10,699 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4"/>
                <w:szCs w:val="14"/>
              </w:rPr>
              <w:t>$</w:t>
            </w:r>
          </w:p>
        </w:tc>
        <w:tc>
          <w:tcPr>
            <w:tcW w:w="0" w:type="auto"/>
            <w:gridSpan w:val="5"/>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3,863 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4"/>
                <w:szCs w:val="14"/>
              </w:rPr>
              <w:t>$</w:t>
            </w:r>
          </w:p>
        </w:tc>
        <w:tc>
          <w:tcPr>
            <w:tcW w:w="0" w:type="auto"/>
            <w:gridSpan w:val="3"/>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15,576 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4"/>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4"/>
                <w:szCs w:val="14"/>
              </w:rPr>
              <w:t>$</w:t>
            </w:r>
          </w:p>
        </w:tc>
        <w:tc>
          <w:tcPr>
            <w:tcW w:w="0" w:type="auto"/>
            <w:gridSpan w:val="4"/>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1,601 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4"/>
                <w:szCs w:val="14"/>
              </w:rPr>
              <w:t>$</w:t>
            </w:r>
          </w:p>
        </w:tc>
        <w:tc>
          <w:tcPr>
            <w:tcW w:w="0" w:type="auto"/>
            <w:gridSpan w:val="4"/>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17,177 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50" w:type="pct"/>
            <w:gridSpan w:val="2"/>
            <w:vAlign w:val="center"/>
            <w:hideMark/>
          </w:tcPr>
          <w:p w:rsidR="00000000" w:rsidRDefault="005B0BC3">
            <w:pPr>
              <w:jc w:val="center"/>
              <w:rPr>
                <w:rFonts w:eastAsia="Times New Roman"/>
              </w:rPr>
            </w:pPr>
          </w:p>
        </w:tc>
        <w:tc>
          <w:tcPr>
            <w:tcW w:w="1265" w:type="pct"/>
            <w:gridSpan w:val="4"/>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28" w:type="pct"/>
            <w:gridSpan w:val="7"/>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gridSpan w:val="2"/>
            <w:vAlign w:val="center"/>
            <w:hideMark/>
          </w:tcPr>
          <w:p w:rsidR="00000000" w:rsidRDefault="005B0BC3">
            <w:pPr>
              <w:spacing w:after="100"/>
              <w:rPr>
                <w:rFonts w:eastAsia="Times New Roman"/>
                <w:sz w:val="20"/>
                <w:szCs w:val="20"/>
              </w:rPr>
            </w:pPr>
          </w:p>
        </w:tc>
        <w:tc>
          <w:tcPr>
            <w:tcW w:w="26" w:type="pct"/>
            <w:gridSpan w:val="5"/>
            <w:vAlign w:val="center"/>
            <w:hideMark/>
          </w:tcPr>
          <w:p w:rsidR="00000000" w:rsidRDefault="005B0BC3">
            <w:pPr>
              <w:spacing w:after="100"/>
              <w:rPr>
                <w:rFonts w:eastAsia="Times New Roman"/>
                <w:sz w:val="20"/>
                <w:szCs w:val="20"/>
              </w:rPr>
            </w:pPr>
          </w:p>
        </w:tc>
        <w:tc>
          <w:tcPr>
            <w:tcW w:w="5" w:type="pct"/>
            <w:gridSpan w:val="2"/>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276" w:type="pct"/>
            <w:gridSpan w:val="6"/>
            <w:vAlign w:val="center"/>
            <w:hideMark/>
          </w:tcPr>
          <w:p w:rsidR="00000000" w:rsidRDefault="005B0BC3">
            <w:pPr>
              <w:spacing w:after="100"/>
              <w:rPr>
                <w:rFonts w:eastAsia="Times New Roman"/>
                <w:sz w:val="20"/>
                <w:szCs w:val="20"/>
              </w:rPr>
            </w:pPr>
          </w:p>
        </w:tc>
        <w:tc>
          <w:tcPr>
            <w:tcW w:w="5" w:type="pct"/>
            <w:gridSpan w:val="2"/>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gridSpan w:val="2"/>
            <w:vAlign w:val="center"/>
            <w:hideMark/>
          </w:tcPr>
          <w:p w:rsidR="00000000" w:rsidRDefault="005B0BC3">
            <w:pPr>
              <w:spacing w:after="100"/>
              <w:rPr>
                <w:rFonts w:eastAsia="Times New Roman"/>
                <w:sz w:val="20"/>
                <w:szCs w:val="20"/>
              </w:rPr>
            </w:pPr>
          </w:p>
        </w:tc>
        <w:tc>
          <w:tcPr>
            <w:tcW w:w="5" w:type="pct"/>
            <w:gridSpan w:val="5"/>
            <w:vAlign w:val="center"/>
            <w:hideMark/>
          </w:tcPr>
          <w:p w:rsidR="00000000" w:rsidRDefault="005B0BC3">
            <w:pPr>
              <w:spacing w:after="100"/>
              <w:rPr>
                <w:rFonts w:eastAsia="Times New Roman"/>
                <w:sz w:val="20"/>
                <w:szCs w:val="20"/>
              </w:rPr>
            </w:pPr>
          </w:p>
        </w:tc>
        <w:tc>
          <w:tcPr>
            <w:tcW w:w="50" w:type="pct"/>
            <w:gridSpan w:val="2"/>
            <w:vAlign w:val="center"/>
            <w:hideMark/>
          </w:tcPr>
          <w:p w:rsidR="00000000" w:rsidRDefault="005B0BC3">
            <w:pPr>
              <w:spacing w:after="100"/>
              <w:rPr>
                <w:rFonts w:eastAsia="Times New Roman"/>
                <w:sz w:val="20"/>
                <w:szCs w:val="20"/>
              </w:rPr>
            </w:pPr>
          </w:p>
        </w:tc>
        <w:tc>
          <w:tcPr>
            <w:tcW w:w="321" w:type="pct"/>
            <w:gridSpan w:val="6"/>
            <w:vAlign w:val="center"/>
            <w:hideMark/>
          </w:tcPr>
          <w:p w:rsidR="00000000" w:rsidRDefault="005B0BC3">
            <w:pPr>
              <w:spacing w:after="100"/>
              <w:rPr>
                <w:rFonts w:eastAsia="Times New Roman"/>
                <w:sz w:val="20"/>
                <w:szCs w:val="20"/>
              </w:rPr>
            </w:pPr>
          </w:p>
        </w:tc>
        <w:tc>
          <w:tcPr>
            <w:tcW w:w="5" w:type="pct"/>
            <w:gridSpan w:val="2"/>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gridSpan w:val="3"/>
            <w:vAlign w:val="center"/>
            <w:hideMark/>
          </w:tcPr>
          <w:p w:rsidR="00000000" w:rsidRDefault="005B0BC3">
            <w:pPr>
              <w:spacing w:after="100"/>
              <w:rPr>
                <w:rFonts w:eastAsia="Times New Roman"/>
                <w:sz w:val="20"/>
                <w:szCs w:val="20"/>
              </w:rPr>
            </w:pPr>
          </w:p>
        </w:tc>
        <w:tc>
          <w:tcPr>
            <w:tcW w:w="276" w:type="pct"/>
            <w:gridSpan w:val="5"/>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gridSpan w:val="4"/>
            <w:vAlign w:val="center"/>
            <w:hideMark/>
          </w:tcPr>
          <w:p w:rsidR="00000000" w:rsidRDefault="005B0BC3">
            <w:pPr>
              <w:spacing w:after="100"/>
              <w:rPr>
                <w:rFonts w:eastAsia="Times New Roman"/>
                <w:sz w:val="20"/>
                <w:szCs w:val="20"/>
              </w:rPr>
            </w:pPr>
          </w:p>
        </w:tc>
        <w:tc>
          <w:tcPr>
            <w:tcW w:w="26" w:type="pct"/>
            <w:gridSpan w:val="4"/>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276" w:type="pct"/>
            <w:gridSpan w:val="7"/>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gridSpan w:val="3"/>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6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2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2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29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5B0BC3">
        <w:trPr>
          <w:jc w:val="center"/>
        </w:trPr>
        <w:tc>
          <w:tcPr>
            <w:tcW w:w="0" w:type="auto"/>
            <w:gridSpan w:val="7"/>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14"/>
                <w:szCs w:val="14"/>
              </w:rPr>
              <w:t>January 1, 2019</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4"/>
                <w:szCs w:val="14"/>
              </w:rPr>
              <w:t>$</w:t>
            </w:r>
          </w:p>
        </w:tc>
        <w:tc>
          <w:tcPr>
            <w:tcW w:w="0" w:type="auto"/>
            <w:gridSpan w:val="7"/>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4"/>
                <w:szCs w:val="14"/>
              </w:rPr>
              <w:t>$</w:t>
            </w:r>
          </w:p>
        </w:tc>
        <w:tc>
          <w:tcPr>
            <w:tcW w:w="0" w:type="auto"/>
            <w:gridSpan w:val="6"/>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5 </w:t>
            </w:r>
          </w:p>
        </w:tc>
        <w:tc>
          <w:tcPr>
            <w:tcW w:w="0" w:type="auto"/>
            <w:gridSpan w:val="2"/>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4"/>
                <w:szCs w:val="14"/>
              </w:rPr>
              <w:t>$</w:t>
            </w:r>
          </w:p>
        </w:tc>
        <w:tc>
          <w:tcPr>
            <w:tcW w:w="0" w:type="auto"/>
            <w:gridSpan w:val="6"/>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1,908 </w:t>
            </w:r>
          </w:p>
        </w:tc>
        <w:tc>
          <w:tcPr>
            <w:tcW w:w="0" w:type="auto"/>
            <w:gridSpan w:val="2"/>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4"/>
                <w:szCs w:val="14"/>
              </w:rPr>
              <w:t>$</w:t>
            </w:r>
          </w:p>
        </w:tc>
        <w:tc>
          <w:tcPr>
            <w:tcW w:w="0" w:type="auto"/>
            <w:gridSpan w:val="5"/>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(640)</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4"/>
                <w:szCs w:val="14"/>
              </w:rPr>
              <w:t>$</w:t>
            </w:r>
          </w:p>
        </w:tc>
        <w:tc>
          <w:tcPr>
            <w:tcW w:w="0" w:type="auto"/>
            <w:gridSpan w:val="7"/>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13,937 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(1,408)</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13,802 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1,566 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4"/>
                <w:szCs w:val="14"/>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15,368 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7"/>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14"/>
                <w:szCs w:val="14"/>
              </w:rPr>
              <w:t>Stock compensation</w:t>
            </w:r>
          </w:p>
        </w:tc>
        <w:tc>
          <w:tcPr>
            <w:tcW w:w="0" w:type="auto"/>
            <w:gridSpan w:val="8"/>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gridSpan w:val="2"/>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152 </w:t>
            </w:r>
          </w:p>
        </w:tc>
        <w:tc>
          <w:tcPr>
            <w:tcW w:w="0" w:type="auto"/>
            <w:gridSpan w:val="2"/>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161 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77 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238 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7"/>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14"/>
                <w:szCs w:val="14"/>
              </w:rPr>
              <w:t>Purchase of treasury stock</w:t>
            </w:r>
          </w:p>
        </w:tc>
        <w:tc>
          <w:tcPr>
            <w:tcW w:w="0" w:type="auto"/>
            <w:gridSpan w:val="8"/>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gridSpan w:val="2"/>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gridSpan w:val="2"/>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(1,343)</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(2)</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(1,345)</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(1,345)</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7"/>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14"/>
                <w:szCs w:val="14"/>
              </w:rPr>
              <w:t>Retirement of common stock</w:t>
            </w:r>
          </w:p>
        </w:tc>
        <w:tc>
          <w:tcPr>
            <w:tcW w:w="0" w:type="auto"/>
            <w:gridSpan w:val="8"/>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gridSpan w:val="2"/>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gridSpan w:val="2"/>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142 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(142)</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7"/>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14"/>
                <w:szCs w:val="14"/>
              </w:rPr>
              <w:t>Repurchase of AB Holding units</w:t>
            </w:r>
          </w:p>
        </w:tc>
        <w:tc>
          <w:tcPr>
            <w:tcW w:w="0" w:type="auto"/>
            <w:gridSpan w:val="8"/>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gridSpan w:val="2"/>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(112)</w:t>
            </w:r>
          </w:p>
        </w:tc>
        <w:tc>
          <w:tcPr>
            <w:tcW w:w="0" w:type="auto"/>
            <w:gridSpan w:val="2"/>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(112)</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(61)</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(173)</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7"/>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14"/>
                <w:szCs w:val="14"/>
              </w:rPr>
              <w:t>Dividends paid to noncontrolling interest</w:t>
            </w:r>
          </w:p>
        </w:tc>
        <w:tc>
          <w:tcPr>
            <w:tcW w:w="0" w:type="auto"/>
            <w:gridSpan w:val="8"/>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gridSpan w:val="2"/>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gridSpan w:val="2"/>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(256)</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(256)</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7"/>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14"/>
                <w:szCs w:val="14"/>
              </w:rPr>
              <w:t>Dividends on common stock (cash dividends declared per common share of $0.58)</w:t>
            </w:r>
          </w:p>
        </w:tc>
        <w:tc>
          <w:tcPr>
            <w:tcW w:w="0" w:type="auto"/>
            <w:gridSpan w:val="8"/>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gridSpan w:val="2"/>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gridSpan w:val="2"/>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(285)</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(285)</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(285)</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7"/>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14"/>
                <w:szCs w:val="14"/>
              </w:rPr>
              <w:t>Issuance of preferred stock</w:t>
            </w:r>
          </w:p>
        </w:tc>
        <w:tc>
          <w:tcPr>
            <w:tcW w:w="0" w:type="auto"/>
            <w:gridSpan w:val="8"/>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775 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gridSpan w:val="2"/>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gridSpan w:val="2"/>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775 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775 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7"/>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14"/>
                <w:szCs w:val="14"/>
              </w:rPr>
              <w:t>Net income (loss)</w:t>
            </w:r>
          </w:p>
        </w:tc>
        <w:tc>
          <w:tcPr>
            <w:tcW w:w="0" w:type="auto"/>
            <w:gridSpan w:val="8"/>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gridSpan w:val="2"/>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gridSpan w:val="2"/>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(1,764)</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(1,764)</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263 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(1,501)</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7"/>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14"/>
                <w:szCs w:val="14"/>
              </w:rPr>
              <w:t>Other comprehensive income (loss)</w:t>
            </w:r>
          </w:p>
        </w:tc>
        <w:tc>
          <w:tcPr>
            <w:tcW w:w="0" w:type="auto"/>
            <w:gridSpan w:val="8"/>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7"/>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gridSpan w:val="2"/>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gridSpan w:val="2"/>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8"/>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2,252 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2,252 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(4)</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2,248 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7"/>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14"/>
                <w:szCs w:val="14"/>
              </w:rPr>
              <w:t>Other</w:t>
            </w:r>
          </w:p>
        </w:tc>
        <w:tc>
          <w:tcPr>
            <w:tcW w:w="0" w:type="auto"/>
            <w:gridSpan w:val="8"/>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7"/>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gridSpan w:val="2"/>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8"/>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(28)</w:t>
            </w:r>
          </w:p>
        </w:tc>
        <w:tc>
          <w:tcPr>
            <w:tcW w:w="0" w:type="auto"/>
            <w:gridSpan w:val="2"/>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9"/>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8"/>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5"/>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(28)</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(22)</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5B0BC3">
        <w:trPr>
          <w:jc w:val="center"/>
        </w:trPr>
        <w:tc>
          <w:tcPr>
            <w:tcW w:w="0" w:type="auto"/>
            <w:gridSpan w:val="7"/>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14"/>
                <w:szCs w:val="14"/>
              </w:rPr>
              <w:t>December 31, 2019</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4"/>
                <w:szCs w:val="14"/>
              </w:rPr>
              <w:t>$</w:t>
            </w:r>
          </w:p>
        </w:tc>
        <w:tc>
          <w:tcPr>
            <w:tcW w:w="0" w:type="auto"/>
            <w:gridSpan w:val="7"/>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775 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9"/>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4"/>
                <w:szCs w:val="14"/>
              </w:rPr>
              <w:t>$</w:t>
            </w:r>
          </w:p>
        </w:tc>
        <w:tc>
          <w:tcPr>
            <w:tcW w:w="0" w:type="auto"/>
            <w:gridSpan w:val="6"/>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5 </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8"/>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4"/>
                <w:szCs w:val="14"/>
              </w:rPr>
              <w:t>$</w:t>
            </w:r>
          </w:p>
        </w:tc>
        <w:tc>
          <w:tcPr>
            <w:tcW w:w="0" w:type="auto"/>
            <w:gridSpan w:val="6"/>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1,920 </w:t>
            </w:r>
          </w:p>
        </w:tc>
        <w:tc>
          <w:tcPr>
            <w:tcW w:w="0" w:type="auto"/>
            <w:gridSpan w:val="2"/>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4"/>
                <w:szCs w:val="14"/>
              </w:rPr>
              <w:t>$</w:t>
            </w:r>
          </w:p>
        </w:tc>
        <w:tc>
          <w:tcPr>
            <w:tcW w:w="0" w:type="auto"/>
            <w:gridSpan w:val="5"/>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(1,832)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9"/>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4"/>
                <w:szCs w:val="14"/>
              </w:rPr>
              <w:t>$</w:t>
            </w:r>
          </w:p>
        </w:tc>
        <w:tc>
          <w:tcPr>
            <w:tcW w:w="0" w:type="auto"/>
            <w:gridSpan w:val="7"/>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11,744 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5"/>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844 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13,456 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1,591 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14"/>
                <w:szCs w:val="14"/>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14"/>
                <w:szCs w:val="14"/>
              </w:rPr>
              <w:t>15,047 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jc w:val="center"/>
        <w:rPr>
          <w:rFonts w:eastAsia="Times New Roman"/>
        </w:rPr>
      </w:pPr>
    </w:p>
    <w:p w:rsidR="00000000" w:rsidRDefault="005B0BC3">
      <w:pPr>
        <w:jc w:val="center"/>
        <w:rPr>
          <w:rFonts w:eastAsia="Times New Roman"/>
        </w:rPr>
      </w:pPr>
    </w:p>
    <w:p w:rsidR="00000000" w:rsidRDefault="005B0BC3">
      <w:pPr>
        <w:jc w:val="center"/>
        <w:rPr>
          <w:rFonts w:eastAsia="Times New Roman"/>
        </w:rPr>
      </w:pPr>
      <w:r>
        <w:rPr>
          <w:rFonts w:eastAsia="Times New Roman"/>
          <w:color w:val="000000"/>
          <w:sz w:val="20"/>
          <w:szCs w:val="20"/>
        </w:rPr>
        <w:t>See Notes to Consolidate</w:t>
      </w:r>
      <w:r>
        <w:rPr>
          <w:rFonts w:eastAsia="Times New Roman"/>
          <w:color w:val="000000"/>
          <w:sz w:val="20"/>
          <w:szCs w:val="20"/>
        </w:rPr>
        <w:t>d Financial Statements.</w:t>
      </w:r>
    </w:p>
    <w:p w:rsidR="00000000" w:rsidRDefault="005B0BC3">
      <w:pPr>
        <w:jc w:val="center"/>
        <w:divId w:val="541556378"/>
        <w:rPr>
          <w:rFonts w:eastAsia="Times New Roman"/>
        </w:rPr>
      </w:pPr>
      <w:r>
        <w:rPr>
          <w:rFonts w:eastAsia="Times New Roman"/>
          <w:color w:val="000000"/>
          <w:sz w:val="20"/>
          <w:szCs w:val="20"/>
        </w:rPr>
        <w:t>135</w:t>
      </w:r>
    </w:p>
    <w:p w:rsidR="00000000" w:rsidRDefault="005B0BC3">
      <w:pPr>
        <w:rPr>
          <w:rFonts w:eastAsia="Times New Roman"/>
        </w:rPr>
      </w:pPr>
      <w:r>
        <w:rPr>
          <w:rFonts w:eastAsia="Times New Roman"/>
        </w:rPr>
        <w:pict>
          <v:rect id="_x0000_i1173" style="width:0;height:1.5pt" o:hralign="center" o:hrstd="t" o:hr="t" fillcolor="#a0a0a0" stroked="f"/>
        </w:pict>
      </w:r>
    </w:p>
    <w:p w:rsidR="00000000" w:rsidRDefault="005B0BC3">
      <w:pPr>
        <w:divId w:val="2123111023"/>
        <w:rPr>
          <w:rFonts w:eastAsia="Times New Roman"/>
        </w:rPr>
      </w:pPr>
    </w:p>
    <w:p w:rsidR="00000000" w:rsidRDefault="005B0BC3">
      <w:pPr>
        <w:jc w:val="center"/>
        <w:divId w:val="2012175897"/>
        <w:rPr>
          <w:rFonts w:eastAsia="Times New Roman"/>
        </w:rPr>
      </w:pPr>
      <w:r>
        <w:rPr>
          <w:rFonts w:eastAsia="Times New Roman"/>
          <w:b/>
          <w:bCs/>
          <w:color w:val="000000"/>
          <w:sz w:val="20"/>
          <w:szCs w:val="20"/>
        </w:rPr>
        <w:t>EQUITABLE HOLDINGS, INC.</w:t>
      </w:r>
    </w:p>
    <w:p w:rsidR="00000000" w:rsidRDefault="005B0BC3">
      <w:pPr>
        <w:jc w:val="center"/>
        <w:divId w:val="2012175897"/>
        <w:rPr>
          <w:rFonts w:eastAsia="Times New Roman"/>
        </w:rPr>
      </w:pPr>
      <w:r>
        <w:rPr>
          <w:rFonts w:eastAsia="Times New Roman"/>
          <w:b/>
          <w:bCs/>
          <w:color w:val="000000"/>
          <w:sz w:val="20"/>
          <w:szCs w:val="20"/>
        </w:rPr>
        <w:t>Consolidated Statements of Cash Flows</w:t>
      </w:r>
    </w:p>
    <w:p w:rsidR="00000000" w:rsidRDefault="005B0BC3">
      <w:pPr>
        <w:jc w:val="center"/>
        <w:divId w:val="893583605"/>
        <w:rPr>
          <w:rFonts w:eastAsia="Times New Roman"/>
        </w:rPr>
      </w:pPr>
      <w:r>
        <w:rPr>
          <w:rFonts w:eastAsia="Times New Roman"/>
          <w:b/>
          <w:bCs/>
          <w:color w:val="000000"/>
          <w:sz w:val="20"/>
          <w:szCs w:val="20"/>
        </w:rPr>
        <w:t>Years Ended December 31, 2021, 2020 and 2019</w:t>
      </w:r>
    </w:p>
    <w:p w:rsidR="00000000" w:rsidRDefault="005B0BC3">
      <w:pPr>
        <w:divId w:val="1275333282"/>
        <w:rPr>
          <w:rFonts w:eastAsia="Times New Roman"/>
        </w:rPr>
      </w:pPr>
    </w:p>
    <w:p w:rsidR="00000000" w:rsidRDefault="005B0BC3">
      <w:pPr>
        <w:divId w:val="1978877088"/>
        <w:rPr>
          <w:rFonts w:eastAsia="Times New Roman"/>
        </w:rPr>
      </w:pPr>
    </w:p>
    <w:p w:rsidR="00000000" w:rsidRDefault="005B0BC3">
      <w:pPr>
        <w:divId w:val="1189225047"/>
        <w:rPr>
          <w:rFonts w:eastAsia="Times New Roman"/>
        </w:rPr>
      </w:pPr>
    </w:p>
    <w:p w:rsidR="00000000" w:rsidRDefault="005B0BC3">
      <w:pPr>
        <w:divId w:val="1873417013"/>
        <w:rPr>
          <w:rFonts w:eastAsia="Times New Roman"/>
        </w:rPr>
      </w:pPr>
    </w:p>
    <w:p w:rsidR="00000000" w:rsidRDefault="005B0BC3">
      <w:pPr>
        <w:divId w:val="1471360113"/>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657"/>
        <w:gridCol w:w="40"/>
        <w:gridCol w:w="120"/>
        <w:gridCol w:w="684"/>
        <w:gridCol w:w="36"/>
        <w:gridCol w:w="36"/>
        <w:gridCol w:w="36"/>
        <w:gridCol w:w="36"/>
        <w:gridCol w:w="120"/>
        <w:gridCol w:w="600"/>
        <w:gridCol w:w="36"/>
        <w:gridCol w:w="36"/>
        <w:gridCol w:w="36"/>
        <w:gridCol w:w="36"/>
        <w:gridCol w:w="120"/>
        <w:gridCol w:w="600"/>
        <w:gridCol w:w="36"/>
      </w:tblGrid>
      <w:tr w:rsidR="00000000">
        <w:trPr>
          <w:jc w:val="center"/>
        </w:trPr>
        <w:tc>
          <w:tcPr>
            <w:tcW w:w="50" w:type="pct"/>
            <w:vAlign w:val="center"/>
            <w:hideMark/>
          </w:tcPr>
          <w:p w:rsidR="00000000" w:rsidRDefault="005B0BC3">
            <w:pPr>
              <w:rPr>
                <w:rFonts w:eastAsia="Times New Roman"/>
              </w:rPr>
            </w:pPr>
          </w:p>
        </w:tc>
        <w:tc>
          <w:tcPr>
            <w:tcW w:w="364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5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5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5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r>
      <w:tr w:rsidR="00000000">
        <w:trPr>
          <w:jc w:val="center"/>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jc w:val="center"/>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jc w:val="both"/>
              <w:rPr>
                <w:rFonts w:eastAsia="Times New Roman"/>
              </w:rPr>
            </w:pPr>
            <w:r>
              <w:rPr>
                <w:rFonts w:eastAsia="Times New Roman"/>
                <w:b/>
                <w:bCs/>
                <w:color w:val="000000"/>
                <w:sz w:val="20"/>
                <w:szCs w:val="20"/>
              </w:rPr>
              <w:t>Cash flows from operating activities:</w:t>
            </w:r>
          </w:p>
        </w:tc>
        <w:tc>
          <w:tcPr>
            <w:tcW w:w="0" w:type="auto"/>
            <w:gridSpan w:val="3"/>
            <w:tcMar>
              <w:top w:w="0" w:type="dxa"/>
              <w:left w:w="20" w:type="dxa"/>
              <w:bottom w:w="0" w:type="dxa"/>
              <w:right w:w="20" w:type="dxa"/>
            </w:tcMar>
            <w:vAlign w:val="center"/>
            <w:hideMark/>
          </w:tcPr>
          <w:p w:rsidR="00000000" w:rsidRDefault="005B0BC3">
            <w:pPr>
              <w:spacing w:after="100"/>
              <w:jc w:val="both"/>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jc w:val="both"/>
              <w:rPr>
                <w:rFonts w:eastAsia="Times New Roman"/>
              </w:rPr>
            </w:pPr>
            <w:r>
              <w:rPr>
                <w:rFonts w:eastAsia="Times New Roman"/>
                <w:color w:val="000000"/>
                <w:sz w:val="20"/>
                <w:szCs w:val="20"/>
              </w:rPr>
              <w:t>Net income (loss)</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(24)</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(349)</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(1,467)</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Adjustments to reconcile net income (loss) to net cash provided by (used in) operating activities:</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shd w:val="clear" w:color="auto" w:fill="CCEE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Interest credited to policyholders’ account balances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1,222 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1,263 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Policy charges and fee income</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(3,637)</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(3,735)</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(3,778)</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Net derivative (gains) losses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4,465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1,722 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4,012 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Credit losses on AFS debt securities and loans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Investment (gains) losses, net</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(863)</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(872)</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(206)</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(Gains) losses on businesses HFS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Realized and unrealized (gains) losses on trading securities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(170)</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(502)</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Non-cash long term incentive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278 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Amortization and depreciation</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1,757 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675 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Equity (income) loss from limited partnerships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(553)</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(83)</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(92)</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155" w:type="dxa"/>
            </w:tcMar>
            <w:hideMark/>
          </w:tcPr>
          <w:p w:rsidR="00000000" w:rsidRDefault="005B0BC3">
            <w:pPr>
              <w:spacing w:after="100"/>
              <w:jc w:val="both"/>
              <w:rPr>
                <w:rFonts w:eastAsia="Times New Roman"/>
              </w:rPr>
            </w:pPr>
            <w:r>
              <w:rPr>
                <w:rFonts w:eastAsia="Times New Roman"/>
                <w:color w:val="000000"/>
                <w:sz w:val="20"/>
                <w:szCs w:val="20"/>
              </w:rPr>
              <w:t>Changes in:</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both"/>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380" w:type="dxa"/>
            </w:tcMar>
            <w:hideMark/>
          </w:tcPr>
          <w:p w:rsidR="00000000" w:rsidRDefault="005B0BC3">
            <w:pPr>
              <w:spacing w:after="100"/>
              <w:jc w:val="both"/>
              <w:rPr>
                <w:rFonts w:eastAsia="Times New Roman"/>
              </w:rPr>
            </w:pPr>
            <w:r>
              <w:rPr>
                <w:rFonts w:eastAsia="Times New Roman"/>
                <w:color w:val="000000"/>
                <w:sz w:val="20"/>
                <w:szCs w:val="20"/>
              </w:rPr>
              <w:t>Net broker-dealer and customer related receivables/payables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(131)</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667 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(403)</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380" w:type="dxa"/>
            </w:tcMar>
            <w:hideMark/>
          </w:tcPr>
          <w:p w:rsidR="00000000" w:rsidRDefault="005B0BC3">
            <w:pPr>
              <w:spacing w:after="100"/>
              <w:jc w:val="both"/>
              <w:rPr>
                <w:rFonts w:eastAsia="Times New Roman"/>
              </w:rPr>
            </w:pPr>
            <w:r>
              <w:rPr>
                <w:rFonts w:eastAsia="Times New Roman"/>
                <w:color w:val="000000"/>
                <w:sz w:val="20"/>
                <w:szCs w:val="20"/>
              </w:rPr>
              <w:t>Reinsurance recoverable (1)</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(1,077)</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(401)</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(146)</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380" w:type="dxa"/>
            </w:tcMar>
            <w:hideMark/>
          </w:tcPr>
          <w:p w:rsidR="00000000" w:rsidRDefault="005B0BC3">
            <w:pPr>
              <w:spacing w:after="100"/>
              <w:jc w:val="both"/>
              <w:rPr>
                <w:rFonts w:eastAsia="Times New Roman"/>
              </w:rPr>
            </w:pPr>
            <w:r>
              <w:rPr>
                <w:rFonts w:eastAsia="Times New Roman"/>
                <w:color w:val="000000"/>
                <w:sz w:val="20"/>
                <w:szCs w:val="20"/>
              </w:rPr>
              <w:t>Segregated cash and securities, net</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(659)</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380" w:type="dxa"/>
            </w:tcMar>
            <w:hideMark/>
          </w:tcPr>
          <w:p w:rsidR="00000000" w:rsidRDefault="005B0BC3">
            <w:pPr>
              <w:spacing w:after="100"/>
              <w:jc w:val="both"/>
              <w:rPr>
                <w:rFonts w:eastAsia="Times New Roman"/>
              </w:rPr>
            </w:pPr>
            <w:r>
              <w:rPr>
                <w:rFonts w:eastAsia="Times New Roman"/>
                <w:color w:val="000000"/>
                <w:sz w:val="20"/>
                <w:szCs w:val="20"/>
              </w:rPr>
              <w:t>Capitalization of deferred policy acquisition costs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(875)</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(670)</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(754)</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380" w:type="dxa"/>
            </w:tcMar>
            <w:hideMark/>
          </w:tcPr>
          <w:p w:rsidR="00000000" w:rsidRDefault="005B0BC3">
            <w:pPr>
              <w:spacing w:after="100"/>
              <w:jc w:val="both"/>
              <w:rPr>
                <w:rFonts w:eastAsia="Times New Roman"/>
              </w:rPr>
            </w:pPr>
            <w:r>
              <w:rPr>
                <w:rFonts w:eastAsia="Times New Roman"/>
                <w:color w:val="000000"/>
                <w:sz w:val="20"/>
                <w:szCs w:val="20"/>
              </w:rPr>
              <w:t>Future policy benefits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(299)</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1,953 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962 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380" w:type="dxa"/>
            </w:tcMar>
            <w:hideMark/>
          </w:tcPr>
          <w:p w:rsidR="00000000" w:rsidRDefault="005B0BC3">
            <w:pPr>
              <w:spacing w:after="100"/>
              <w:jc w:val="both"/>
              <w:rPr>
                <w:rFonts w:eastAsia="Times New Roman"/>
              </w:rPr>
            </w:pPr>
            <w:r>
              <w:rPr>
                <w:rFonts w:eastAsia="Times New Roman"/>
                <w:color w:val="000000"/>
                <w:sz w:val="20"/>
                <w:szCs w:val="20"/>
              </w:rPr>
              <w:t>Current and deferred income taxes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(451)</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(571)</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(102)</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380" w:type="dxa"/>
            </w:tcMar>
            <w:hideMark/>
          </w:tcPr>
          <w:p w:rsidR="00000000" w:rsidRDefault="005B0BC3">
            <w:pPr>
              <w:spacing w:after="100"/>
              <w:jc w:val="both"/>
              <w:rPr>
                <w:rFonts w:eastAsia="Times New Roman"/>
              </w:rPr>
            </w:pPr>
            <w:r>
              <w:rPr>
                <w:rFonts w:eastAsia="Times New Roman"/>
                <w:color w:val="000000"/>
                <w:sz w:val="20"/>
                <w:szCs w:val="20"/>
              </w:rPr>
              <w:t>Other, net</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476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(209)</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(164)</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155" w:type="dxa"/>
            </w:tcMar>
            <w:hideMark/>
          </w:tcPr>
          <w:p w:rsidR="00000000" w:rsidRDefault="005B0BC3">
            <w:pPr>
              <w:spacing w:after="100"/>
              <w:jc w:val="both"/>
              <w:rPr>
                <w:rFonts w:eastAsia="Times New Roman"/>
              </w:rPr>
            </w:pPr>
            <w:r>
              <w:rPr>
                <w:rFonts w:eastAsia="Times New Roman"/>
                <w:color w:val="000000"/>
                <w:sz w:val="20"/>
                <w:szCs w:val="20"/>
              </w:rPr>
              <w:t>Net cash provided by (used in) operating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(756)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jc w:val="both"/>
              <w:rPr>
                <w:rFonts w:eastAsia="Times New Roman"/>
              </w:rPr>
            </w:pPr>
            <w:r>
              <w:rPr>
                <w:rFonts w:eastAsia="Times New Roman"/>
                <w:b/>
                <w:bCs/>
                <w:color w:val="000000"/>
                <w:sz w:val="20"/>
                <w:szCs w:val="20"/>
              </w:rPr>
              <w:t>Cash flows from investing activities:</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both"/>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Proceeds from the sale/maturity/prepayment of:</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hideMark/>
          </w:tcPr>
          <w:p w:rsidR="00000000" w:rsidRDefault="005B0BC3">
            <w:pPr>
              <w:spacing w:after="100"/>
              <w:rPr>
                <w:rFonts w:eastAsia="Times New Roman"/>
              </w:rPr>
            </w:pPr>
            <w:r>
              <w:rPr>
                <w:rFonts w:eastAsia="Times New Roman"/>
                <w:color w:val="000000"/>
                <w:sz w:val="20"/>
                <w:szCs w:val="20"/>
              </w:rPr>
              <w:t>Fixed maturities, available-for-sale</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34,434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18,986 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13,327 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hideMark/>
          </w:tcPr>
          <w:p w:rsidR="00000000" w:rsidRDefault="005B0BC3">
            <w:pPr>
              <w:spacing w:after="100"/>
              <w:rPr>
                <w:rFonts w:eastAsia="Times New Roman"/>
              </w:rPr>
            </w:pPr>
            <w:r>
              <w:rPr>
                <w:rFonts w:eastAsia="Times New Roman"/>
                <w:color w:val="000000"/>
                <w:sz w:val="20"/>
                <w:szCs w:val="20"/>
              </w:rPr>
              <w:t xml:space="preserve">Fixed maturities, at fair value using the fair value option </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763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hideMark/>
          </w:tcPr>
          <w:p w:rsidR="00000000" w:rsidRDefault="005B0BC3">
            <w:pPr>
              <w:spacing w:after="100"/>
              <w:rPr>
                <w:rFonts w:eastAsia="Times New Roman"/>
              </w:rPr>
            </w:pPr>
            <w:r>
              <w:rPr>
                <w:rFonts w:eastAsia="Times New Roman"/>
                <w:color w:val="000000"/>
                <w:sz w:val="20"/>
                <w:szCs w:val="20"/>
              </w:rPr>
              <w:t>Mortgage loans on real estate</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1,696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630 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952 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Trading account securities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5,159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2,162 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10,717 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hideMark/>
          </w:tcPr>
          <w:p w:rsidR="00000000" w:rsidRDefault="005B0BC3">
            <w:pPr>
              <w:spacing w:after="100"/>
              <w:rPr>
                <w:rFonts w:eastAsia="Times New Roman"/>
              </w:rPr>
            </w:pPr>
            <w:r>
              <w:rPr>
                <w:rFonts w:eastAsia="Times New Roman"/>
                <w:color w:val="000000"/>
                <w:sz w:val="20"/>
                <w:szCs w:val="20"/>
              </w:rPr>
              <w:t>Real estate joint ventures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hideMark/>
          </w:tcPr>
          <w:p w:rsidR="00000000" w:rsidRDefault="005B0BC3">
            <w:pPr>
              <w:spacing w:after="100"/>
              <w:rPr>
                <w:rFonts w:eastAsia="Times New Roman"/>
              </w:rPr>
            </w:pPr>
            <w:r>
              <w:rPr>
                <w:rFonts w:eastAsia="Times New Roman"/>
                <w:color w:val="000000"/>
                <w:sz w:val="20"/>
                <w:szCs w:val="20"/>
              </w:rPr>
              <w:t>Short term investments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1,497 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2,643 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hideMark/>
          </w:tcPr>
          <w:p w:rsidR="00000000" w:rsidRDefault="005B0BC3">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1,716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1,005 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306 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Payment for the purchase/origination of:</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hideMark/>
          </w:tcPr>
          <w:p w:rsidR="00000000" w:rsidRDefault="005B0BC3">
            <w:pPr>
              <w:spacing w:after="100"/>
              <w:rPr>
                <w:rFonts w:eastAsia="Times New Roman"/>
              </w:rPr>
            </w:pPr>
            <w:r>
              <w:rPr>
                <w:rFonts w:eastAsia="Times New Roman"/>
                <w:color w:val="000000"/>
                <w:sz w:val="20"/>
                <w:szCs w:val="20"/>
              </w:rPr>
              <w:t>Fixed maturities, available-for-sale</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(43,344)</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(28,197)</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(29,610)</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hideMark/>
          </w:tcPr>
          <w:p w:rsidR="00000000" w:rsidRDefault="005B0BC3">
            <w:pPr>
              <w:spacing w:after="100"/>
              <w:rPr>
                <w:rFonts w:eastAsia="Times New Roman"/>
              </w:rPr>
            </w:pPr>
            <w:r>
              <w:rPr>
                <w:rFonts w:eastAsia="Times New Roman"/>
                <w:color w:val="000000"/>
                <w:sz w:val="20"/>
                <w:szCs w:val="20"/>
              </w:rPr>
              <w:t>Fixed maturities, at fair value using the fair value option</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(1,792)</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(311)</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hideMark/>
          </w:tcPr>
          <w:p w:rsidR="00000000" w:rsidRDefault="005B0BC3">
            <w:pPr>
              <w:spacing w:after="100"/>
              <w:rPr>
                <w:rFonts w:eastAsia="Times New Roman"/>
              </w:rPr>
            </w:pPr>
            <w:r>
              <w:rPr>
                <w:rFonts w:eastAsia="Times New Roman"/>
                <w:color w:val="000000"/>
                <w:sz w:val="20"/>
                <w:szCs w:val="20"/>
              </w:rPr>
              <w:t>Mortgage loans on real estate</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(2,546)</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(1,747)</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(1,240)</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Trading account securities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(244)</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(708)</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(1,123)</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hideMark/>
          </w:tcPr>
          <w:p w:rsidR="00000000" w:rsidRDefault="005B0BC3">
            <w:pPr>
              <w:spacing w:after="100"/>
              <w:rPr>
                <w:rFonts w:eastAsia="Times New Roman"/>
              </w:rPr>
            </w:pPr>
            <w:r>
              <w:rPr>
                <w:rFonts w:eastAsia="Times New Roman"/>
                <w:color w:val="000000"/>
                <w:sz w:val="20"/>
                <w:szCs w:val="20"/>
              </w:rPr>
              <w:t>Short term investments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(18)</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(1,098)</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(2,776)</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hideMark/>
          </w:tcPr>
          <w:p w:rsidR="00000000" w:rsidRDefault="005B0BC3">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(2,553)</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(1,167)</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(430)</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 xml:space="preserve">Cash </w:t>
            </w:r>
            <w:r>
              <w:rPr>
                <w:rFonts w:eastAsia="Times New Roman"/>
                <w:color w:val="000000"/>
                <w:sz w:val="20"/>
                <w:szCs w:val="20"/>
              </w:rPr>
              <w:t>from the sale of business, net of cash sold</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164 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Cash settlements related to derivative instruments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(5,937)</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1,166 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(954)</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Repayments of loans to affiliates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Investment in capitalized software, leasehold improvements and EDP equipment</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(120)</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(107)</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(93)</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Other, net</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(205)</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(160)</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(220)</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B0BC3">
            <w:pPr>
              <w:spacing w:after="100"/>
              <w:jc w:val="both"/>
              <w:rPr>
                <w:rFonts w:eastAsia="Times New Roman"/>
              </w:rPr>
            </w:pPr>
            <w:r>
              <w:rPr>
                <w:rFonts w:eastAsia="Times New Roman"/>
                <w:color w:val="000000"/>
                <w:sz w:val="20"/>
                <w:szCs w:val="20"/>
              </w:rPr>
              <w:t>Net cash provided by (used in) investing activities</w:t>
            </w:r>
          </w:p>
        </w:tc>
        <w:tc>
          <w:tcPr>
            <w:tcW w:w="0" w:type="auto"/>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single" w:sz="8"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(12,689)</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(7,823)</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(8,496)</w:t>
            </w:r>
          </w:p>
        </w:tc>
        <w:tc>
          <w:tcPr>
            <w:tcW w:w="0" w:type="auto"/>
            <w:tcBorders>
              <w:top w:val="single" w:sz="8" w:space="0" w:color="000000"/>
              <w:bottom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jc w:val="center"/>
        <w:divId w:val="664281225"/>
        <w:rPr>
          <w:rFonts w:eastAsia="Times New Roman"/>
        </w:rPr>
      </w:pPr>
    </w:p>
    <w:p w:rsidR="00000000" w:rsidRDefault="005B0BC3">
      <w:pPr>
        <w:jc w:val="center"/>
        <w:divId w:val="664281225"/>
        <w:rPr>
          <w:rFonts w:eastAsia="Times New Roman"/>
        </w:rPr>
      </w:pPr>
    </w:p>
    <w:p w:rsidR="00000000" w:rsidRDefault="005B0BC3">
      <w:pPr>
        <w:jc w:val="center"/>
        <w:divId w:val="664281225"/>
        <w:rPr>
          <w:rFonts w:eastAsia="Times New Roman"/>
        </w:rPr>
      </w:pPr>
    </w:p>
    <w:p w:rsidR="00000000" w:rsidRDefault="005B0BC3">
      <w:pPr>
        <w:jc w:val="center"/>
        <w:divId w:val="664281225"/>
        <w:rPr>
          <w:rFonts w:eastAsia="Times New Roman"/>
        </w:rPr>
      </w:pPr>
      <w:r>
        <w:rPr>
          <w:rFonts w:eastAsia="Times New Roman"/>
          <w:color w:val="000000"/>
          <w:sz w:val="20"/>
          <w:szCs w:val="20"/>
        </w:rPr>
        <w:t>See Notes to Consolidated Financial Statements.</w:t>
      </w:r>
    </w:p>
    <w:p w:rsidR="00000000" w:rsidRDefault="005B0BC3">
      <w:pPr>
        <w:jc w:val="center"/>
        <w:divId w:val="664281225"/>
        <w:rPr>
          <w:rFonts w:eastAsia="Times New Roman"/>
        </w:rPr>
      </w:pPr>
      <w:r>
        <w:rPr>
          <w:rFonts w:eastAsia="Times New Roman"/>
          <w:color w:val="000000"/>
          <w:sz w:val="20"/>
          <w:szCs w:val="20"/>
        </w:rPr>
        <w:t>136</w:t>
      </w:r>
    </w:p>
    <w:p w:rsidR="00000000" w:rsidRDefault="005B0BC3">
      <w:pPr>
        <w:rPr>
          <w:rFonts w:eastAsia="Times New Roman"/>
        </w:rPr>
      </w:pPr>
      <w:r>
        <w:rPr>
          <w:rFonts w:eastAsia="Times New Roman"/>
        </w:rPr>
        <w:pict>
          <v:rect id="_x0000_i1174" style="width:0;height:1.5pt" o:hralign="center" o:hrstd="t" o:hr="t" fillcolor="#a0a0a0" stroked="f"/>
        </w:pict>
      </w:r>
    </w:p>
    <w:p w:rsidR="00000000" w:rsidRDefault="005B0BC3">
      <w:pPr>
        <w:divId w:val="514196806"/>
        <w:rPr>
          <w:rFonts w:eastAsia="Times New Roman"/>
        </w:rPr>
      </w:pPr>
    </w:p>
    <w:p w:rsidR="00000000" w:rsidRDefault="005B0BC3">
      <w:pPr>
        <w:jc w:val="center"/>
        <w:divId w:val="558634782"/>
        <w:rPr>
          <w:rFonts w:eastAsia="Times New Roman"/>
        </w:rPr>
      </w:pPr>
      <w:r>
        <w:rPr>
          <w:rFonts w:eastAsia="Times New Roman"/>
          <w:b/>
          <w:bCs/>
          <w:color w:val="000000"/>
          <w:sz w:val="20"/>
          <w:szCs w:val="20"/>
        </w:rPr>
        <w:t>EQUITABLE HOLDINGS, INC.</w:t>
      </w:r>
    </w:p>
    <w:p w:rsidR="00000000" w:rsidRDefault="005B0BC3">
      <w:pPr>
        <w:jc w:val="center"/>
        <w:divId w:val="558634782"/>
        <w:rPr>
          <w:rFonts w:eastAsia="Times New Roman"/>
        </w:rPr>
      </w:pPr>
      <w:r>
        <w:rPr>
          <w:rFonts w:eastAsia="Times New Roman"/>
          <w:b/>
          <w:bCs/>
          <w:color w:val="000000"/>
          <w:sz w:val="20"/>
          <w:szCs w:val="20"/>
        </w:rPr>
        <w:t>Consolidated Statements of Cash Flows</w:t>
      </w:r>
    </w:p>
    <w:p w:rsidR="00000000" w:rsidRDefault="005B0BC3">
      <w:pPr>
        <w:jc w:val="center"/>
        <w:divId w:val="1421947451"/>
        <w:rPr>
          <w:rFonts w:eastAsia="Times New Roman"/>
        </w:rPr>
      </w:pPr>
      <w:r>
        <w:rPr>
          <w:rFonts w:eastAsia="Times New Roman"/>
          <w:b/>
          <w:bCs/>
          <w:color w:val="000000"/>
          <w:sz w:val="20"/>
          <w:szCs w:val="20"/>
        </w:rPr>
        <w:t>Years Ended December 31, 2021, 2020 and 2019</w:t>
      </w:r>
    </w:p>
    <w:p w:rsidR="00000000" w:rsidRDefault="005B0BC3">
      <w:pPr>
        <w:divId w:val="227807081"/>
        <w:rPr>
          <w:rFonts w:eastAsia="Times New Roman"/>
        </w:rPr>
      </w:pPr>
    </w:p>
    <w:p w:rsidR="00000000" w:rsidRDefault="005B0BC3">
      <w:pPr>
        <w:divId w:val="1099566598"/>
        <w:rPr>
          <w:rFonts w:eastAsia="Times New Roman"/>
        </w:rPr>
      </w:pPr>
    </w:p>
    <w:p w:rsidR="00000000" w:rsidRDefault="005B0BC3">
      <w:pPr>
        <w:divId w:val="229509246"/>
        <w:rPr>
          <w:rFonts w:eastAsia="Times New Roman"/>
        </w:rPr>
      </w:pPr>
    </w:p>
    <w:p w:rsidR="00000000" w:rsidRDefault="005B0BC3">
      <w:pPr>
        <w:divId w:val="1724524363"/>
        <w:rPr>
          <w:rFonts w:eastAsia="Times New Roman"/>
        </w:rPr>
      </w:pPr>
    </w:p>
    <w:p w:rsidR="00000000" w:rsidRDefault="005B0BC3">
      <w:pPr>
        <w:divId w:val="1883594926"/>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5845"/>
        <w:gridCol w:w="38"/>
        <w:gridCol w:w="120"/>
        <w:gridCol w:w="600"/>
        <w:gridCol w:w="36"/>
        <w:gridCol w:w="36"/>
        <w:gridCol w:w="36"/>
        <w:gridCol w:w="36"/>
        <w:gridCol w:w="120"/>
        <w:gridCol w:w="600"/>
        <w:gridCol w:w="36"/>
        <w:gridCol w:w="36"/>
        <w:gridCol w:w="36"/>
        <w:gridCol w:w="36"/>
        <w:gridCol w:w="120"/>
        <w:gridCol w:w="500"/>
        <w:gridCol w:w="36"/>
      </w:tblGrid>
      <w:tr w:rsidR="00000000">
        <w:trPr>
          <w:jc w:val="center"/>
        </w:trPr>
        <w:tc>
          <w:tcPr>
            <w:tcW w:w="50" w:type="pct"/>
            <w:vAlign w:val="center"/>
            <w:hideMark/>
          </w:tcPr>
          <w:p w:rsidR="00000000" w:rsidRDefault="005B0BC3">
            <w:pPr>
              <w:rPr>
                <w:rFonts w:eastAsia="Times New Roman"/>
              </w:rPr>
            </w:pPr>
          </w:p>
        </w:tc>
        <w:tc>
          <w:tcPr>
            <w:tcW w:w="364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5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5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5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r>
      <w:tr w:rsidR="00000000">
        <w:trPr>
          <w:jc w:val="center"/>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jc w:val="center"/>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Cash flows from financing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Policyholders’ account balances:</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shd w:val="clear" w:color="auto" w:fill="CCEEFF"/>
            <w:tcMar>
              <w:top w:w="30" w:type="dxa"/>
              <w:left w:w="380" w:type="dxa"/>
              <w:bottom w:w="30" w:type="dxa"/>
              <w:right w:w="20" w:type="dxa"/>
            </w:tcMar>
            <w:hideMark/>
          </w:tcPr>
          <w:p w:rsidR="00000000" w:rsidRDefault="005B0BC3">
            <w:pPr>
              <w:spacing w:after="100"/>
              <w:rPr>
                <w:rFonts w:eastAsia="Times New Roman"/>
              </w:rPr>
            </w:pPr>
            <w:r>
              <w:rPr>
                <w:rFonts w:eastAsia="Times New Roman"/>
                <w:color w:val="000000"/>
                <w:sz w:val="20"/>
                <w:szCs w:val="20"/>
              </w:rPr>
              <w:t>Deposits</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17,521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11,446 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12,843 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380" w:type="dxa"/>
              <w:bottom w:w="30" w:type="dxa"/>
              <w:right w:w="20" w:type="dxa"/>
            </w:tcMar>
            <w:hideMark/>
          </w:tcPr>
          <w:p w:rsidR="00000000" w:rsidRDefault="005B0BC3">
            <w:pPr>
              <w:spacing w:after="100"/>
              <w:rPr>
                <w:rFonts w:eastAsia="Times New Roman"/>
              </w:rPr>
            </w:pPr>
            <w:r>
              <w:rPr>
                <w:rFonts w:eastAsia="Times New Roman"/>
                <w:color w:val="000000"/>
                <w:sz w:val="20"/>
                <w:szCs w:val="20"/>
              </w:rPr>
              <w:t>Withdrawals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(7,069)</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(4,332)</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(4,619)</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38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Transfers (to) from Separate Accounts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1,985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2,452 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1,769 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Change in short-term financings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(546)</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Change in collateralized pledged assets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(139)</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(71)</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Change in collateralized pledged liabilities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848 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1,361 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(Decrease) increase in overdrafts payable</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(60)</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jc w:val="center"/>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Repayment of long-term debt</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(280)</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(300)</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Proceeds from notes issued by consolidated VIEs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313 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Dividends paid on common stock</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(296)</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(297)</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(285)</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Dividends paid on preferred stock</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(79)</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(53)</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Issuance of preferred stock</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494 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775 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Purchases of AB Holding Units to fund long-term incentive compensation plan awards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(262)</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(149)</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(172)</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Purchase of treasury shares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(1,637)</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(430)</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(1,350)</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Purchases (redemptions) of noncontrolling interests of consolidated</w:t>
            </w:r>
            <w:r>
              <w:rPr>
                <w:rFonts w:eastAsia="Times New Roman"/>
                <w:color w:val="000000"/>
                <w:sz w:val="20"/>
                <w:szCs w:val="20"/>
              </w:rPr>
              <w:br/>
              <w:t>company-sponsored investment funds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346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(210)</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169 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Distribution to noncontrolling interest of consolidated subsidiaries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(392)</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(304)</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(256)</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Increase (decrease) in securities sold under agreement to repurchase</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(573)</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Other, net</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(47)</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Net cash provided by (used in) financing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12,511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9,674 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8,705 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Effect of exchange rate changes on cash and cash equivalents</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(18)</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Change in cash and cash equivalents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(952)</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1,813 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Cash and cash equivalents, beginning of year</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6,179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4,405 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4,469 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Change in cash of businesses held-for-sale</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(39)</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(39)</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(65)</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Cash and cash equivalents, end of year</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5,188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6,179 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4,405 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trHeight w:val="180"/>
          <w:jc w:val="center"/>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Supplemental cash flow information:</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Interest paid</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273 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Income taxes (refunded) paid</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305 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(173)</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w:t>
            </w:r>
            <w:r>
              <w:rPr>
                <w:rFonts w:eastAsia="Times New Roman"/>
                <w:color w:val="000000"/>
                <w:sz w:val="20"/>
                <w:szCs w:val="20"/>
              </w:rPr>
              <w:t>506)</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Non-cash transactions from investing and financing activities:</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Transfer of assets to reinsurer</w:t>
            </w: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18"/>
                <w:szCs w:val="18"/>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8"/>
                <w:szCs w:val="18"/>
              </w:rPr>
              <w:t>(9,023)</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jc w:val="center"/>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jc w:val="center"/>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jc w:val="center"/>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jc w:val="center"/>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jc w:val="center"/>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jc w:val="center"/>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bl>
    <w:p w:rsidR="00000000" w:rsidRDefault="005B0BC3">
      <w:pPr>
        <w:ind w:hanging="360"/>
        <w:divId w:val="1459688974"/>
        <w:rPr>
          <w:rFonts w:eastAsia="Times New Roman"/>
        </w:rPr>
      </w:pPr>
      <w:r>
        <w:rPr>
          <w:rFonts w:eastAsia="Times New Roman"/>
          <w:color w:val="000000"/>
          <w:sz w:val="18"/>
          <w:szCs w:val="18"/>
        </w:rPr>
        <w:t>__________</w:t>
      </w:r>
    </w:p>
    <w:p w:rsidR="00000000" w:rsidRDefault="005B0BC3">
      <w:pPr>
        <w:ind w:hanging="360"/>
        <w:divId w:val="724331151"/>
        <w:rPr>
          <w:rFonts w:eastAsia="Times New Roman"/>
        </w:rPr>
      </w:pPr>
      <w:r>
        <w:rPr>
          <w:rFonts w:eastAsia="Times New Roman"/>
          <w:color w:val="000000"/>
          <w:sz w:val="18"/>
          <w:szCs w:val="18"/>
        </w:rPr>
        <w:t>(1) Amount includes cash paid for Venerable Transaction of $494 million (see Note 1 of the Notes to these Consolidated Financial Statements).</w:t>
      </w:r>
    </w:p>
    <w:p w:rsidR="00000000" w:rsidRDefault="005B0BC3">
      <w:pPr>
        <w:jc w:val="center"/>
        <w:rPr>
          <w:rFonts w:eastAsia="Times New Roman"/>
        </w:rPr>
      </w:pPr>
    </w:p>
    <w:p w:rsidR="00000000" w:rsidRDefault="005B0BC3">
      <w:pPr>
        <w:jc w:val="center"/>
        <w:rPr>
          <w:rFonts w:eastAsia="Times New Roman"/>
        </w:rPr>
      </w:pPr>
    </w:p>
    <w:p w:rsidR="00000000" w:rsidRDefault="005B0BC3">
      <w:pPr>
        <w:jc w:val="center"/>
        <w:rPr>
          <w:rFonts w:eastAsia="Times New Roman"/>
        </w:rPr>
      </w:pPr>
    </w:p>
    <w:p w:rsidR="00000000" w:rsidRDefault="005B0BC3">
      <w:pPr>
        <w:jc w:val="center"/>
        <w:divId w:val="238683489"/>
        <w:rPr>
          <w:rFonts w:eastAsia="Times New Roman"/>
        </w:rPr>
      </w:pPr>
    </w:p>
    <w:p w:rsidR="00000000" w:rsidRDefault="005B0BC3">
      <w:pPr>
        <w:jc w:val="center"/>
        <w:divId w:val="238683489"/>
        <w:rPr>
          <w:rFonts w:eastAsia="Times New Roman"/>
        </w:rPr>
      </w:pPr>
    </w:p>
    <w:p w:rsidR="00000000" w:rsidRDefault="005B0BC3">
      <w:pPr>
        <w:jc w:val="center"/>
        <w:divId w:val="238683489"/>
        <w:rPr>
          <w:rFonts w:eastAsia="Times New Roman"/>
        </w:rPr>
      </w:pPr>
    </w:p>
    <w:p w:rsidR="00000000" w:rsidRDefault="005B0BC3">
      <w:pPr>
        <w:jc w:val="center"/>
        <w:divId w:val="238683489"/>
        <w:rPr>
          <w:rFonts w:eastAsia="Times New Roman"/>
        </w:rPr>
      </w:pPr>
      <w:r>
        <w:rPr>
          <w:rFonts w:eastAsia="Times New Roman"/>
          <w:color w:val="000000"/>
          <w:sz w:val="20"/>
          <w:szCs w:val="20"/>
        </w:rPr>
        <w:t>See Notes to Consolidated Financ</w:t>
      </w:r>
      <w:r>
        <w:rPr>
          <w:rFonts w:eastAsia="Times New Roman"/>
          <w:color w:val="000000"/>
          <w:sz w:val="20"/>
          <w:szCs w:val="20"/>
        </w:rPr>
        <w:t>ial Statements.</w:t>
      </w:r>
    </w:p>
    <w:p w:rsidR="00000000" w:rsidRDefault="005B0BC3">
      <w:pPr>
        <w:jc w:val="center"/>
        <w:divId w:val="238683489"/>
        <w:rPr>
          <w:rFonts w:eastAsia="Times New Roman"/>
        </w:rPr>
      </w:pPr>
      <w:r>
        <w:rPr>
          <w:rFonts w:eastAsia="Times New Roman"/>
          <w:color w:val="000000"/>
          <w:sz w:val="20"/>
          <w:szCs w:val="20"/>
        </w:rPr>
        <w:t>137</w:t>
      </w:r>
    </w:p>
    <w:p w:rsidR="00000000" w:rsidRDefault="005B0BC3">
      <w:pPr>
        <w:rPr>
          <w:rFonts w:eastAsia="Times New Roman"/>
        </w:rPr>
      </w:pPr>
      <w:r>
        <w:rPr>
          <w:rFonts w:eastAsia="Times New Roman"/>
        </w:rPr>
        <w:pict>
          <v:rect id="_x0000_i1175" style="width:0;height:1.5pt" o:hralign="center" o:hrstd="t" o:hr="t" fillcolor="#a0a0a0" stroked="f"/>
        </w:pict>
      </w:r>
    </w:p>
    <w:p w:rsidR="00000000" w:rsidRDefault="005B0BC3">
      <w:pPr>
        <w:divId w:val="990913877"/>
        <w:rPr>
          <w:rFonts w:eastAsia="Times New Roman"/>
        </w:rPr>
      </w:pPr>
      <w:hyperlink w:anchor="i2ac35847634046b3a89f93d9b422e8f5_10" w:history="1">
        <w:r>
          <w:rPr>
            <w:rStyle w:val="a3"/>
            <w:rFonts w:eastAsia="Times New Roman"/>
            <w:b/>
            <w:bCs/>
            <w:sz w:val="20"/>
            <w:szCs w:val="20"/>
          </w:rPr>
          <w:t>Table of Contents</w:t>
        </w:r>
      </w:hyperlink>
    </w:p>
    <w:p w:rsidR="00000000" w:rsidRDefault="005B0BC3">
      <w:pPr>
        <w:jc w:val="center"/>
        <w:divId w:val="861281953"/>
        <w:rPr>
          <w:rFonts w:eastAsia="Times New Roman"/>
        </w:rPr>
      </w:pPr>
      <w:r>
        <w:rPr>
          <w:rFonts w:eastAsia="Times New Roman"/>
          <w:b/>
          <w:bCs/>
          <w:color w:val="000000"/>
          <w:sz w:val="20"/>
          <w:szCs w:val="20"/>
        </w:rPr>
        <w:t>EQUITABLE HOLDINGS, INC.</w:t>
      </w:r>
    </w:p>
    <w:p w:rsidR="00000000" w:rsidRDefault="005B0BC3">
      <w:pPr>
        <w:jc w:val="center"/>
        <w:divId w:val="861281953"/>
        <w:rPr>
          <w:rFonts w:eastAsia="Times New Roman"/>
        </w:rPr>
      </w:pPr>
      <w:r>
        <w:rPr>
          <w:rFonts w:eastAsia="Times New Roman"/>
          <w:b/>
          <w:bCs/>
          <w:color w:val="000000"/>
          <w:sz w:val="20"/>
          <w:szCs w:val="20"/>
        </w:rPr>
        <w:t>Notes to Consolidated Financial Statements (Unaudited)</w:t>
      </w:r>
    </w:p>
    <w:p w:rsidR="00000000" w:rsidRDefault="005B0BC3">
      <w:pPr>
        <w:divId w:val="498355357"/>
        <w:rPr>
          <w:rFonts w:eastAsia="Times New Roman"/>
        </w:rPr>
      </w:pPr>
    </w:p>
    <w:p w:rsidR="00000000" w:rsidRDefault="005B0BC3">
      <w:pPr>
        <w:divId w:val="1230114749"/>
        <w:rPr>
          <w:rFonts w:eastAsia="Times New Roman"/>
        </w:rPr>
      </w:pPr>
      <w:r>
        <w:rPr>
          <w:rFonts w:eastAsia="Times New Roman"/>
          <w:b/>
          <w:bCs/>
          <w:color w:val="000000"/>
          <w:sz w:val="20"/>
          <w:szCs w:val="20"/>
        </w:rPr>
        <w:t xml:space="preserve">1)    ORGANIZATION </w:t>
      </w:r>
    </w:p>
    <w:p w:rsidR="00000000" w:rsidRDefault="005B0BC3">
      <w:pPr>
        <w:divId w:val="1345941304"/>
        <w:rPr>
          <w:rFonts w:eastAsia="Times New Roman"/>
        </w:rPr>
      </w:pPr>
      <w:r>
        <w:rPr>
          <w:rFonts w:eastAsia="Times New Roman"/>
          <w:color w:val="000000"/>
          <w:sz w:val="20"/>
          <w:szCs w:val="20"/>
        </w:rPr>
        <w:t>Equitable Holdings, Inc. is the holding company for a diversified financial services organization. The Company conducts operations in four segments: Individual Retirement, Group R</w:t>
      </w:r>
      <w:r>
        <w:rPr>
          <w:rFonts w:eastAsia="Times New Roman"/>
          <w:color w:val="000000"/>
          <w:sz w:val="20"/>
          <w:szCs w:val="20"/>
        </w:rPr>
        <w:t xml:space="preserve">etirement, Investment Management and Research, and Protection Solutions. The Company’s management evaluates the performance of each of these segments independently. </w:t>
      </w:r>
    </w:p>
    <w:p w:rsidR="00000000" w:rsidRDefault="005B0BC3">
      <w:pPr>
        <w:ind w:hanging="360"/>
        <w:jc w:val="both"/>
        <w:divId w:val="1915699626"/>
        <w:rPr>
          <w:rFonts w:eastAsia="Times New Roman"/>
        </w:rPr>
      </w:pPr>
      <w:r>
        <w:rPr>
          <w:rFonts w:eastAsia="Times New Roman"/>
          <w:color w:val="000000"/>
          <w:sz w:val="20"/>
          <w:szCs w:val="20"/>
        </w:rPr>
        <w:t>•The Individual Retirement segment offers a diverse suite of variable annuity products whi</w:t>
      </w:r>
      <w:r>
        <w:rPr>
          <w:rFonts w:eastAsia="Times New Roman"/>
          <w:color w:val="000000"/>
          <w:sz w:val="20"/>
          <w:szCs w:val="20"/>
        </w:rPr>
        <w:t>ch are primarily sold to affluent and high net worth individuals saving for retirement or seeking retirement income.</w:t>
      </w:r>
    </w:p>
    <w:p w:rsidR="00000000" w:rsidRDefault="005B0BC3">
      <w:pPr>
        <w:ind w:hanging="360"/>
        <w:jc w:val="both"/>
        <w:divId w:val="1067146148"/>
        <w:rPr>
          <w:rFonts w:eastAsia="Times New Roman"/>
        </w:rPr>
      </w:pPr>
      <w:r>
        <w:rPr>
          <w:rFonts w:eastAsia="Times New Roman"/>
          <w:color w:val="000000"/>
          <w:sz w:val="20"/>
          <w:szCs w:val="20"/>
        </w:rPr>
        <w:t>•The Group Retirement segment offers tax-deferred investment and retirement services or products to plans sponsored by educational entities</w:t>
      </w:r>
      <w:r>
        <w:rPr>
          <w:rFonts w:eastAsia="Times New Roman"/>
          <w:color w:val="000000"/>
          <w:sz w:val="20"/>
          <w:szCs w:val="20"/>
        </w:rPr>
        <w:t>, municipalities and not-for-profit entities, as well as small and medium-sized businesses.</w:t>
      </w:r>
    </w:p>
    <w:p w:rsidR="00000000" w:rsidRDefault="005B0BC3">
      <w:pPr>
        <w:ind w:hanging="360"/>
        <w:jc w:val="both"/>
        <w:divId w:val="1233466683"/>
        <w:rPr>
          <w:rFonts w:eastAsia="Times New Roman"/>
        </w:rPr>
      </w:pPr>
      <w:r>
        <w:rPr>
          <w:rFonts w:eastAsia="Times New Roman"/>
          <w:color w:val="000000"/>
          <w:sz w:val="20"/>
          <w:szCs w:val="20"/>
        </w:rPr>
        <w:t>•The Investment Management and Research segment provides diversified investment management, research and related solutions globally to a broad range of clients thro</w:t>
      </w:r>
      <w:r>
        <w:rPr>
          <w:rFonts w:eastAsia="Times New Roman"/>
          <w:color w:val="000000"/>
          <w:sz w:val="20"/>
          <w:szCs w:val="20"/>
        </w:rPr>
        <w:t>ugh three main client channels - Institutional, Retail and Private Wealth Management - and distributes its institutional research products and solutions through Bernstein Research Services. The Investment Management and Research segment reflects the busine</w:t>
      </w:r>
      <w:r>
        <w:rPr>
          <w:rFonts w:eastAsia="Times New Roman"/>
          <w:color w:val="000000"/>
          <w:sz w:val="20"/>
          <w:szCs w:val="20"/>
        </w:rPr>
        <w:t>ss of AB Holding and ABLP and their subsidiaries (collectively, AB).</w:t>
      </w:r>
    </w:p>
    <w:p w:rsidR="00000000" w:rsidRDefault="005B0BC3">
      <w:pPr>
        <w:ind w:hanging="360"/>
        <w:divId w:val="982544641"/>
        <w:rPr>
          <w:rFonts w:eastAsia="Times New Roman"/>
        </w:rPr>
      </w:pPr>
      <w:r>
        <w:rPr>
          <w:rFonts w:eastAsia="Times New Roman"/>
          <w:color w:val="000000"/>
          <w:sz w:val="20"/>
          <w:szCs w:val="20"/>
        </w:rPr>
        <w:t>•The Protection Solutions segment includes the Company’s life insurance and group employee benefits businesses. The life insurance business offers a variety of VUL, IUL and term life prod</w:t>
      </w:r>
      <w:r>
        <w:rPr>
          <w:rFonts w:eastAsia="Times New Roman"/>
          <w:color w:val="000000"/>
          <w:sz w:val="20"/>
          <w:szCs w:val="20"/>
        </w:rPr>
        <w:t>ucts to help affluent and high net worth individuals, as well as small and medium-sized business owners, with their wealth protection, wealth transfer and corporate needs. Our group employee benefits business offers a suite of life, short- and long-term di</w:t>
      </w:r>
      <w:r>
        <w:rPr>
          <w:rFonts w:eastAsia="Times New Roman"/>
          <w:color w:val="000000"/>
          <w:sz w:val="20"/>
          <w:szCs w:val="20"/>
        </w:rPr>
        <w:t>sability, dental and vision insurance products to small and medium-size businesses across the United States.</w:t>
      </w:r>
    </w:p>
    <w:p w:rsidR="00000000" w:rsidRDefault="005B0BC3">
      <w:pPr>
        <w:divId w:val="1293633648"/>
        <w:rPr>
          <w:rFonts w:eastAsia="Times New Roman"/>
        </w:rPr>
      </w:pPr>
      <w:r>
        <w:rPr>
          <w:rFonts w:eastAsia="Times New Roman"/>
          <w:color w:val="000000"/>
          <w:sz w:val="20"/>
          <w:szCs w:val="20"/>
        </w:rPr>
        <w:t>The Company reports certain activities and items that are not included in our segments in Corporate and Other. Corporate and Other includes certain</w:t>
      </w:r>
      <w:r>
        <w:rPr>
          <w:rFonts w:eastAsia="Times New Roman"/>
          <w:color w:val="000000"/>
          <w:sz w:val="20"/>
          <w:szCs w:val="20"/>
        </w:rPr>
        <w:t xml:space="preserve"> of our financing and investment expenses. It also includes: Equitable Advisors broker-dealer business, closed block of life insurance (the “Closed Block”), run-off variable annuity reinsurance business, run-off group pension business, run-off health busin</w:t>
      </w:r>
      <w:r>
        <w:rPr>
          <w:rFonts w:eastAsia="Times New Roman"/>
          <w:color w:val="000000"/>
          <w:sz w:val="20"/>
          <w:szCs w:val="20"/>
        </w:rPr>
        <w:t xml:space="preserve">ess, benefit plans for our employees, certain strategic investments and certain unallocated items, including capital and related investments, interest expense and corporate expense. AB’s results of operations are reflected in the Investment Management and </w:t>
      </w:r>
      <w:r>
        <w:rPr>
          <w:rFonts w:eastAsia="Times New Roman"/>
          <w:color w:val="000000"/>
          <w:sz w:val="20"/>
          <w:szCs w:val="20"/>
        </w:rPr>
        <w:t>Research segment. Accordingly, Corporate and Other does not include any items applicable to AB.</w:t>
      </w:r>
    </w:p>
    <w:p w:rsidR="00000000" w:rsidRDefault="005B0BC3">
      <w:pPr>
        <w:divId w:val="33431992"/>
        <w:rPr>
          <w:rFonts w:eastAsia="Times New Roman"/>
        </w:rPr>
      </w:pPr>
      <w:r>
        <w:rPr>
          <w:rFonts w:eastAsia="Times New Roman"/>
          <w:color w:val="000000"/>
          <w:sz w:val="20"/>
          <w:szCs w:val="20"/>
        </w:rPr>
        <w:t>As of December 31, 2021 and December 31, 2020 the Company’s economic interest in AB was approximately 65% for both periods. The General Partner of AB is a wholl</w:t>
      </w:r>
      <w:r>
        <w:rPr>
          <w:rFonts w:eastAsia="Times New Roman"/>
          <w:color w:val="000000"/>
          <w:sz w:val="20"/>
          <w:szCs w:val="20"/>
        </w:rPr>
        <w:t>y-owned subsidiary of the Company. Because the General Partner has the authority to manage and control the business of AB, AB is consolidated in the Company’s financial statements for all periods presented.</w:t>
      </w:r>
    </w:p>
    <w:p w:rsidR="00000000" w:rsidRDefault="005B0BC3">
      <w:pPr>
        <w:divId w:val="528951690"/>
        <w:rPr>
          <w:rFonts w:eastAsia="Times New Roman"/>
        </w:rPr>
      </w:pPr>
      <w:r>
        <w:rPr>
          <w:rFonts w:eastAsia="Times New Roman"/>
          <w:color w:val="000000"/>
          <w:sz w:val="20"/>
          <w:szCs w:val="20"/>
        </w:rPr>
        <w:t>On June 1, 2021, Holdings completed the sale (the</w:t>
      </w:r>
      <w:r>
        <w:rPr>
          <w:rFonts w:eastAsia="Times New Roman"/>
          <w:color w:val="000000"/>
          <w:sz w:val="20"/>
          <w:szCs w:val="20"/>
        </w:rPr>
        <w:t xml:space="preserve"> “Venerable Transaction”) of CS Life, to Venerable Insurance and Annuity Company, an insurance company domiciled in Iowa (“VIAC”), pursuant to the Master Transaction Agreement, dated October 27, 2020 (the “Master Transaction Agreement”), among the Company,</w:t>
      </w:r>
      <w:r>
        <w:rPr>
          <w:rFonts w:eastAsia="Times New Roman"/>
          <w:color w:val="000000"/>
          <w:sz w:val="20"/>
          <w:szCs w:val="20"/>
        </w:rPr>
        <w:t xml:space="preserve"> VIAC and, solely with respect to Article XIV thereof, Venerable Holdings, Inc., a Delaware corporation (“Venerable”).</w:t>
      </w:r>
    </w:p>
    <w:p w:rsidR="00000000" w:rsidRDefault="005B0BC3">
      <w:pPr>
        <w:divId w:val="925502764"/>
        <w:rPr>
          <w:rFonts w:eastAsia="Times New Roman"/>
        </w:rPr>
      </w:pPr>
      <w:r>
        <w:rPr>
          <w:rFonts w:eastAsia="Times New Roman"/>
          <w:color w:val="000000"/>
          <w:sz w:val="20"/>
          <w:szCs w:val="20"/>
        </w:rPr>
        <w:t>Pursuant to the Master Transaction Agreement, immediately prior to the closing of the Venerable Transaction, CS Life effected the recaptu</w:t>
      </w:r>
      <w:r>
        <w:rPr>
          <w:rFonts w:eastAsia="Times New Roman"/>
          <w:color w:val="000000"/>
          <w:sz w:val="20"/>
          <w:szCs w:val="20"/>
        </w:rPr>
        <w:t>re of all of the business that was ceded to CS Life Re Company, a wholly owned subsidiary of CS Life (“Reinsurance Subsidiary”), and sold 100% of the equity of the Reinsurance Subsidiary to another wholly owned subsidiary of the Company.</w:t>
      </w:r>
    </w:p>
    <w:p w:rsidR="00000000" w:rsidRDefault="005B0BC3">
      <w:pPr>
        <w:divId w:val="1861506967"/>
        <w:rPr>
          <w:rFonts w:eastAsia="Times New Roman"/>
        </w:rPr>
      </w:pPr>
      <w:r>
        <w:rPr>
          <w:rFonts w:eastAsia="Times New Roman"/>
          <w:color w:val="000000"/>
          <w:sz w:val="20"/>
          <w:szCs w:val="20"/>
        </w:rPr>
        <w:t>VIAC paid the Comp</w:t>
      </w:r>
      <w:r>
        <w:rPr>
          <w:rFonts w:eastAsia="Times New Roman"/>
          <w:color w:val="000000"/>
          <w:sz w:val="20"/>
          <w:szCs w:val="20"/>
        </w:rPr>
        <w:t>any a cash purchase price of $215 million for CS Life at closing. The post-closing true-up adjustment was immaterial. VIAC also issued a surplus note in aggregate principal amount of $60 million, to Equitable Financial Life Insurance Company, a New York-do</w:t>
      </w:r>
      <w:r>
        <w:rPr>
          <w:rFonts w:eastAsia="Times New Roman"/>
          <w:color w:val="000000"/>
          <w:sz w:val="20"/>
          <w:szCs w:val="20"/>
        </w:rPr>
        <w:t xml:space="preserve">miciled life insurance company and a wholly owned subsidiary of Holdings, for cash consideration. </w:t>
      </w:r>
    </w:p>
    <w:p w:rsidR="00000000" w:rsidRDefault="005B0BC3">
      <w:pPr>
        <w:divId w:val="1534879078"/>
        <w:rPr>
          <w:rFonts w:eastAsia="Times New Roman"/>
        </w:rPr>
      </w:pPr>
      <w:r>
        <w:rPr>
          <w:rFonts w:eastAsia="Times New Roman"/>
          <w:color w:val="000000"/>
          <w:sz w:val="20"/>
          <w:szCs w:val="20"/>
        </w:rPr>
        <w:t>Immediately following the closing of the Venerable Transaction, CS Life and Equitable Financial entered into a coinsurance and modified coinsurance agreement</w:t>
      </w:r>
      <w:r>
        <w:rPr>
          <w:rFonts w:eastAsia="Times New Roman"/>
          <w:color w:val="000000"/>
          <w:sz w:val="20"/>
          <w:szCs w:val="20"/>
        </w:rPr>
        <w:t xml:space="preserve"> (the “Reinsurance Agreement”), pursuant to which Equitable Financial ceded to CS Life, on a combined coinsurance and modified coinsurance basis, legacy variable annuity policies sold by Equitable Financial between 2006-2008 (the “Block”), comprised of non</w:t>
      </w:r>
      <w:r>
        <w:rPr>
          <w:rFonts w:eastAsia="Times New Roman"/>
          <w:color w:val="000000"/>
          <w:sz w:val="20"/>
          <w:szCs w:val="20"/>
        </w:rPr>
        <w:t xml:space="preserve">-New York “Accumulator” policies containing fixed rate Guaranteed Minimum Income Benefit and/or Guaranteed Minimum Death Benefit </w:t>
      </w:r>
    </w:p>
    <w:p w:rsidR="00000000" w:rsidRDefault="005B0BC3">
      <w:pPr>
        <w:jc w:val="center"/>
        <w:divId w:val="368995211"/>
        <w:rPr>
          <w:rFonts w:eastAsia="Times New Roman"/>
        </w:rPr>
      </w:pPr>
      <w:r>
        <w:rPr>
          <w:rFonts w:eastAsia="Times New Roman"/>
          <w:color w:val="000000"/>
          <w:sz w:val="20"/>
          <w:szCs w:val="20"/>
        </w:rPr>
        <w:t>138</w:t>
      </w:r>
    </w:p>
    <w:p w:rsidR="00000000" w:rsidRDefault="005B0BC3">
      <w:pPr>
        <w:rPr>
          <w:rFonts w:eastAsia="Times New Roman"/>
        </w:rPr>
      </w:pPr>
      <w:r>
        <w:rPr>
          <w:rFonts w:eastAsia="Times New Roman"/>
        </w:rPr>
        <w:pict>
          <v:rect id="_x0000_i1176" style="width:0;height:1.5pt" o:hralign="center" o:hrstd="t" o:hr="t" fillcolor="#a0a0a0" stroked="f"/>
        </w:pict>
      </w:r>
    </w:p>
    <w:p w:rsidR="00000000" w:rsidRDefault="005B0BC3">
      <w:pPr>
        <w:divId w:val="1964070395"/>
        <w:rPr>
          <w:rFonts w:eastAsia="Times New Roman"/>
        </w:rPr>
      </w:pPr>
      <w:hyperlink w:anchor="i2ac35847634046b3a89f93d9b422e8f5_10" w:history="1">
        <w:r>
          <w:rPr>
            <w:rStyle w:val="a3"/>
            <w:rFonts w:eastAsia="Times New Roman"/>
            <w:b/>
            <w:bCs/>
            <w:sz w:val="20"/>
            <w:szCs w:val="20"/>
          </w:rPr>
          <w:t>Table of Contents</w:t>
        </w:r>
      </w:hyperlink>
    </w:p>
    <w:p w:rsidR="00000000" w:rsidRDefault="005B0BC3">
      <w:pPr>
        <w:jc w:val="center"/>
        <w:divId w:val="442308815"/>
        <w:rPr>
          <w:rFonts w:eastAsia="Times New Roman"/>
        </w:rPr>
      </w:pPr>
      <w:r>
        <w:rPr>
          <w:rFonts w:eastAsia="Times New Roman"/>
          <w:b/>
          <w:bCs/>
          <w:color w:val="000000"/>
          <w:sz w:val="20"/>
          <w:szCs w:val="20"/>
        </w:rPr>
        <w:t>EQUITABLE</w:t>
      </w:r>
      <w:r>
        <w:rPr>
          <w:rFonts w:eastAsia="Times New Roman"/>
          <w:b/>
          <w:bCs/>
          <w:color w:val="000000"/>
          <w:sz w:val="20"/>
          <w:szCs w:val="20"/>
        </w:rPr>
        <w:t xml:space="preserve"> HOLDINGS, INC.</w:t>
      </w:r>
    </w:p>
    <w:p w:rsidR="00000000" w:rsidRDefault="005B0BC3">
      <w:pPr>
        <w:jc w:val="center"/>
        <w:divId w:val="442308815"/>
        <w:rPr>
          <w:rFonts w:eastAsia="Times New Roman"/>
        </w:rPr>
      </w:pPr>
      <w:r>
        <w:rPr>
          <w:rFonts w:eastAsia="Times New Roman"/>
          <w:b/>
          <w:bCs/>
          <w:color w:val="000000"/>
          <w:sz w:val="20"/>
          <w:szCs w:val="20"/>
        </w:rPr>
        <w:t>Notes to Consolidated Financial Statements (Unaudited), Continued</w:t>
      </w:r>
    </w:p>
    <w:p w:rsidR="00000000" w:rsidRDefault="005B0BC3">
      <w:pPr>
        <w:divId w:val="1346516273"/>
        <w:rPr>
          <w:rFonts w:eastAsia="Times New Roman"/>
        </w:rPr>
      </w:pPr>
      <w:r>
        <w:rPr>
          <w:rFonts w:eastAsia="Times New Roman"/>
          <w:color w:val="000000"/>
          <w:sz w:val="20"/>
          <w:szCs w:val="20"/>
        </w:rPr>
        <w:t xml:space="preserve">guarantees. At the closing of the Transaction, CS Life deposited assets supporting the general account liabilities relating to the Block into a trust account for the benefit </w:t>
      </w:r>
      <w:r>
        <w:rPr>
          <w:rFonts w:eastAsia="Times New Roman"/>
          <w:color w:val="000000"/>
          <w:sz w:val="20"/>
          <w:szCs w:val="20"/>
        </w:rPr>
        <w:t>of Equitable Financial, which assets will secure its obligations to Equitable Financial under the Reinsurance Agreement. At the closing of the Transaction, AllianceBernstein L.P., a subsidiary of the Company (“AB”), entered into an investment advisory agre</w:t>
      </w:r>
      <w:r>
        <w:rPr>
          <w:rFonts w:eastAsia="Times New Roman"/>
          <w:color w:val="000000"/>
          <w:sz w:val="20"/>
          <w:szCs w:val="20"/>
        </w:rPr>
        <w:t>ement with CS Life pursuant to which AB will serve as the preferred investment manager of the general account assets transferred to the trust account. The Company transferred assets of $9.5 billion, including primarily available for sale securities and cas</w:t>
      </w:r>
      <w:r>
        <w:rPr>
          <w:rFonts w:eastAsia="Times New Roman"/>
          <w:color w:val="000000"/>
          <w:sz w:val="20"/>
          <w:szCs w:val="20"/>
        </w:rPr>
        <w:t>h, to a collateral trust account as the consideration for the reinsurance transaction. In addition, the Company recorded $9.6 billion of direct insurance liabilities ceded under the reinsurance contract, of which $5.3 billion is accounted at fair value, as</w:t>
      </w:r>
      <w:r>
        <w:rPr>
          <w:rFonts w:eastAsia="Times New Roman"/>
          <w:color w:val="000000"/>
          <w:sz w:val="20"/>
          <w:szCs w:val="20"/>
        </w:rPr>
        <w:t xml:space="preserve"> the reinsurance of GMxB with no lapse guarantee riders are embedded derivatives. Additionally, $16.9 billion of Separate Account liabilities were ceded under a modified coinsurance portion of the agreement.</w:t>
      </w:r>
    </w:p>
    <w:p w:rsidR="00000000" w:rsidRDefault="005B0BC3">
      <w:pPr>
        <w:divId w:val="1051536304"/>
        <w:rPr>
          <w:rFonts w:eastAsia="Times New Roman"/>
        </w:rPr>
      </w:pPr>
      <w:r>
        <w:rPr>
          <w:rFonts w:eastAsia="Times New Roman"/>
          <w:color w:val="000000"/>
          <w:sz w:val="20"/>
          <w:szCs w:val="20"/>
        </w:rPr>
        <w:t>In addition, upon the completion of the Venerabl</w:t>
      </w:r>
      <w:r>
        <w:rPr>
          <w:rFonts w:eastAsia="Times New Roman"/>
          <w:color w:val="000000"/>
          <w:sz w:val="20"/>
          <w:szCs w:val="20"/>
        </w:rPr>
        <w:t>e Transaction, EIMG acquired an approximate 9.09% equity interest in Venerable’s parent holding company, VA Capital Company LLC. In connection with such investment, EIMG designated a member to the Board of Managers of VA Capital Company LLC.</w:t>
      </w:r>
    </w:p>
    <w:p w:rsidR="00000000" w:rsidRDefault="005B0BC3">
      <w:pPr>
        <w:divId w:val="622349559"/>
        <w:rPr>
          <w:rFonts w:eastAsia="Times New Roman"/>
        </w:rPr>
      </w:pPr>
    </w:p>
    <w:p w:rsidR="00000000" w:rsidRDefault="005B0BC3">
      <w:pPr>
        <w:divId w:val="1179076813"/>
        <w:rPr>
          <w:rFonts w:eastAsia="Times New Roman"/>
        </w:rPr>
      </w:pPr>
      <w:r>
        <w:rPr>
          <w:rFonts w:eastAsia="Times New Roman"/>
          <w:b/>
          <w:bCs/>
          <w:color w:val="000000"/>
          <w:sz w:val="20"/>
          <w:szCs w:val="20"/>
        </w:rPr>
        <w:t>2)     SIGNI</w:t>
      </w:r>
      <w:r>
        <w:rPr>
          <w:rFonts w:eastAsia="Times New Roman"/>
          <w:b/>
          <w:bCs/>
          <w:color w:val="000000"/>
          <w:sz w:val="20"/>
          <w:szCs w:val="20"/>
        </w:rPr>
        <w:t xml:space="preserve">FICANT ACCOUNTING POLICIES </w:t>
      </w:r>
    </w:p>
    <w:p w:rsidR="00000000" w:rsidRDefault="005B0BC3">
      <w:pPr>
        <w:divId w:val="2072847942"/>
        <w:rPr>
          <w:rFonts w:eastAsia="Times New Roman"/>
        </w:rPr>
      </w:pPr>
      <w:r>
        <w:rPr>
          <w:rFonts w:eastAsia="Times New Roman"/>
          <w:color w:val="000000"/>
          <w:sz w:val="20"/>
          <w:szCs w:val="20"/>
          <w:u w:val="single"/>
        </w:rPr>
        <w:t>Basis of Presentation and Principles of Consolidation</w:t>
      </w:r>
    </w:p>
    <w:p w:rsidR="00000000" w:rsidRDefault="005B0BC3">
      <w:pPr>
        <w:divId w:val="1639797192"/>
        <w:rPr>
          <w:rFonts w:eastAsia="Times New Roman"/>
        </w:rPr>
      </w:pPr>
      <w:r>
        <w:rPr>
          <w:rFonts w:eastAsia="Times New Roman"/>
          <w:color w:val="000000"/>
          <w:sz w:val="20"/>
          <w:szCs w:val="20"/>
        </w:rPr>
        <w:t>The preparation of the accompanying consolidated financial statements in conformity with U.S. GAAP requires management to make estimates and assumptions (including normal, re</w:t>
      </w:r>
      <w:r>
        <w:rPr>
          <w:rFonts w:eastAsia="Times New Roman"/>
          <w:color w:val="000000"/>
          <w:sz w:val="20"/>
          <w:szCs w:val="20"/>
        </w:rPr>
        <w:t>curring accruals) that affect the reported amounts of assets and liabilities and the disclosure of contingent assets and liabilities at the date of the consolidated financial statements and the reported amounts of revenues and expenses during the reporting</w:t>
      </w:r>
      <w:r>
        <w:rPr>
          <w:rFonts w:eastAsia="Times New Roman"/>
          <w:color w:val="000000"/>
          <w:sz w:val="20"/>
          <w:szCs w:val="20"/>
        </w:rPr>
        <w:t xml:space="preserve"> periods. Actual results could differ from these estimates. </w:t>
      </w:r>
    </w:p>
    <w:p w:rsidR="00000000" w:rsidRDefault="005B0BC3">
      <w:pPr>
        <w:divId w:val="1974796777"/>
        <w:rPr>
          <w:rFonts w:eastAsia="Times New Roman"/>
        </w:rPr>
      </w:pPr>
      <w:r>
        <w:rPr>
          <w:rFonts w:eastAsia="Times New Roman"/>
          <w:color w:val="000000"/>
          <w:sz w:val="20"/>
          <w:szCs w:val="20"/>
        </w:rPr>
        <w:t>The accompanying consolidated financial statements present the consolidated results of operations, financial condition, and cash flows of the Company and its subsidiaries and those investment com</w:t>
      </w:r>
      <w:r>
        <w:rPr>
          <w:rFonts w:eastAsia="Times New Roman"/>
          <w:color w:val="000000"/>
          <w:sz w:val="20"/>
          <w:szCs w:val="20"/>
        </w:rPr>
        <w:t xml:space="preserve">panies, partnerships and joint ventures in which the Company has control and a majority economic interest as well as those VIEs that meet the requirements for consolidation. </w:t>
      </w:r>
    </w:p>
    <w:p w:rsidR="00000000" w:rsidRDefault="005B0BC3">
      <w:pPr>
        <w:divId w:val="1084104401"/>
        <w:rPr>
          <w:rFonts w:eastAsia="Times New Roman"/>
        </w:rPr>
      </w:pPr>
      <w:r>
        <w:rPr>
          <w:rFonts w:eastAsia="Times New Roman"/>
          <w:color w:val="000000"/>
          <w:sz w:val="20"/>
          <w:szCs w:val="20"/>
        </w:rPr>
        <w:t>Financial results in the historical consolidated financial statements may not be indicative of the results of operations, comprehensive income (loss), financial position, equity or cash flows that would have been achieved had we operated as a separate, sta</w:t>
      </w:r>
      <w:r>
        <w:rPr>
          <w:rFonts w:eastAsia="Times New Roman"/>
          <w:color w:val="000000"/>
          <w:sz w:val="20"/>
          <w:szCs w:val="20"/>
        </w:rPr>
        <w:t>ndalone entity during the reporting periods presented. We believe that the consolidated financial statements include all adjustments necessary for a fair presentation of the results of operations of the Company.</w:t>
      </w:r>
    </w:p>
    <w:p w:rsidR="00000000" w:rsidRDefault="005B0BC3">
      <w:pPr>
        <w:divId w:val="1514145995"/>
        <w:rPr>
          <w:rFonts w:eastAsia="Times New Roman"/>
        </w:rPr>
      </w:pPr>
      <w:r>
        <w:rPr>
          <w:rFonts w:eastAsia="Times New Roman"/>
          <w:color w:val="000000"/>
          <w:sz w:val="20"/>
          <w:szCs w:val="20"/>
        </w:rPr>
        <w:t>All significant intercompany transactions an</w:t>
      </w:r>
      <w:r>
        <w:rPr>
          <w:rFonts w:eastAsia="Times New Roman"/>
          <w:color w:val="000000"/>
          <w:sz w:val="20"/>
          <w:szCs w:val="20"/>
        </w:rPr>
        <w:t>d balances have been eliminated in consolidation. The years “2021”, “2020” and “2019” refer to the years ended December 31, 2021, 2020 and 2019, respectively.</w:t>
      </w:r>
    </w:p>
    <w:p w:rsidR="00000000" w:rsidRDefault="005B0BC3">
      <w:pPr>
        <w:divId w:val="1564565786"/>
        <w:rPr>
          <w:rFonts w:eastAsia="Times New Roman"/>
        </w:rPr>
      </w:pPr>
      <w:r>
        <w:rPr>
          <w:rFonts w:eastAsia="Times New Roman"/>
          <w:color w:val="000000"/>
          <w:sz w:val="20"/>
          <w:szCs w:val="20"/>
          <w:u w:val="single"/>
        </w:rPr>
        <w:t>Adoption of New Accounting Pronouncements</w:t>
      </w:r>
    </w:p>
    <w:tbl>
      <w:tblPr>
        <w:tblW w:w="4868" w:type="pct"/>
        <w:tblCellMar>
          <w:top w:w="15" w:type="dxa"/>
          <w:left w:w="15" w:type="dxa"/>
          <w:bottom w:w="15" w:type="dxa"/>
          <w:right w:w="15" w:type="dxa"/>
        </w:tblCellMar>
        <w:tblLook w:val="04A0" w:firstRow="1" w:lastRow="0" w:firstColumn="1" w:lastColumn="0" w:noHBand="0" w:noVBand="1"/>
      </w:tblPr>
      <w:tblGrid>
        <w:gridCol w:w="65"/>
        <w:gridCol w:w="3887"/>
        <w:gridCol w:w="36"/>
        <w:gridCol w:w="66"/>
        <w:gridCol w:w="3888"/>
        <w:gridCol w:w="37"/>
        <w:gridCol w:w="36"/>
        <w:gridCol w:w="36"/>
        <w:gridCol w:w="36"/>
      </w:tblGrid>
      <w:tr w:rsidR="00000000">
        <w:trPr>
          <w:divId w:val="1303583740"/>
        </w:trPr>
        <w:tc>
          <w:tcPr>
            <w:tcW w:w="50" w:type="pct"/>
            <w:vAlign w:val="center"/>
            <w:hideMark/>
          </w:tcPr>
          <w:p w:rsidR="00000000" w:rsidRDefault="005B0BC3">
            <w:pPr>
              <w:rPr>
                <w:rFonts w:eastAsia="Times New Roman"/>
              </w:rPr>
            </w:pPr>
          </w:p>
        </w:tc>
        <w:tc>
          <w:tcPr>
            <w:tcW w:w="244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244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303583740"/>
        </w:trPr>
        <w:tc>
          <w:tcPr>
            <w:tcW w:w="0" w:type="auto"/>
            <w:gridSpan w:val="3"/>
            <w:tcBorders>
              <w:top w:val="single" w:sz="4" w:space="0" w:color="000000"/>
              <w:left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Description</w:t>
            </w:r>
          </w:p>
        </w:tc>
        <w:tc>
          <w:tcPr>
            <w:tcW w:w="0" w:type="auto"/>
            <w:gridSpan w:val="3"/>
            <w:tcBorders>
              <w:top w:val="single" w:sz="4" w:space="0" w:color="000000"/>
              <w:left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Effect on the Financial Statement or Other Significant Matters</w:t>
            </w:r>
          </w:p>
        </w:tc>
        <w:tc>
          <w:tcPr>
            <w:tcW w:w="0" w:type="auto"/>
            <w:gridSpan w:val="3"/>
            <w:vAlign w:val="center"/>
            <w:hideMark/>
          </w:tcPr>
          <w:p w:rsidR="00000000" w:rsidRDefault="005B0BC3">
            <w:pPr>
              <w:spacing w:after="100"/>
              <w:jc w:val="center"/>
              <w:rPr>
                <w:rFonts w:eastAsia="Times New Roman"/>
              </w:rPr>
            </w:pPr>
          </w:p>
        </w:tc>
      </w:tr>
      <w:tr w:rsidR="00000000">
        <w:trPr>
          <w:divId w:val="1303583740"/>
        </w:trPr>
        <w:tc>
          <w:tcPr>
            <w:tcW w:w="0" w:type="auto"/>
            <w:gridSpan w:val="6"/>
            <w:tcBorders>
              <w:top w:val="single" w:sz="4" w:space="0" w:color="000000"/>
              <w:left w:val="single" w:sz="4" w:space="0" w:color="000000"/>
              <w:right w:val="single" w:sz="4" w:space="0" w:color="000000"/>
            </w:tcBorders>
            <w:tcMar>
              <w:top w:w="30" w:type="dxa"/>
              <w:left w:w="20" w:type="dxa"/>
              <w:bottom w:w="30" w:type="dxa"/>
              <w:right w:w="740" w:type="dxa"/>
            </w:tcMar>
            <w:hideMark/>
          </w:tcPr>
          <w:p w:rsidR="00000000" w:rsidRDefault="005B0BC3">
            <w:pPr>
              <w:spacing w:after="100"/>
              <w:jc w:val="both"/>
              <w:rPr>
                <w:rFonts w:eastAsia="Times New Roman"/>
              </w:rPr>
            </w:pPr>
            <w:r>
              <w:rPr>
                <w:rFonts w:eastAsia="Times New Roman"/>
                <w:i/>
                <w:iCs/>
                <w:color w:val="000000"/>
                <w:sz w:val="18"/>
                <w:szCs w:val="18"/>
              </w:rPr>
              <w:t>ASU 2019-12: Income Taxes (Topic 740): Simplifying the Accounting for Income Taxes</w:t>
            </w:r>
          </w:p>
        </w:tc>
        <w:tc>
          <w:tcPr>
            <w:tcW w:w="0" w:type="auto"/>
            <w:gridSpan w:val="3"/>
            <w:vAlign w:val="center"/>
            <w:hideMark/>
          </w:tcPr>
          <w:p w:rsidR="00000000" w:rsidRDefault="005B0BC3">
            <w:pPr>
              <w:spacing w:after="100"/>
              <w:jc w:val="both"/>
              <w:rPr>
                <w:rFonts w:eastAsia="Times New Roman"/>
              </w:rPr>
            </w:pPr>
          </w:p>
        </w:tc>
      </w:tr>
      <w:tr w:rsidR="00000000">
        <w:trPr>
          <w:divId w:val="1303583740"/>
        </w:trPr>
        <w:tc>
          <w:tcPr>
            <w:tcW w:w="0" w:type="auto"/>
            <w:gridSpan w:val="3"/>
            <w:tcBorders>
              <w:top w:val="single" w:sz="4" w:space="0" w:color="000000"/>
              <w:left w:val="single" w:sz="4" w:space="0" w:color="000000"/>
              <w:bottom w:val="single" w:sz="4" w:space="0" w:color="000000"/>
            </w:tcBorders>
            <w:tcMar>
              <w:top w:w="30" w:type="dxa"/>
              <w:left w:w="20" w:type="dxa"/>
              <w:bottom w:w="30" w:type="dxa"/>
              <w:right w:w="20" w:type="dxa"/>
            </w:tcMar>
            <w:hideMark/>
          </w:tcPr>
          <w:p w:rsidR="00000000" w:rsidRDefault="005B0BC3">
            <w:pPr>
              <w:spacing w:after="100"/>
              <w:jc w:val="both"/>
              <w:rPr>
                <w:rFonts w:eastAsia="Times New Roman"/>
              </w:rPr>
            </w:pPr>
            <w:r>
              <w:rPr>
                <w:rFonts w:eastAsia="Times New Roman"/>
                <w:color w:val="000000"/>
                <w:sz w:val="18"/>
                <w:szCs w:val="18"/>
              </w:rPr>
              <w:t>This ASU simplifies the accounting for income taxes by removing certain exceptions to the general principles in Topic 740, as well as clarifying and amending existing guidance.</w:t>
            </w:r>
          </w:p>
        </w:tc>
        <w:tc>
          <w:tcPr>
            <w:tcW w:w="0" w:type="auto"/>
            <w:gridSpan w:val="3"/>
            <w:tcBorders>
              <w:top w:val="single" w:sz="4" w:space="0" w:color="000000"/>
              <w:left w:val="single" w:sz="4" w:space="0" w:color="000000"/>
              <w:bottom w:val="single" w:sz="4" w:space="0" w:color="000000"/>
              <w:right w:val="single" w:sz="4" w:space="0" w:color="000000"/>
            </w:tcBorders>
            <w:tcMar>
              <w:top w:w="30" w:type="dxa"/>
              <w:left w:w="20" w:type="dxa"/>
              <w:bottom w:w="30" w:type="dxa"/>
              <w:right w:w="20" w:type="dxa"/>
            </w:tcMar>
            <w:hideMark/>
          </w:tcPr>
          <w:p w:rsidR="00000000" w:rsidRDefault="005B0BC3">
            <w:pPr>
              <w:spacing w:after="100"/>
              <w:jc w:val="both"/>
              <w:rPr>
                <w:rFonts w:eastAsia="Times New Roman"/>
              </w:rPr>
            </w:pPr>
            <w:r>
              <w:rPr>
                <w:rFonts w:eastAsia="Times New Roman"/>
                <w:color w:val="000000"/>
                <w:sz w:val="18"/>
                <w:szCs w:val="18"/>
              </w:rPr>
              <w:t xml:space="preserve">On January 1, 2021, the Company adopted the new accounting standards update. </w:t>
            </w:r>
            <w:r>
              <w:rPr>
                <w:rFonts w:eastAsia="Times New Roman"/>
                <w:color w:val="000000"/>
                <w:sz w:val="18"/>
                <w:szCs w:val="18"/>
              </w:rPr>
              <w:t xml:space="preserve">The new guidance was applied either on a retrospective, modified retrospective or prospective basis based on the items to which the amendments relate. The adoption did not have a material impact on the Company’s consolidated financial position, results of </w:t>
            </w:r>
            <w:r>
              <w:rPr>
                <w:rFonts w:eastAsia="Times New Roman"/>
                <w:color w:val="000000"/>
                <w:sz w:val="18"/>
                <w:szCs w:val="18"/>
              </w:rPr>
              <w:t>operations and cash flows as of the adoption date.</w:t>
            </w:r>
          </w:p>
        </w:tc>
        <w:tc>
          <w:tcPr>
            <w:tcW w:w="0" w:type="auto"/>
            <w:gridSpan w:val="3"/>
            <w:vAlign w:val="center"/>
            <w:hideMark/>
          </w:tcPr>
          <w:p w:rsidR="00000000" w:rsidRDefault="005B0BC3">
            <w:pPr>
              <w:spacing w:after="100"/>
              <w:jc w:val="both"/>
              <w:rPr>
                <w:rFonts w:eastAsia="Times New Roman"/>
              </w:rPr>
            </w:pPr>
          </w:p>
        </w:tc>
      </w:tr>
      <w:tr w:rsidR="00000000">
        <w:trPr>
          <w:divId w:val="1303583740"/>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303583740"/>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303583740"/>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303583740"/>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303583740"/>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303583740"/>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bl>
    <w:p w:rsidR="00000000" w:rsidRDefault="005B0BC3">
      <w:pPr>
        <w:divId w:val="680351322"/>
        <w:rPr>
          <w:rFonts w:eastAsia="Times New Roman"/>
        </w:rPr>
      </w:pPr>
      <w:r>
        <w:rPr>
          <w:rFonts w:eastAsia="Times New Roman"/>
          <w:color w:val="000000"/>
          <w:sz w:val="20"/>
          <w:szCs w:val="20"/>
          <w:u w:val="single"/>
        </w:rPr>
        <w:t>Future Adoption of New Accounting Pronouncements</w:t>
      </w:r>
    </w:p>
    <w:tbl>
      <w:tblPr>
        <w:tblW w:w="4912" w:type="pct"/>
        <w:tblCellMar>
          <w:top w:w="15" w:type="dxa"/>
          <w:left w:w="15" w:type="dxa"/>
          <w:bottom w:w="15" w:type="dxa"/>
          <w:right w:w="15" w:type="dxa"/>
        </w:tblCellMar>
        <w:tblLook w:val="04A0" w:firstRow="1" w:lastRow="0" w:firstColumn="1" w:lastColumn="0" w:noHBand="0" w:noVBand="1"/>
      </w:tblPr>
      <w:tblGrid>
        <w:gridCol w:w="67"/>
        <w:gridCol w:w="2567"/>
        <w:gridCol w:w="36"/>
        <w:gridCol w:w="67"/>
        <w:gridCol w:w="2568"/>
        <w:gridCol w:w="36"/>
        <w:gridCol w:w="68"/>
        <w:gridCol w:w="2715"/>
        <w:gridCol w:w="36"/>
      </w:tblGrid>
      <w:tr w:rsidR="00000000">
        <w:trPr>
          <w:divId w:val="680351322"/>
        </w:trPr>
        <w:tc>
          <w:tcPr>
            <w:tcW w:w="50" w:type="pct"/>
            <w:vAlign w:val="center"/>
            <w:hideMark/>
          </w:tcPr>
          <w:p w:rsidR="00000000" w:rsidRDefault="005B0BC3">
            <w:pPr>
              <w:rPr>
                <w:rFonts w:eastAsia="Times New Roman"/>
              </w:rPr>
            </w:pPr>
          </w:p>
        </w:tc>
        <w:tc>
          <w:tcPr>
            <w:tcW w:w="158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158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167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680351322"/>
        </w:trPr>
        <w:tc>
          <w:tcPr>
            <w:tcW w:w="0" w:type="auto"/>
            <w:gridSpan w:val="3"/>
            <w:tcBorders>
              <w:top w:val="single" w:sz="4" w:space="0" w:color="000000"/>
              <w:left w:val="single" w:sz="4"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Description</w:t>
            </w:r>
          </w:p>
        </w:tc>
        <w:tc>
          <w:tcPr>
            <w:tcW w:w="0" w:type="auto"/>
            <w:gridSpan w:val="3"/>
            <w:tcBorders>
              <w:top w:val="single" w:sz="4" w:space="0" w:color="000000"/>
              <w:left w:val="single" w:sz="4"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Effective Date and Method of Adoption</w:t>
            </w:r>
          </w:p>
        </w:tc>
        <w:tc>
          <w:tcPr>
            <w:tcW w:w="0" w:type="auto"/>
            <w:gridSpan w:val="3"/>
            <w:tcBorders>
              <w:top w:val="single" w:sz="4" w:space="0" w:color="000000"/>
              <w:left w:val="single" w:sz="4" w:space="0" w:color="000000"/>
              <w:bottom w:val="single" w:sz="8" w:space="0" w:color="000000"/>
              <w:right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Effect on the Financial Statement or Other Significant Matters</w:t>
            </w:r>
          </w:p>
        </w:tc>
      </w:tr>
      <w:tr w:rsidR="00000000">
        <w:trPr>
          <w:divId w:val="680351322"/>
        </w:trPr>
        <w:tc>
          <w:tcPr>
            <w:tcW w:w="0" w:type="auto"/>
            <w:gridSpan w:val="9"/>
            <w:tcBorders>
              <w:top w:val="single" w:sz="8" w:space="0" w:color="000000"/>
              <w:left w:val="single" w:sz="8" w:space="0" w:color="000000"/>
              <w:bottom w:val="single" w:sz="4" w:space="0" w:color="000000"/>
              <w:right w:val="single" w:sz="8" w:space="0" w:color="000000"/>
            </w:tcBorders>
            <w:tcMar>
              <w:top w:w="30" w:type="dxa"/>
              <w:left w:w="20" w:type="dxa"/>
              <w:bottom w:w="30" w:type="dxa"/>
              <w:right w:w="20" w:type="dxa"/>
            </w:tcMar>
            <w:hideMark/>
          </w:tcPr>
          <w:p w:rsidR="00000000" w:rsidRDefault="005B0BC3">
            <w:pPr>
              <w:spacing w:after="100"/>
              <w:rPr>
                <w:rFonts w:eastAsia="Times New Roman"/>
              </w:rPr>
            </w:pPr>
            <w:r>
              <w:rPr>
                <w:rFonts w:eastAsia="Times New Roman"/>
                <w:i/>
                <w:iCs/>
                <w:color w:val="000000"/>
                <w:sz w:val="18"/>
                <w:szCs w:val="18"/>
              </w:rPr>
              <w:t>ASU 2018-12: Financial Services - Insurance (Topic 944); ASU 2020-11: Financial Services - Insurance (Topic 944): Effective Date and Early Applicati</w:t>
            </w:r>
            <w:r>
              <w:rPr>
                <w:rFonts w:eastAsia="Times New Roman"/>
                <w:i/>
                <w:iCs/>
                <w:color w:val="000000"/>
                <w:sz w:val="18"/>
                <w:szCs w:val="18"/>
              </w:rPr>
              <w:t>on</w:t>
            </w:r>
          </w:p>
        </w:tc>
      </w:tr>
    </w:tbl>
    <w:p w:rsidR="00000000" w:rsidRDefault="005B0BC3">
      <w:pPr>
        <w:jc w:val="center"/>
        <w:divId w:val="1763526401"/>
        <w:rPr>
          <w:rFonts w:eastAsia="Times New Roman"/>
        </w:rPr>
      </w:pPr>
    </w:p>
    <w:p w:rsidR="00000000" w:rsidRDefault="005B0BC3">
      <w:pPr>
        <w:jc w:val="center"/>
        <w:divId w:val="1763526401"/>
        <w:rPr>
          <w:rFonts w:eastAsia="Times New Roman"/>
        </w:rPr>
      </w:pPr>
      <w:r>
        <w:rPr>
          <w:rFonts w:eastAsia="Times New Roman"/>
          <w:color w:val="000000"/>
          <w:sz w:val="20"/>
          <w:szCs w:val="20"/>
        </w:rPr>
        <w:t>139</w:t>
      </w:r>
    </w:p>
    <w:p w:rsidR="00000000" w:rsidRDefault="005B0BC3">
      <w:pPr>
        <w:rPr>
          <w:rFonts w:eastAsia="Times New Roman"/>
        </w:rPr>
      </w:pPr>
      <w:r>
        <w:rPr>
          <w:rFonts w:eastAsia="Times New Roman"/>
        </w:rPr>
        <w:pict>
          <v:rect id="_x0000_i1177" style="width:0;height:1.5pt" o:hralign="center" o:hrstd="t" o:hr="t" fillcolor="#a0a0a0" stroked="f"/>
        </w:pict>
      </w:r>
    </w:p>
    <w:p w:rsidR="00000000" w:rsidRDefault="005B0BC3">
      <w:pPr>
        <w:jc w:val="center"/>
        <w:divId w:val="1085608089"/>
        <w:rPr>
          <w:rFonts w:eastAsia="Times New Roman"/>
        </w:rPr>
      </w:pPr>
      <w:r>
        <w:rPr>
          <w:rFonts w:eastAsia="Times New Roman"/>
          <w:b/>
          <w:bCs/>
          <w:color w:val="000000"/>
          <w:sz w:val="20"/>
          <w:szCs w:val="20"/>
        </w:rPr>
        <w:t>EQUITABLE HOLDINGS, INC.</w:t>
      </w:r>
    </w:p>
    <w:p w:rsidR="00000000" w:rsidRDefault="005B0BC3">
      <w:pPr>
        <w:jc w:val="center"/>
        <w:divId w:val="1085608089"/>
        <w:rPr>
          <w:rFonts w:eastAsia="Times New Roman"/>
        </w:rPr>
      </w:pPr>
      <w:r>
        <w:rPr>
          <w:rFonts w:eastAsia="Times New Roman"/>
          <w:b/>
          <w:bCs/>
          <w:color w:val="000000"/>
          <w:sz w:val="20"/>
          <w:szCs w:val="20"/>
        </w:rPr>
        <w:t>NOTES TO CONSOLIDATED FINANCIAL STATEMENTS, continued</w:t>
      </w:r>
    </w:p>
    <w:tbl>
      <w:tblPr>
        <w:tblW w:w="4912" w:type="pct"/>
        <w:tblCellMar>
          <w:top w:w="15" w:type="dxa"/>
          <w:left w:w="15" w:type="dxa"/>
          <w:bottom w:w="15" w:type="dxa"/>
          <w:right w:w="15" w:type="dxa"/>
        </w:tblCellMar>
        <w:tblLook w:val="04A0" w:firstRow="1" w:lastRow="0" w:firstColumn="1" w:lastColumn="0" w:noHBand="0" w:noVBand="1"/>
      </w:tblPr>
      <w:tblGrid>
        <w:gridCol w:w="67"/>
        <w:gridCol w:w="2567"/>
        <w:gridCol w:w="36"/>
        <w:gridCol w:w="67"/>
        <w:gridCol w:w="2567"/>
        <w:gridCol w:w="37"/>
        <w:gridCol w:w="67"/>
        <w:gridCol w:w="2715"/>
        <w:gridCol w:w="37"/>
      </w:tblGrid>
      <w:tr w:rsidR="00000000">
        <w:trPr>
          <w:divId w:val="259417544"/>
        </w:trPr>
        <w:tc>
          <w:tcPr>
            <w:tcW w:w="50" w:type="pct"/>
            <w:vAlign w:val="center"/>
            <w:hideMark/>
          </w:tcPr>
          <w:p w:rsidR="00000000" w:rsidRDefault="005B0BC3">
            <w:pPr>
              <w:jc w:val="center"/>
              <w:rPr>
                <w:rFonts w:eastAsia="Times New Roman"/>
              </w:rPr>
            </w:pPr>
          </w:p>
        </w:tc>
        <w:tc>
          <w:tcPr>
            <w:tcW w:w="158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158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167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259417544"/>
        </w:trPr>
        <w:tc>
          <w:tcPr>
            <w:tcW w:w="0" w:type="auto"/>
            <w:gridSpan w:val="3"/>
            <w:tcBorders>
              <w:top w:val="single" w:sz="4" w:space="0" w:color="000000"/>
              <w:left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Description</w:t>
            </w:r>
          </w:p>
        </w:tc>
        <w:tc>
          <w:tcPr>
            <w:tcW w:w="0" w:type="auto"/>
            <w:gridSpan w:val="3"/>
            <w:tcBorders>
              <w:top w:val="single" w:sz="4" w:space="0" w:color="000000"/>
              <w:left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Effective Date and Method of Adoption</w:t>
            </w:r>
          </w:p>
        </w:tc>
        <w:tc>
          <w:tcPr>
            <w:tcW w:w="0" w:type="auto"/>
            <w:gridSpan w:val="3"/>
            <w:tcBorders>
              <w:top w:val="single" w:sz="4" w:space="0" w:color="000000"/>
              <w:left w:val="single" w:sz="4" w:space="0" w:color="000000"/>
              <w:right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Effect on the Financial Statement or Other Significant Matters</w:t>
            </w:r>
          </w:p>
        </w:tc>
      </w:tr>
      <w:tr w:rsidR="00000000">
        <w:trPr>
          <w:divId w:val="259417544"/>
        </w:trPr>
        <w:tc>
          <w:tcPr>
            <w:tcW w:w="0" w:type="auto"/>
            <w:gridSpan w:val="3"/>
            <w:tcBorders>
              <w:top w:val="single" w:sz="4" w:space="0" w:color="000000"/>
              <w:left w:val="single" w:sz="4" w:space="0" w:color="000000"/>
            </w:tcBorders>
            <w:tcMar>
              <w:top w:w="30" w:type="dxa"/>
              <w:left w:w="20" w:type="dxa"/>
              <w:bottom w:w="30" w:type="dxa"/>
              <w:right w:w="20" w:type="dxa"/>
            </w:tcMar>
            <w:hideMark/>
          </w:tcPr>
          <w:p w:rsidR="00000000" w:rsidRDefault="005B0BC3">
            <w:pPr>
              <w:spacing w:after="100"/>
              <w:jc w:val="both"/>
              <w:divId w:val="1001740357"/>
              <w:rPr>
                <w:rFonts w:eastAsia="Times New Roman"/>
              </w:rPr>
            </w:pPr>
            <w:r>
              <w:rPr>
                <w:rFonts w:eastAsia="Times New Roman"/>
                <w:color w:val="000000"/>
                <w:sz w:val="18"/>
                <w:szCs w:val="18"/>
              </w:rPr>
              <w:t>This ASU provides targeted improvements to existing recognition, measurement, presentation, and disclosure requirements for long-duration contracts issued by an insurance entity. The ASU pr</w:t>
            </w:r>
            <w:r>
              <w:rPr>
                <w:rFonts w:eastAsia="Times New Roman"/>
                <w:color w:val="000000"/>
                <w:sz w:val="18"/>
                <w:szCs w:val="18"/>
              </w:rPr>
              <w:t>imarily impacts four key areas, including:</w:t>
            </w:r>
          </w:p>
          <w:p w:rsidR="00000000" w:rsidRDefault="005B0BC3">
            <w:pPr>
              <w:spacing w:after="100"/>
              <w:jc w:val="both"/>
              <w:divId w:val="1952517578"/>
              <w:rPr>
                <w:rFonts w:eastAsia="Times New Roman"/>
              </w:rPr>
            </w:pPr>
            <w:r>
              <w:rPr>
                <w:rFonts w:eastAsia="Times New Roman"/>
                <w:color w:val="000000"/>
                <w:sz w:val="18"/>
                <w:szCs w:val="18"/>
              </w:rPr>
              <w:t>1. Measurement of the liability for future policy benefits for traditional and limited payment contracts. The ASU requires companies to review, and if necessary, update cash flow assumptions at least annually for non-participating traditional and limited-p</w:t>
            </w:r>
            <w:r>
              <w:rPr>
                <w:rFonts w:eastAsia="Times New Roman"/>
                <w:color w:val="000000"/>
                <w:sz w:val="18"/>
                <w:szCs w:val="18"/>
              </w:rPr>
              <w:t>ayment insurance contracts. The ASU also prescribes the discount rate to be used in measuring the liability for future policy benefits for traditional and limited payment long-duration contracts.</w:t>
            </w:r>
          </w:p>
          <w:p w:rsidR="00000000" w:rsidRDefault="005B0BC3">
            <w:pPr>
              <w:spacing w:after="100"/>
              <w:jc w:val="both"/>
              <w:rPr>
                <w:rFonts w:eastAsia="Times New Roman"/>
              </w:rPr>
            </w:pPr>
          </w:p>
          <w:p w:rsidR="00000000" w:rsidRDefault="005B0BC3">
            <w:pPr>
              <w:spacing w:after="100"/>
              <w:jc w:val="both"/>
              <w:rPr>
                <w:rFonts w:eastAsia="Times New Roman"/>
              </w:rPr>
            </w:pPr>
            <w:r>
              <w:rPr>
                <w:rFonts w:eastAsia="Times New Roman"/>
                <w:color w:val="000000"/>
                <w:sz w:val="18"/>
                <w:szCs w:val="18"/>
              </w:rPr>
              <w:t>2. Measurement of MRBs. MRBs, as defined under the ASU, wi</w:t>
            </w:r>
            <w:r>
              <w:rPr>
                <w:rFonts w:eastAsia="Times New Roman"/>
                <w:color w:val="000000"/>
                <w:sz w:val="18"/>
                <w:szCs w:val="18"/>
              </w:rPr>
              <w:t xml:space="preserve">ll encompass certain GMxB features associated with variable annuity products and other general account annuities with other than nominal market risk. </w:t>
            </w:r>
          </w:p>
          <w:p w:rsidR="00000000" w:rsidRDefault="005B0BC3">
            <w:pPr>
              <w:spacing w:after="100"/>
              <w:jc w:val="both"/>
              <w:rPr>
                <w:rFonts w:eastAsia="Times New Roman"/>
              </w:rPr>
            </w:pPr>
          </w:p>
          <w:p w:rsidR="00000000" w:rsidRDefault="005B0BC3">
            <w:pPr>
              <w:spacing w:after="100"/>
              <w:jc w:val="both"/>
              <w:rPr>
                <w:rFonts w:eastAsia="Times New Roman"/>
              </w:rPr>
            </w:pPr>
            <w:r>
              <w:rPr>
                <w:rFonts w:eastAsia="Times New Roman"/>
                <w:color w:val="000000"/>
                <w:sz w:val="18"/>
                <w:szCs w:val="18"/>
              </w:rPr>
              <w:t>3. Amortization of deferred acquisition costs. The ASU simplifies the amortization of deferred acquisit</w:t>
            </w:r>
            <w:r>
              <w:rPr>
                <w:rFonts w:eastAsia="Times New Roman"/>
                <w:color w:val="000000"/>
                <w:sz w:val="18"/>
                <w:szCs w:val="18"/>
              </w:rPr>
              <w:t xml:space="preserve">ion costs and other balances amortized in proportion to premiums, gross profits, or gross margins, requiring such balances to be amortized on a constant level basis over the expected term of the contracts. </w:t>
            </w:r>
          </w:p>
          <w:p w:rsidR="00000000" w:rsidRDefault="005B0BC3">
            <w:pPr>
              <w:spacing w:after="100"/>
              <w:jc w:val="both"/>
              <w:rPr>
                <w:rFonts w:eastAsia="Times New Roman"/>
              </w:rPr>
            </w:pPr>
          </w:p>
          <w:p w:rsidR="00000000" w:rsidRDefault="005B0BC3">
            <w:pPr>
              <w:spacing w:after="100"/>
              <w:jc w:val="both"/>
              <w:rPr>
                <w:rFonts w:eastAsia="Times New Roman"/>
              </w:rPr>
            </w:pPr>
            <w:r>
              <w:rPr>
                <w:rFonts w:eastAsia="Times New Roman"/>
                <w:color w:val="000000"/>
                <w:sz w:val="18"/>
                <w:szCs w:val="18"/>
              </w:rPr>
              <w:t> 4. Expanded footnote disclosures. The ASU requ</w:t>
            </w:r>
            <w:r>
              <w:rPr>
                <w:rFonts w:eastAsia="Times New Roman"/>
                <w:color w:val="000000"/>
                <w:sz w:val="18"/>
                <w:szCs w:val="18"/>
              </w:rPr>
              <w:t>ires additional disclosures including information about significant inputs, judgements, assumptions and methods used in measurement</w:t>
            </w:r>
          </w:p>
        </w:tc>
        <w:tc>
          <w:tcPr>
            <w:tcW w:w="0" w:type="auto"/>
            <w:gridSpan w:val="3"/>
            <w:tcBorders>
              <w:top w:val="single" w:sz="4" w:space="0" w:color="000000"/>
              <w:left w:val="single" w:sz="4" w:space="0" w:color="000000"/>
            </w:tcBorders>
            <w:tcMar>
              <w:top w:w="30" w:type="dxa"/>
              <w:left w:w="20" w:type="dxa"/>
              <w:bottom w:w="30" w:type="dxa"/>
              <w:right w:w="20" w:type="dxa"/>
            </w:tcMar>
            <w:hideMark/>
          </w:tcPr>
          <w:p w:rsidR="00000000" w:rsidRDefault="005B0BC3">
            <w:pPr>
              <w:spacing w:after="100"/>
              <w:jc w:val="both"/>
              <w:rPr>
                <w:rFonts w:eastAsia="Times New Roman"/>
              </w:rPr>
            </w:pPr>
            <w:r>
              <w:rPr>
                <w:rFonts w:eastAsia="Times New Roman"/>
                <w:color w:val="000000"/>
                <w:sz w:val="18"/>
                <w:szCs w:val="18"/>
              </w:rPr>
              <w:t>In November 2020, the FASB issued ASU 2020-11 which deferred the effective date of the amendments in ASU 2018-12 for all i</w:t>
            </w:r>
            <w:r>
              <w:rPr>
                <w:rFonts w:eastAsia="Times New Roman"/>
                <w:color w:val="000000"/>
                <w:sz w:val="18"/>
                <w:szCs w:val="18"/>
              </w:rPr>
              <w:t xml:space="preserve">nsurance entities. ASU 2018-12 is effective for fiscal years, and interim periods within those fiscal years, beginning after December 15, 2022. Early adoption is allowed. </w:t>
            </w:r>
            <w:r>
              <w:rPr>
                <w:rFonts w:eastAsia="Times New Roman"/>
                <w:color w:val="000000"/>
                <w:sz w:val="18"/>
                <w:szCs w:val="18"/>
              </w:rPr>
              <w:br/>
            </w:r>
            <w:r>
              <w:rPr>
                <w:rFonts w:eastAsia="Times New Roman"/>
                <w:sz w:val="18"/>
                <w:szCs w:val="18"/>
              </w:rPr>
              <w:br/>
            </w:r>
            <w:r>
              <w:rPr>
                <w:rFonts w:eastAsia="Times New Roman"/>
                <w:color w:val="000000"/>
                <w:sz w:val="18"/>
                <w:szCs w:val="18"/>
              </w:rPr>
              <w:t>For the liability for future policyholder benefits for traditional and limited payment contracts, companies can elect one of two adoption methods. Companies can either elect a modified retrospective transition method applied to contracts in force as of the</w:t>
            </w:r>
            <w:r>
              <w:rPr>
                <w:rFonts w:eastAsia="Times New Roman"/>
                <w:color w:val="000000"/>
                <w:sz w:val="18"/>
                <w:szCs w:val="18"/>
              </w:rPr>
              <w:t xml:space="preserve"> beginning of the earliest period presented on the basis of their existing carrying amounts, adjusted for the removal of any related amounts in AOCI or a full retrospective transition method using actual historical experience information as of contract inc</w:t>
            </w:r>
            <w:r>
              <w:rPr>
                <w:rFonts w:eastAsia="Times New Roman"/>
                <w:color w:val="000000"/>
                <w:sz w:val="18"/>
                <w:szCs w:val="18"/>
              </w:rPr>
              <w:t>eption. The same adoption method must be used for deferred policy acquisition costs.</w:t>
            </w:r>
            <w:r>
              <w:rPr>
                <w:rFonts w:eastAsia="Times New Roman"/>
                <w:color w:val="000000"/>
                <w:sz w:val="18"/>
                <w:szCs w:val="18"/>
              </w:rPr>
              <w:br/>
            </w:r>
            <w:r>
              <w:rPr>
                <w:rFonts w:eastAsia="Times New Roman"/>
                <w:sz w:val="18"/>
                <w:szCs w:val="18"/>
              </w:rPr>
              <w:br/>
            </w:r>
            <w:r>
              <w:rPr>
                <w:rFonts w:eastAsia="Times New Roman"/>
                <w:color w:val="000000"/>
                <w:sz w:val="18"/>
                <w:szCs w:val="18"/>
              </w:rPr>
              <w:t>For MRBs, the ASU should be applied retrospectively as of the beginning of the earliest period presented.</w:t>
            </w:r>
          </w:p>
        </w:tc>
        <w:tc>
          <w:tcPr>
            <w:tcW w:w="0" w:type="auto"/>
            <w:gridSpan w:val="3"/>
            <w:tcBorders>
              <w:top w:val="single" w:sz="4" w:space="0" w:color="000000"/>
              <w:left w:val="single" w:sz="4" w:space="0" w:color="000000"/>
              <w:right w:val="single" w:sz="4" w:space="0" w:color="000000"/>
            </w:tcBorders>
            <w:tcMar>
              <w:top w:w="30" w:type="dxa"/>
              <w:left w:w="20" w:type="dxa"/>
              <w:bottom w:w="30" w:type="dxa"/>
              <w:right w:w="20" w:type="dxa"/>
            </w:tcMar>
            <w:hideMark/>
          </w:tcPr>
          <w:p w:rsidR="00000000" w:rsidRDefault="005B0BC3">
            <w:pPr>
              <w:spacing w:after="100"/>
              <w:jc w:val="both"/>
              <w:rPr>
                <w:rFonts w:eastAsia="Times New Roman"/>
              </w:rPr>
            </w:pPr>
            <w:r>
              <w:rPr>
                <w:rFonts w:eastAsia="Times New Roman"/>
                <w:color w:val="000000"/>
                <w:sz w:val="18"/>
                <w:szCs w:val="18"/>
              </w:rPr>
              <w:t xml:space="preserve">The Company continues to progress with implementation efforts </w:t>
            </w:r>
            <w:r>
              <w:rPr>
                <w:rFonts w:eastAsia="Times New Roman"/>
                <w:color w:val="000000"/>
                <w:sz w:val="18"/>
                <w:szCs w:val="18"/>
              </w:rPr>
              <w:t>and the evaluation of the impact that adoption of this guidance will have on the Company’s consolidated financial statements. Due to its extensive nature, the adoption of the ASU is expected to have a significant impact on the Company’s consolidated financ</w:t>
            </w:r>
            <w:r>
              <w:rPr>
                <w:rFonts w:eastAsia="Times New Roman"/>
                <w:color w:val="000000"/>
                <w:sz w:val="18"/>
                <w:szCs w:val="18"/>
              </w:rPr>
              <w:t>ial statements, as well as systems, processes and controls. Effective January 1, 2023, the new guidance will be adopted using the modified retrospective approach, except for MRBs which will use the full retrospective approach.</w:t>
            </w:r>
            <w:r>
              <w:rPr>
                <w:rFonts w:eastAsia="Times New Roman"/>
                <w:color w:val="000000"/>
                <w:sz w:val="18"/>
                <w:szCs w:val="18"/>
              </w:rPr>
              <w:br/>
            </w:r>
            <w:r>
              <w:rPr>
                <w:rFonts w:eastAsia="Times New Roman"/>
                <w:sz w:val="18"/>
                <w:szCs w:val="18"/>
              </w:rPr>
              <w:br/>
            </w:r>
            <w:r>
              <w:rPr>
                <w:rFonts w:eastAsia="Times New Roman"/>
                <w:color w:val="000000"/>
                <w:sz w:val="18"/>
                <w:szCs w:val="18"/>
              </w:rPr>
              <w:t>The Company has created a go</w:t>
            </w:r>
            <w:r>
              <w:rPr>
                <w:rFonts w:eastAsia="Times New Roman"/>
                <w:color w:val="000000"/>
                <w:sz w:val="18"/>
                <w:szCs w:val="18"/>
              </w:rPr>
              <w:t>vernance framework and implementation plan to ensure timely adoption of the guidance. In preparation for implementation, the Company continues to refine key accounting policy decisions, modernize processes and update internal controls. These changes includ</w:t>
            </w:r>
            <w:r>
              <w:rPr>
                <w:rFonts w:eastAsia="Times New Roman"/>
                <w:color w:val="000000"/>
                <w:sz w:val="18"/>
                <w:szCs w:val="18"/>
              </w:rPr>
              <w:t>e modifications of actuarial valuation systems, data sourcing, analytical procedures and reporting processes.</w:t>
            </w:r>
            <w:r>
              <w:rPr>
                <w:rFonts w:eastAsia="Times New Roman"/>
                <w:color w:val="000000"/>
                <w:sz w:val="18"/>
                <w:szCs w:val="18"/>
              </w:rPr>
              <w:br/>
            </w:r>
            <w:r>
              <w:rPr>
                <w:rFonts w:eastAsia="Times New Roman"/>
                <w:sz w:val="18"/>
                <w:szCs w:val="18"/>
              </w:rPr>
              <w:br/>
            </w:r>
            <w:r>
              <w:rPr>
                <w:rFonts w:eastAsia="Times New Roman"/>
                <w:color w:val="000000"/>
                <w:sz w:val="18"/>
                <w:szCs w:val="18"/>
              </w:rPr>
              <w:t>The impact on total equity of applying this ASU is estimated to be less than the current amount of reported AOCI as of December 31, 2021. The maj</w:t>
            </w:r>
            <w:r>
              <w:rPr>
                <w:rFonts w:eastAsia="Times New Roman"/>
                <w:color w:val="000000"/>
                <w:sz w:val="18"/>
                <w:szCs w:val="18"/>
              </w:rPr>
              <w:t xml:space="preserve">ority of the total equity impact as of December 31, 2021 is expected to be reflected in AOCI due to decreases in the Company’s estimate of its non-performance risk on variable annuity guarantees accounted for as MRBs for the first time under the guidance. </w:t>
            </w:r>
            <w:r>
              <w:rPr>
                <w:rFonts w:eastAsia="Times New Roman"/>
                <w:color w:val="000000"/>
                <w:sz w:val="18"/>
                <w:szCs w:val="18"/>
              </w:rPr>
              <w:t>The estimated impact to the retained earnings element of total equity as of December 31, 2021, due to accounting for variable annuity guarantees as MRBs that are not currently measured at fair value, is mitigated by the Company’s present use of a near indu</w:t>
            </w:r>
            <w:r>
              <w:rPr>
                <w:rFonts w:eastAsia="Times New Roman"/>
                <w:color w:val="000000"/>
                <w:sz w:val="18"/>
                <w:szCs w:val="18"/>
              </w:rPr>
              <w:t>stry low interest rate assumption of 2.25% on GMIB business. Because movements in equity markets, interest rates and credit spreads are unpredictable and at times volatile, it is possible that the estimated effects of adoption could change materially betwe</w:t>
            </w:r>
            <w:r>
              <w:rPr>
                <w:rFonts w:eastAsia="Times New Roman"/>
                <w:color w:val="000000"/>
                <w:sz w:val="18"/>
                <w:szCs w:val="18"/>
              </w:rPr>
              <w:t xml:space="preserve">en December 31, 2021 and January 1, 2023. </w:t>
            </w:r>
          </w:p>
        </w:tc>
      </w:tr>
    </w:tbl>
    <w:p w:rsidR="00000000" w:rsidRDefault="005B0BC3">
      <w:pPr>
        <w:jc w:val="center"/>
        <w:divId w:val="1072855348"/>
        <w:rPr>
          <w:rFonts w:eastAsia="Times New Roman"/>
        </w:rPr>
      </w:pPr>
      <w:r>
        <w:rPr>
          <w:rFonts w:eastAsia="Times New Roman"/>
          <w:color w:val="000000"/>
          <w:sz w:val="20"/>
          <w:szCs w:val="20"/>
        </w:rPr>
        <w:t>140</w:t>
      </w:r>
    </w:p>
    <w:p w:rsidR="00000000" w:rsidRDefault="005B0BC3">
      <w:pPr>
        <w:rPr>
          <w:rFonts w:eastAsia="Times New Roman"/>
        </w:rPr>
      </w:pPr>
      <w:r>
        <w:rPr>
          <w:rFonts w:eastAsia="Times New Roman"/>
        </w:rPr>
        <w:pict>
          <v:rect id="_x0000_i1178" style="width:0;height:1.5pt" o:hralign="center" o:hrstd="t" o:hr="t" fillcolor="#a0a0a0" stroked="f"/>
        </w:pict>
      </w:r>
    </w:p>
    <w:p w:rsidR="00000000" w:rsidRDefault="005B0BC3">
      <w:pPr>
        <w:jc w:val="center"/>
        <w:divId w:val="2109034070"/>
        <w:rPr>
          <w:rFonts w:eastAsia="Times New Roman"/>
        </w:rPr>
      </w:pPr>
      <w:r>
        <w:rPr>
          <w:rFonts w:eastAsia="Times New Roman"/>
          <w:b/>
          <w:bCs/>
          <w:color w:val="000000"/>
          <w:sz w:val="20"/>
          <w:szCs w:val="20"/>
        </w:rPr>
        <w:t>EQUITABLE HOLDINGS, INC.</w:t>
      </w:r>
    </w:p>
    <w:p w:rsidR="00000000" w:rsidRDefault="005B0BC3">
      <w:pPr>
        <w:jc w:val="center"/>
        <w:divId w:val="2109034070"/>
        <w:rPr>
          <w:rFonts w:eastAsia="Times New Roman"/>
        </w:rPr>
      </w:pPr>
      <w:r>
        <w:rPr>
          <w:rFonts w:eastAsia="Times New Roman"/>
          <w:b/>
          <w:bCs/>
          <w:color w:val="000000"/>
          <w:sz w:val="20"/>
          <w:szCs w:val="20"/>
        </w:rPr>
        <w:t>NOTES TO CONSOLIDATED FINANCIAL STATEMENTS, continued</w:t>
      </w:r>
    </w:p>
    <w:tbl>
      <w:tblPr>
        <w:tblW w:w="4912" w:type="pct"/>
        <w:tblCellMar>
          <w:top w:w="15" w:type="dxa"/>
          <w:left w:w="15" w:type="dxa"/>
          <w:bottom w:w="15" w:type="dxa"/>
          <w:right w:w="15" w:type="dxa"/>
        </w:tblCellMar>
        <w:tblLook w:val="04A0" w:firstRow="1" w:lastRow="0" w:firstColumn="1" w:lastColumn="0" w:noHBand="0" w:noVBand="1"/>
      </w:tblPr>
      <w:tblGrid>
        <w:gridCol w:w="67"/>
        <w:gridCol w:w="2567"/>
        <w:gridCol w:w="37"/>
        <w:gridCol w:w="67"/>
        <w:gridCol w:w="2567"/>
        <w:gridCol w:w="37"/>
        <w:gridCol w:w="67"/>
        <w:gridCol w:w="2714"/>
        <w:gridCol w:w="37"/>
      </w:tblGrid>
      <w:tr w:rsidR="00000000">
        <w:trPr>
          <w:divId w:val="1130374"/>
        </w:trPr>
        <w:tc>
          <w:tcPr>
            <w:tcW w:w="50" w:type="pct"/>
            <w:vAlign w:val="center"/>
            <w:hideMark/>
          </w:tcPr>
          <w:p w:rsidR="00000000" w:rsidRDefault="005B0BC3">
            <w:pPr>
              <w:jc w:val="center"/>
              <w:rPr>
                <w:rFonts w:eastAsia="Times New Roman"/>
              </w:rPr>
            </w:pPr>
          </w:p>
        </w:tc>
        <w:tc>
          <w:tcPr>
            <w:tcW w:w="158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158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167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130374"/>
        </w:trPr>
        <w:tc>
          <w:tcPr>
            <w:tcW w:w="0" w:type="auto"/>
            <w:gridSpan w:val="3"/>
            <w:tcBorders>
              <w:top w:val="single" w:sz="4" w:space="0" w:color="000000"/>
              <w:left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Description</w:t>
            </w:r>
          </w:p>
        </w:tc>
        <w:tc>
          <w:tcPr>
            <w:tcW w:w="0" w:type="auto"/>
            <w:gridSpan w:val="3"/>
            <w:tcBorders>
              <w:top w:val="single" w:sz="4" w:space="0" w:color="000000"/>
              <w:left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Effective Date and Method of Adoption</w:t>
            </w:r>
          </w:p>
        </w:tc>
        <w:tc>
          <w:tcPr>
            <w:tcW w:w="0" w:type="auto"/>
            <w:gridSpan w:val="3"/>
            <w:tcBorders>
              <w:top w:val="single" w:sz="4" w:space="0" w:color="000000"/>
              <w:left w:val="single" w:sz="4" w:space="0" w:color="000000"/>
              <w:right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Effect on the Financial Statement or Other Significant Matters</w:t>
            </w:r>
          </w:p>
        </w:tc>
      </w:tr>
      <w:tr w:rsidR="00000000">
        <w:trPr>
          <w:divId w:val="1130374"/>
        </w:trPr>
        <w:tc>
          <w:tcPr>
            <w:tcW w:w="0" w:type="auto"/>
            <w:gridSpan w:val="9"/>
            <w:tcBorders>
              <w:left w:val="single" w:sz="4" w:space="0" w:color="000000"/>
              <w:right w:val="single" w:sz="4" w:space="0" w:color="000000"/>
            </w:tcBorders>
            <w:tcMar>
              <w:top w:w="30" w:type="dxa"/>
              <w:left w:w="20" w:type="dxa"/>
              <w:bottom w:w="30" w:type="dxa"/>
              <w:right w:w="20" w:type="dxa"/>
            </w:tcMar>
            <w:hideMark/>
          </w:tcPr>
          <w:p w:rsidR="00000000" w:rsidRDefault="005B0BC3">
            <w:pPr>
              <w:spacing w:after="100"/>
              <w:rPr>
                <w:rFonts w:eastAsia="Times New Roman"/>
              </w:rPr>
            </w:pPr>
            <w:r>
              <w:rPr>
                <w:rFonts w:eastAsia="Times New Roman"/>
                <w:i/>
                <w:iCs/>
                <w:color w:val="000000"/>
                <w:sz w:val="18"/>
                <w:szCs w:val="18"/>
              </w:rPr>
              <w:t>ASU2020-04: Reference Rate Reform (Topic 848): Facilitation of the Effects of Reference Rate Reform on Financial Reporting</w:t>
            </w:r>
          </w:p>
        </w:tc>
      </w:tr>
      <w:tr w:rsidR="00000000">
        <w:trPr>
          <w:divId w:val="1130374"/>
        </w:trPr>
        <w:tc>
          <w:tcPr>
            <w:tcW w:w="0" w:type="auto"/>
            <w:gridSpan w:val="3"/>
            <w:tcBorders>
              <w:top w:val="single" w:sz="4" w:space="0" w:color="000000"/>
              <w:left w:val="single" w:sz="4" w:space="0" w:color="000000"/>
              <w:bottom w:val="single" w:sz="4" w:space="0" w:color="000000"/>
            </w:tcBorders>
            <w:tcMar>
              <w:top w:w="30" w:type="dxa"/>
              <w:left w:w="20" w:type="dxa"/>
              <w:bottom w:w="30" w:type="dxa"/>
              <w:right w:w="20" w:type="dxa"/>
            </w:tcMar>
            <w:hideMark/>
          </w:tcPr>
          <w:p w:rsidR="00000000" w:rsidRDefault="005B0BC3">
            <w:pPr>
              <w:spacing w:after="100"/>
              <w:jc w:val="both"/>
              <w:rPr>
                <w:rFonts w:eastAsia="Times New Roman"/>
              </w:rPr>
            </w:pPr>
            <w:r>
              <w:rPr>
                <w:rFonts w:eastAsia="Times New Roman"/>
                <w:color w:val="000000"/>
                <w:sz w:val="18"/>
                <w:szCs w:val="18"/>
              </w:rPr>
              <w:t>The amendments in this ASU provide optional expedients and exceptions to contracts, hedging relationships, and other transactions affected by reference rate reform if certain criteria are met.  The amendments in this ASU apply only to contracts, hedging re</w:t>
            </w:r>
            <w:r>
              <w:rPr>
                <w:rFonts w:eastAsia="Times New Roman"/>
                <w:color w:val="000000"/>
                <w:sz w:val="18"/>
                <w:szCs w:val="18"/>
              </w:rPr>
              <w:t>lationships, and other transactions that reference LIBOR or another reference rate expected to be discontinued because of reference rate reform.</w:t>
            </w:r>
          </w:p>
        </w:tc>
        <w:tc>
          <w:tcPr>
            <w:tcW w:w="0" w:type="auto"/>
            <w:gridSpan w:val="3"/>
            <w:tcBorders>
              <w:top w:val="single" w:sz="4" w:space="0" w:color="000000"/>
              <w:left w:val="single" w:sz="4" w:space="0" w:color="000000"/>
              <w:bottom w:val="single" w:sz="4" w:space="0" w:color="000000"/>
            </w:tcBorders>
            <w:tcMar>
              <w:top w:w="30" w:type="dxa"/>
              <w:left w:w="20" w:type="dxa"/>
              <w:bottom w:w="30" w:type="dxa"/>
              <w:right w:w="20" w:type="dxa"/>
            </w:tcMar>
            <w:hideMark/>
          </w:tcPr>
          <w:p w:rsidR="00000000" w:rsidRDefault="005B0BC3">
            <w:pPr>
              <w:spacing w:after="100"/>
              <w:jc w:val="both"/>
              <w:rPr>
                <w:rFonts w:eastAsia="Times New Roman"/>
              </w:rPr>
            </w:pPr>
            <w:r>
              <w:rPr>
                <w:rFonts w:eastAsia="Times New Roman"/>
                <w:color w:val="000000"/>
                <w:sz w:val="18"/>
                <w:szCs w:val="18"/>
              </w:rPr>
              <w:t>This ASU is effective as of March 12, 2020 through December 31, 2022. On December 15, 2021, the FASB tentativ</w:t>
            </w:r>
            <w:r>
              <w:rPr>
                <w:rFonts w:eastAsia="Times New Roman"/>
                <w:color w:val="000000"/>
                <w:sz w:val="18"/>
                <w:szCs w:val="18"/>
              </w:rPr>
              <w:t xml:space="preserve">ely approved deferring the sunset date of the guidance in Topic 848 to December 31, 2024. </w:t>
            </w:r>
          </w:p>
        </w:tc>
        <w:tc>
          <w:tcPr>
            <w:tcW w:w="0" w:type="auto"/>
            <w:gridSpan w:val="3"/>
            <w:tcBorders>
              <w:top w:val="single" w:sz="4" w:space="0" w:color="000000"/>
              <w:left w:val="single" w:sz="4" w:space="0" w:color="000000"/>
              <w:bottom w:val="single" w:sz="4" w:space="0" w:color="000000"/>
              <w:right w:val="single" w:sz="4" w:space="0" w:color="000000"/>
            </w:tcBorders>
            <w:tcMar>
              <w:top w:w="30" w:type="dxa"/>
              <w:left w:w="20" w:type="dxa"/>
              <w:bottom w:w="30" w:type="dxa"/>
              <w:right w:w="20" w:type="dxa"/>
            </w:tcMar>
            <w:hideMark/>
          </w:tcPr>
          <w:p w:rsidR="00000000" w:rsidRDefault="005B0BC3">
            <w:pPr>
              <w:spacing w:after="100"/>
              <w:jc w:val="both"/>
              <w:rPr>
                <w:rFonts w:eastAsia="Times New Roman"/>
              </w:rPr>
            </w:pPr>
            <w:r>
              <w:rPr>
                <w:rFonts w:eastAsia="Times New Roman"/>
                <w:color w:val="000000"/>
                <w:sz w:val="18"/>
                <w:szCs w:val="18"/>
              </w:rPr>
              <w:t>The Company is currently assessing the applicability of the optional expedients and exceptions provided under the ASU. Management is evaluating the impact that the</w:t>
            </w:r>
            <w:r>
              <w:rPr>
                <w:rFonts w:eastAsia="Times New Roman"/>
                <w:color w:val="000000"/>
                <w:sz w:val="18"/>
                <w:szCs w:val="18"/>
              </w:rPr>
              <w:t xml:space="preserve"> adoption of this guidance will have on the Company’s consolidated financial statements.</w:t>
            </w:r>
          </w:p>
        </w:tc>
      </w:tr>
    </w:tbl>
    <w:p w:rsidR="00000000" w:rsidRDefault="005B0BC3">
      <w:pPr>
        <w:divId w:val="56245870"/>
        <w:rPr>
          <w:rFonts w:eastAsia="Times New Roman"/>
        </w:rPr>
      </w:pPr>
      <w:r>
        <w:rPr>
          <w:rFonts w:eastAsia="Times New Roman"/>
          <w:color w:val="000000"/>
          <w:sz w:val="20"/>
          <w:szCs w:val="20"/>
          <w:u w:val="single"/>
        </w:rPr>
        <w:t>Investments</w:t>
      </w:r>
    </w:p>
    <w:p w:rsidR="00000000" w:rsidRDefault="005B0BC3">
      <w:pPr>
        <w:divId w:val="330185989"/>
        <w:rPr>
          <w:rFonts w:eastAsia="Times New Roman"/>
        </w:rPr>
      </w:pPr>
      <w:r>
        <w:rPr>
          <w:rFonts w:eastAsia="Times New Roman"/>
          <w:color w:val="000000"/>
          <w:sz w:val="20"/>
          <w:szCs w:val="20"/>
        </w:rPr>
        <w:t>The carrying values of fixed maturities classified as AFS are reported at fair value. Changes in fair value are reported in OCI, net of allowance for credit losses, policy related amounts and deferred income taxes. Changes in credit losses are recognized i</w:t>
      </w:r>
      <w:r>
        <w:rPr>
          <w:rFonts w:eastAsia="Times New Roman"/>
          <w:color w:val="000000"/>
          <w:sz w:val="20"/>
          <w:szCs w:val="20"/>
        </w:rPr>
        <w:t>n Investment gains (losses), net. The redeemable preferred stock investments that are reported in fixed maturities include REIT, perpetual preferred stock and redeemable preferred stock. These securities may not have a stated maturity, may not be cumulativ</w:t>
      </w:r>
      <w:r>
        <w:rPr>
          <w:rFonts w:eastAsia="Times New Roman"/>
          <w:color w:val="000000"/>
          <w:sz w:val="20"/>
          <w:szCs w:val="20"/>
        </w:rPr>
        <w:t>e and do not provide for mandatory redemption by the issuer.</w:t>
      </w:r>
      <w:r>
        <w:rPr>
          <w:rFonts w:eastAsia="Times New Roman"/>
          <w:color w:val="00FFFF"/>
          <w:sz w:val="20"/>
          <w:szCs w:val="20"/>
        </w:rPr>
        <w:t xml:space="preserve"> </w:t>
      </w:r>
      <w:r>
        <w:rPr>
          <w:rFonts w:eastAsia="Times New Roman"/>
          <w:color w:val="000000"/>
          <w:sz w:val="20"/>
          <w:szCs w:val="20"/>
        </w:rPr>
        <w:t>Effective January 1, 2021, the Company began classifying certain preferred stock as equity securities to better reflect the economics and nature of these securities. These preferred stock securit</w:t>
      </w:r>
      <w:r>
        <w:rPr>
          <w:rFonts w:eastAsia="Times New Roman"/>
          <w:color w:val="000000"/>
          <w:sz w:val="20"/>
          <w:szCs w:val="20"/>
        </w:rPr>
        <w:t>ies are reported in other equity investments.</w:t>
      </w:r>
    </w:p>
    <w:p w:rsidR="00000000" w:rsidRDefault="005B0BC3">
      <w:pPr>
        <w:divId w:val="210923938"/>
        <w:rPr>
          <w:rFonts w:eastAsia="Times New Roman"/>
        </w:rPr>
      </w:pPr>
      <w:r>
        <w:rPr>
          <w:rFonts w:eastAsia="Times New Roman"/>
          <w:color w:val="000000"/>
          <w:sz w:val="20"/>
          <w:szCs w:val="20"/>
        </w:rPr>
        <w:t>The Company determines the fair values of fixed maturities and equity securities based upon quoted prices in active markets, when available, or through the use of alternative approaches when market quotes are not readily accessible or available. These alte</w:t>
      </w:r>
      <w:r>
        <w:rPr>
          <w:rFonts w:eastAsia="Times New Roman"/>
          <w:color w:val="000000"/>
          <w:sz w:val="20"/>
          <w:szCs w:val="20"/>
        </w:rPr>
        <w:t>rnative approaches include matrix or model pricing and use of independent pricing services, each supported by reference to principal market trades or other observable market assumptions for similar securities. More specifically, the matrix pricing approach</w:t>
      </w:r>
      <w:r>
        <w:rPr>
          <w:rFonts w:eastAsia="Times New Roman"/>
          <w:color w:val="000000"/>
          <w:sz w:val="20"/>
          <w:szCs w:val="20"/>
        </w:rPr>
        <w:t xml:space="preserve"> to fair value is a discounted cash flow methodology that incorporates market interest rates commensurate with the credit quality and duration of the investment. The Company’s management, with the assistance of its investment advisors, evaluates AFS debt s</w:t>
      </w:r>
      <w:r>
        <w:rPr>
          <w:rFonts w:eastAsia="Times New Roman"/>
          <w:color w:val="000000"/>
          <w:sz w:val="20"/>
          <w:szCs w:val="20"/>
        </w:rPr>
        <w:t>ecurities that experienced a decline in fair value below amortized cost for credit losses which are evaluated in accordance with the new financial instruments credit losses guidance. Integral to this review is an assessment made each quarter, on a security</w:t>
      </w:r>
      <w:r>
        <w:rPr>
          <w:rFonts w:eastAsia="Times New Roman"/>
          <w:color w:val="000000"/>
          <w:sz w:val="20"/>
          <w:szCs w:val="20"/>
        </w:rPr>
        <w:t>-by-security basis, by the IUS Committee, of various indicators of credit deterioration to determine whether the investment security has experienced a credit loss. This assessment includes, but is not limited to, consideration of the severity of the unreal</w:t>
      </w:r>
      <w:r>
        <w:rPr>
          <w:rFonts w:eastAsia="Times New Roman"/>
          <w:color w:val="000000"/>
          <w:sz w:val="20"/>
          <w:szCs w:val="20"/>
        </w:rPr>
        <w:t xml:space="preserve">ized loss, failure, if any, of the issuer of the security to make scheduled payments, actions taken by rating agencies, adverse conditions specifically related to the security or sector, and the financial strength, liquidity and continued viability of the </w:t>
      </w:r>
      <w:r>
        <w:rPr>
          <w:rFonts w:eastAsia="Times New Roman"/>
          <w:color w:val="000000"/>
          <w:sz w:val="20"/>
          <w:szCs w:val="20"/>
        </w:rPr>
        <w:t>issuer.</w:t>
      </w:r>
    </w:p>
    <w:p w:rsidR="00000000" w:rsidRDefault="005B0BC3">
      <w:pPr>
        <w:divId w:val="161089358"/>
        <w:rPr>
          <w:rFonts w:eastAsia="Times New Roman"/>
        </w:rPr>
      </w:pPr>
      <w:r>
        <w:rPr>
          <w:rFonts w:eastAsia="Times New Roman"/>
          <w:color w:val="000000"/>
          <w:sz w:val="20"/>
          <w:szCs w:val="20"/>
        </w:rPr>
        <w:t>The Company recognizes an allowance for credit losses on AFS debt securities with a corresponding adjustment to earnings rather than a direct write down that reduces the cost basis of the investment, and credit losses are limited to the amount by w</w:t>
      </w:r>
      <w:r>
        <w:rPr>
          <w:rFonts w:eastAsia="Times New Roman"/>
          <w:color w:val="000000"/>
          <w:sz w:val="20"/>
          <w:szCs w:val="20"/>
        </w:rPr>
        <w:t>hich the security’s amortized cost basis exceeds its fair value. Any improvements in estimated credit losses on AFS debt securities are recognized immediately in earnings. Management does not use the length of time a security has been in an unrealized loss</w:t>
      </w:r>
      <w:r>
        <w:rPr>
          <w:rFonts w:eastAsia="Times New Roman"/>
          <w:color w:val="000000"/>
          <w:sz w:val="20"/>
          <w:szCs w:val="20"/>
        </w:rPr>
        <w:t xml:space="preserve"> position as a factor, either by itself or in combination with other factors, to conclude that a credit loss does not exist. </w:t>
      </w:r>
    </w:p>
    <w:p w:rsidR="00000000" w:rsidRDefault="005B0BC3">
      <w:pPr>
        <w:divId w:val="848562931"/>
        <w:rPr>
          <w:rFonts w:eastAsia="Times New Roman"/>
        </w:rPr>
      </w:pPr>
      <w:r>
        <w:rPr>
          <w:rFonts w:eastAsia="Times New Roman"/>
          <w:color w:val="000000"/>
          <w:sz w:val="20"/>
          <w:szCs w:val="20"/>
        </w:rPr>
        <w:t>When the Company determines that there is more than 50% likelihood that it is not going to recover the principal and interest cash</w:t>
      </w:r>
      <w:r>
        <w:rPr>
          <w:rFonts w:eastAsia="Times New Roman"/>
          <w:color w:val="000000"/>
          <w:sz w:val="20"/>
          <w:szCs w:val="20"/>
        </w:rPr>
        <w:t xml:space="preserve"> flows related to an AFS debt security, the security is placed on nonaccrual status and the Company reverses accrued interest receivable against interest income. Since the nonaccrual policy results in a timely reversal of accrued interest receivable, the C</w:t>
      </w:r>
      <w:r>
        <w:rPr>
          <w:rFonts w:eastAsia="Times New Roman"/>
          <w:color w:val="000000"/>
          <w:sz w:val="20"/>
          <w:szCs w:val="20"/>
        </w:rPr>
        <w:t>ompany does not record an allowance for credit losses on accrued interest receivable.</w:t>
      </w:r>
    </w:p>
    <w:p w:rsidR="00000000" w:rsidRDefault="005B0BC3">
      <w:pPr>
        <w:divId w:val="242297594"/>
        <w:rPr>
          <w:rFonts w:eastAsia="Times New Roman"/>
        </w:rPr>
      </w:pPr>
    </w:p>
    <w:p w:rsidR="00000000" w:rsidRDefault="005B0BC3">
      <w:pPr>
        <w:divId w:val="1287856202"/>
        <w:rPr>
          <w:rFonts w:eastAsia="Times New Roman"/>
        </w:rPr>
      </w:pPr>
      <w:r>
        <w:rPr>
          <w:rFonts w:eastAsia="Times New Roman"/>
          <w:color w:val="000000"/>
          <w:sz w:val="20"/>
          <w:szCs w:val="20"/>
        </w:rPr>
        <w:t>If there is no intent to sell or likely requirement to dispose of the fixed maturity security before its recovery, only the credit loss component of any resulting allow</w:t>
      </w:r>
      <w:r>
        <w:rPr>
          <w:rFonts w:eastAsia="Times New Roman"/>
          <w:color w:val="000000"/>
          <w:sz w:val="20"/>
          <w:szCs w:val="20"/>
        </w:rPr>
        <w:t>ance is recognized in income (loss) and the remainder of the fair value loss is recognized in OCI. The amount of credit loss is the shortfall of the present value of the cash flows expected to be collected as compared to the amortized cost basis of the sec</w:t>
      </w:r>
      <w:r>
        <w:rPr>
          <w:rFonts w:eastAsia="Times New Roman"/>
          <w:color w:val="000000"/>
          <w:sz w:val="20"/>
          <w:szCs w:val="20"/>
        </w:rPr>
        <w:t>urity. The present value is calculated by discounting management’s best estimate of projected future cash flows at the effective interest rate implicit in the debt security at the date of acquisition. Projections of future cash flows are based on assumptio</w:t>
      </w:r>
      <w:r>
        <w:rPr>
          <w:rFonts w:eastAsia="Times New Roman"/>
          <w:color w:val="000000"/>
          <w:sz w:val="20"/>
          <w:szCs w:val="20"/>
        </w:rPr>
        <w:t xml:space="preserve">ns regarding probability of default and estimates regarding the amount and timing of recoveries. These assumptions and estimates require use of management </w:t>
      </w:r>
    </w:p>
    <w:p w:rsidR="00000000" w:rsidRDefault="005B0BC3">
      <w:pPr>
        <w:jc w:val="center"/>
        <w:divId w:val="1292129266"/>
        <w:rPr>
          <w:rFonts w:eastAsia="Times New Roman"/>
        </w:rPr>
      </w:pPr>
      <w:r>
        <w:rPr>
          <w:rFonts w:eastAsia="Times New Roman"/>
          <w:color w:val="000000"/>
          <w:sz w:val="20"/>
          <w:szCs w:val="20"/>
        </w:rPr>
        <w:t>141</w:t>
      </w:r>
    </w:p>
    <w:p w:rsidR="00000000" w:rsidRDefault="005B0BC3">
      <w:pPr>
        <w:rPr>
          <w:rFonts w:eastAsia="Times New Roman"/>
        </w:rPr>
      </w:pPr>
      <w:r>
        <w:rPr>
          <w:rFonts w:eastAsia="Times New Roman"/>
        </w:rPr>
        <w:pict>
          <v:rect id="_x0000_i1179" style="width:0;height:1.5pt" o:hralign="center" o:hrstd="t" o:hr="t" fillcolor="#a0a0a0" stroked="f"/>
        </w:pict>
      </w:r>
    </w:p>
    <w:p w:rsidR="00000000" w:rsidRDefault="005B0BC3">
      <w:pPr>
        <w:jc w:val="center"/>
        <w:divId w:val="1812018001"/>
        <w:rPr>
          <w:rFonts w:eastAsia="Times New Roman"/>
        </w:rPr>
      </w:pPr>
      <w:r>
        <w:rPr>
          <w:rFonts w:eastAsia="Times New Roman"/>
          <w:b/>
          <w:bCs/>
          <w:color w:val="000000"/>
          <w:sz w:val="20"/>
          <w:szCs w:val="20"/>
        </w:rPr>
        <w:t>EQUITABLE HOLDINGS, INC.</w:t>
      </w:r>
    </w:p>
    <w:p w:rsidR="00000000" w:rsidRDefault="005B0BC3">
      <w:pPr>
        <w:jc w:val="center"/>
        <w:divId w:val="1812018001"/>
        <w:rPr>
          <w:rFonts w:eastAsia="Times New Roman"/>
        </w:rPr>
      </w:pPr>
      <w:r>
        <w:rPr>
          <w:rFonts w:eastAsia="Times New Roman"/>
          <w:b/>
          <w:bCs/>
          <w:color w:val="000000"/>
          <w:sz w:val="20"/>
          <w:szCs w:val="20"/>
        </w:rPr>
        <w:t>NOTES TO CONSOLIDATED FINANCIAL STATEMENTS, continued</w:t>
      </w:r>
    </w:p>
    <w:p w:rsidR="00000000" w:rsidRDefault="005B0BC3">
      <w:pPr>
        <w:divId w:val="1258906224"/>
        <w:rPr>
          <w:rFonts w:eastAsia="Times New Roman"/>
        </w:rPr>
      </w:pPr>
      <w:r>
        <w:rPr>
          <w:rFonts w:eastAsia="Times New Roman"/>
          <w:color w:val="000000"/>
          <w:sz w:val="20"/>
          <w:szCs w:val="20"/>
        </w:rPr>
        <w:t>judgment and consider internal credit analyses as well as market observable data relevant to the collectability of the security. For mortgage</w:t>
      </w:r>
      <w:r>
        <w:rPr>
          <w:rFonts w:eastAsia="Times New Roman"/>
          <w:color w:val="000000"/>
          <w:sz w:val="20"/>
          <w:szCs w:val="20"/>
        </w:rPr>
        <w:t xml:space="preserve"> and asset-backed securities, projected future cash flows also include assumptions regarding prepayments and underlying collateral value.</w:t>
      </w:r>
    </w:p>
    <w:p w:rsidR="00000000" w:rsidRDefault="005B0BC3">
      <w:pPr>
        <w:divId w:val="220558872"/>
        <w:rPr>
          <w:rFonts w:eastAsia="Times New Roman"/>
        </w:rPr>
      </w:pPr>
      <w:r>
        <w:rPr>
          <w:rFonts w:eastAsia="Times New Roman"/>
          <w:color w:val="000000"/>
          <w:sz w:val="20"/>
          <w:szCs w:val="20"/>
        </w:rPr>
        <w:t>Write-offs of AFS debt securities are recorded when all or a portion of a financial asset is deemed uncollectible. Ful</w:t>
      </w:r>
      <w:r>
        <w:rPr>
          <w:rFonts w:eastAsia="Times New Roman"/>
          <w:color w:val="000000"/>
          <w:sz w:val="20"/>
          <w:szCs w:val="20"/>
        </w:rPr>
        <w:t>l or partial write-offs are recorded as reductions to the amortized cost basis of the AFS debt security and deducted from the allowance in the period in which the financial assets are deemed uncollectible. The Company elected to reverse accrued interest de</w:t>
      </w:r>
      <w:r>
        <w:rPr>
          <w:rFonts w:eastAsia="Times New Roman"/>
          <w:color w:val="000000"/>
          <w:sz w:val="20"/>
          <w:szCs w:val="20"/>
        </w:rPr>
        <w:t>emed uncollectible as a reversal of interest income. In instances where the Company collects cash that it has previously written off, the recovery will be recognized through earnings or as a reduction of the amortized cost basis for interest and principal,</w:t>
      </w:r>
      <w:r>
        <w:rPr>
          <w:rFonts w:eastAsia="Times New Roman"/>
          <w:color w:val="000000"/>
          <w:sz w:val="20"/>
          <w:szCs w:val="20"/>
        </w:rPr>
        <w:t xml:space="preserve"> respectively. </w:t>
      </w:r>
    </w:p>
    <w:p w:rsidR="00000000" w:rsidRDefault="005B0BC3">
      <w:pPr>
        <w:divId w:val="311327185"/>
        <w:rPr>
          <w:rFonts w:eastAsia="Times New Roman"/>
        </w:rPr>
      </w:pPr>
      <w:r>
        <w:rPr>
          <w:rFonts w:eastAsia="Times New Roman"/>
          <w:color w:val="000000"/>
          <w:sz w:val="20"/>
          <w:szCs w:val="20"/>
        </w:rPr>
        <w:t>Policy loans represent funds loaned to policyholders up to the cash surrender value of the associated insurance policies and are carried at the unpaid principal balances due to the Company from the policyholders. Interest income on policy l</w:t>
      </w:r>
      <w:r>
        <w:rPr>
          <w:rFonts w:eastAsia="Times New Roman"/>
          <w:color w:val="000000"/>
          <w:sz w:val="20"/>
          <w:szCs w:val="20"/>
        </w:rPr>
        <w:t>oans is recognized in net investment income at the contract interest rate when earned. Policy loans are fully collateralized by the cash surrender value of the associated insurance policies.</w:t>
      </w:r>
    </w:p>
    <w:p w:rsidR="00000000" w:rsidRDefault="005B0BC3">
      <w:pPr>
        <w:divId w:val="2026706142"/>
        <w:rPr>
          <w:rFonts w:eastAsia="Times New Roman"/>
        </w:rPr>
      </w:pPr>
      <w:r>
        <w:rPr>
          <w:rFonts w:eastAsia="Times New Roman"/>
          <w:color w:val="000000"/>
          <w:sz w:val="20"/>
          <w:szCs w:val="20"/>
        </w:rPr>
        <w:t>Partnerships, investment companies and joint venture interests th</w:t>
      </w:r>
      <w:r>
        <w:rPr>
          <w:rFonts w:eastAsia="Times New Roman"/>
          <w:color w:val="000000"/>
          <w:sz w:val="20"/>
          <w:szCs w:val="20"/>
        </w:rPr>
        <w:t>at the Company has control of and has an economic interest in or those that meet the requirements for consolidation under accounting guidance for consolidation of VIEs are consolidated. Those that the Company does not have control of and does not have a ma</w:t>
      </w:r>
      <w:r>
        <w:rPr>
          <w:rFonts w:eastAsia="Times New Roman"/>
          <w:color w:val="000000"/>
          <w:sz w:val="20"/>
          <w:szCs w:val="20"/>
        </w:rPr>
        <w:t>jority economic interest in and those that do not meet the VIE requirements for consolidation are reported on the equity method of accounting and are reported in other equity investments. The Company records its interests in certain of these partnerships o</w:t>
      </w:r>
      <w:r>
        <w:rPr>
          <w:rFonts w:eastAsia="Times New Roman"/>
          <w:color w:val="000000"/>
          <w:sz w:val="20"/>
          <w:szCs w:val="20"/>
        </w:rPr>
        <w:t>n a month or one quarter lag.</w:t>
      </w:r>
    </w:p>
    <w:p w:rsidR="00000000" w:rsidRDefault="005B0BC3">
      <w:pPr>
        <w:divId w:val="204946959"/>
        <w:rPr>
          <w:rFonts w:eastAsia="Times New Roman"/>
        </w:rPr>
      </w:pPr>
      <w:r>
        <w:rPr>
          <w:rFonts w:eastAsia="Times New Roman"/>
          <w:color w:val="000000"/>
          <w:sz w:val="20"/>
          <w:szCs w:val="20"/>
        </w:rPr>
        <w:t>Trading securities, which include equity securities and fixed maturities, are carried at fair value based on quoted market prices, with realized and unrealized gains (losses) reported in net investment income (loss) in the con</w:t>
      </w:r>
      <w:r>
        <w:rPr>
          <w:rFonts w:eastAsia="Times New Roman"/>
          <w:color w:val="000000"/>
          <w:sz w:val="20"/>
          <w:szCs w:val="20"/>
        </w:rPr>
        <w:t xml:space="preserve">solidated statements of income (loss). </w:t>
      </w:r>
    </w:p>
    <w:p w:rsidR="00000000" w:rsidRDefault="005B0BC3">
      <w:pPr>
        <w:divId w:val="1548495365"/>
        <w:rPr>
          <w:rFonts w:eastAsia="Times New Roman"/>
        </w:rPr>
      </w:pPr>
      <w:r>
        <w:rPr>
          <w:rFonts w:eastAsia="Times New Roman"/>
          <w:color w:val="000000"/>
          <w:sz w:val="20"/>
          <w:szCs w:val="20"/>
        </w:rPr>
        <w:t xml:space="preserve">The carrying values of certain fixed maturities are reported at fair value where the fair value option has been elected. The fair value option allows the Company to elect fair value as an alternative measurement for </w:t>
      </w:r>
      <w:r>
        <w:rPr>
          <w:rFonts w:eastAsia="Times New Roman"/>
          <w:color w:val="000000"/>
          <w:sz w:val="20"/>
          <w:szCs w:val="20"/>
        </w:rPr>
        <w:t>selected financial assets and financial liabilities not otherwise reported at fair value. Such elections have been made to help mitigate volatility in earnings that result from different measurement attributes. Electing the fair value option also allows th</w:t>
      </w:r>
      <w:r>
        <w:rPr>
          <w:rFonts w:eastAsia="Times New Roman"/>
          <w:color w:val="000000"/>
          <w:sz w:val="20"/>
          <w:szCs w:val="20"/>
        </w:rPr>
        <w:t>e consistent accounting in net investment income (loss) for certain assets and liabilities. Changes in fair value of fixed maturities that have elected the fair value option are reflected in realized and unrealized gains (losses) reported in net investment</w:t>
      </w:r>
      <w:r>
        <w:rPr>
          <w:rFonts w:eastAsia="Times New Roman"/>
          <w:color w:val="000000"/>
          <w:sz w:val="20"/>
          <w:szCs w:val="20"/>
        </w:rPr>
        <w:t xml:space="preserve"> income (loss) in the consolidated statements of income (loss).</w:t>
      </w:r>
    </w:p>
    <w:p w:rsidR="00000000" w:rsidRDefault="005B0BC3">
      <w:pPr>
        <w:divId w:val="280459697"/>
        <w:rPr>
          <w:rFonts w:eastAsia="Times New Roman"/>
        </w:rPr>
      </w:pPr>
      <w:r>
        <w:rPr>
          <w:rFonts w:eastAsia="Times New Roman"/>
          <w:color w:val="000000"/>
          <w:sz w:val="20"/>
          <w:szCs w:val="20"/>
        </w:rPr>
        <w:t xml:space="preserve">Notes issued by consolidated variable interest entities represent notes issued by certain asset-backed investment vehicles, primarily CLOs, which we are required to consolidate. The creditors </w:t>
      </w:r>
      <w:r>
        <w:rPr>
          <w:rFonts w:eastAsia="Times New Roman"/>
          <w:color w:val="000000"/>
          <w:sz w:val="20"/>
          <w:szCs w:val="20"/>
        </w:rPr>
        <w:t>of these VIEs do not have recourse to the Company in excess of the assets contained within the VIEs. The Company has elected the fair value option for the majority of these notes and has based the fair value on the corresponding debt security collateral. C</w:t>
      </w:r>
      <w:r>
        <w:rPr>
          <w:rFonts w:eastAsia="Times New Roman"/>
          <w:color w:val="000000"/>
          <w:sz w:val="20"/>
          <w:szCs w:val="20"/>
        </w:rPr>
        <w:t>hanges in fair value are reported in net investment income (loss).</w:t>
      </w:r>
    </w:p>
    <w:p w:rsidR="00000000" w:rsidRDefault="005B0BC3">
      <w:pPr>
        <w:divId w:val="469829254"/>
        <w:rPr>
          <w:rFonts w:eastAsia="Times New Roman"/>
        </w:rPr>
      </w:pPr>
      <w:r>
        <w:rPr>
          <w:rFonts w:eastAsia="Times New Roman"/>
          <w:color w:val="000000"/>
          <w:sz w:val="20"/>
          <w:szCs w:val="20"/>
        </w:rPr>
        <w:t>COLI has been purchased by the Company and certain subsidiaries on the lives of certain key employees and the Company and these subsidiaries are named as beneficiaries under these policies.</w:t>
      </w:r>
      <w:r>
        <w:rPr>
          <w:rFonts w:eastAsia="Times New Roman"/>
          <w:color w:val="000000"/>
          <w:sz w:val="20"/>
          <w:szCs w:val="20"/>
        </w:rPr>
        <w:t xml:space="preserve"> COLI is carried at the cash surrender value of the policies. As of December 31, 2021 and 2020, the carrying value of COLI was $1.0 billion and $992 million, respectively, and is reported in other invested assets in the consolidated balance sheets.</w:t>
      </w:r>
    </w:p>
    <w:p w:rsidR="00000000" w:rsidRDefault="005B0BC3">
      <w:pPr>
        <w:divId w:val="1069424122"/>
        <w:rPr>
          <w:rFonts w:eastAsia="Times New Roman"/>
        </w:rPr>
      </w:pPr>
      <w:r>
        <w:rPr>
          <w:rFonts w:eastAsia="Times New Roman"/>
          <w:color w:val="000000"/>
          <w:sz w:val="20"/>
          <w:szCs w:val="20"/>
        </w:rPr>
        <w:t>Cash an</w:t>
      </w:r>
      <w:r>
        <w:rPr>
          <w:rFonts w:eastAsia="Times New Roman"/>
          <w:color w:val="000000"/>
          <w:sz w:val="20"/>
          <w:szCs w:val="20"/>
        </w:rPr>
        <w:t xml:space="preserve">d cash equivalents includes cash on hand, demand deposits, money market accounts, overnight commercial paper and highly liquid debt instruments purchased with an original maturity of three months or less. Due to the short-term nature of these investments, </w:t>
      </w:r>
      <w:r>
        <w:rPr>
          <w:rFonts w:eastAsia="Times New Roman"/>
          <w:color w:val="000000"/>
          <w:sz w:val="20"/>
          <w:szCs w:val="20"/>
        </w:rPr>
        <w:t xml:space="preserve">the recorded value is deemed to approximate fair value. Cash and securities segregated primarily includes U.S. Treasury Bills segregated by AB in a special reserve bank custody account for the exclusive benefit of its brokerage customers under Rule 15c3-3 </w:t>
      </w:r>
      <w:r>
        <w:rPr>
          <w:rFonts w:eastAsia="Times New Roman"/>
          <w:color w:val="000000"/>
          <w:sz w:val="20"/>
          <w:szCs w:val="20"/>
        </w:rPr>
        <w:t>of the Exchange Act.</w:t>
      </w:r>
    </w:p>
    <w:p w:rsidR="00000000" w:rsidRDefault="005B0BC3">
      <w:pPr>
        <w:jc w:val="center"/>
        <w:divId w:val="260141996"/>
        <w:rPr>
          <w:rFonts w:eastAsia="Times New Roman"/>
        </w:rPr>
      </w:pPr>
      <w:r>
        <w:rPr>
          <w:rFonts w:eastAsia="Times New Roman"/>
          <w:color w:val="000000"/>
          <w:sz w:val="20"/>
          <w:szCs w:val="20"/>
        </w:rPr>
        <w:t>142</w:t>
      </w:r>
    </w:p>
    <w:p w:rsidR="00000000" w:rsidRDefault="005B0BC3">
      <w:pPr>
        <w:rPr>
          <w:rFonts w:eastAsia="Times New Roman"/>
        </w:rPr>
      </w:pPr>
      <w:r>
        <w:rPr>
          <w:rFonts w:eastAsia="Times New Roman"/>
        </w:rPr>
        <w:pict>
          <v:rect id="_x0000_i1180" style="width:0;height:1.5pt" o:hralign="center" o:hrstd="t" o:hr="t" fillcolor="#a0a0a0" stroked="f"/>
        </w:pict>
      </w:r>
    </w:p>
    <w:p w:rsidR="00000000" w:rsidRDefault="005B0BC3">
      <w:pPr>
        <w:jc w:val="center"/>
        <w:divId w:val="891425367"/>
        <w:rPr>
          <w:rFonts w:eastAsia="Times New Roman"/>
        </w:rPr>
      </w:pPr>
      <w:r>
        <w:rPr>
          <w:rFonts w:eastAsia="Times New Roman"/>
          <w:b/>
          <w:bCs/>
          <w:color w:val="000000"/>
          <w:sz w:val="20"/>
          <w:szCs w:val="20"/>
        </w:rPr>
        <w:t>EQUITABLE HOLDINGS, INC.</w:t>
      </w:r>
    </w:p>
    <w:p w:rsidR="00000000" w:rsidRDefault="005B0BC3">
      <w:pPr>
        <w:jc w:val="center"/>
        <w:divId w:val="891425367"/>
        <w:rPr>
          <w:rFonts w:eastAsia="Times New Roman"/>
        </w:rPr>
      </w:pPr>
      <w:r>
        <w:rPr>
          <w:rFonts w:eastAsia="Times New Roman"/>
          <w:b/>
          <w:bCs/>
          <w:color w:val="000000"/>
          <w:sz w:val="20"/>
          <w:szCs w:val="20"/>
        </w:rPr>
        <w:t>NOTES TO CONSOLIDATED FINANCIAL STATEMENTS, continued</w:t>
      </w:r>
    </w:p>
    <w:p w:rsidR="00000000" w:rsidRDefault="005B0BC3">
      <w:pPr>
        <w:divId w:val="243881660"/>
        <w:rPr>
          <w:rFonts w:eastAsia="Times New Roman"/>
        </w:rPr>
      </w:pPr>
      <w:r>
        <w:rPr>
          <w:rFonts w:eastAsia="Times New Roman"/>
          <w:color w:val="000000"/>
          <w:sz w:val="20"/>
          <w:szCs w:val="20"/>
          <w:u w:val="single"/>
        </w:rPr>
        <w:t>Derivatives</w:t>
      </w:r>
    </w:p>
    <w:p w:rsidR="00000000" w:rsidRDefault="005B0BC3">
      <w:pPr>
        <w:divId w:val="412433728"/>
        <w:rPr>
          <w:rFonts w:eastAsia="Times New Roman"/>
        </w:rPr>
      </w:pPr>
      <w:r>
        <w:rPr>
          <w:rFonts w:eastAsia="Times New Roman"/>
          <w:color w:val="000000"/>
          <w:sz w:val="20"/>
          <w:szCs w:val="20"/>
        </w:rPr>
        <w:t>Derivatives are financial instruments whose values are derived from interest rates, foreign exchange ra</w:t>
      </w:r>
      <w:r>
        <w:rPr>
          <w:rFonts w:eastAsia="Times New Roman"/>
          <w:color w:val="000000"/>
          <w:sz w:val="20"/>
          <w:szCs w:val="20"/>
        </w:rPr>
        <w:t>tes, financial indices, values of securities or commodities, credit spreads, market volatility, expected returns and liquidity. Values can also be affected by changes in estimates and assumptions, including those related to counterparty behavior and non-pe</w:t>
      </w:r>
      <w:r>
        <w:rPr>
          <w:rFonts w:eastAsia="Times New Roman"/>
          <w:color w:val="000000"/>
          <w:sz w:val="20"/>
          <w:szCs w:val="20"/>
        </w:rPr>
        <w:t>rformance risk used in valuation models. Derivative financial instruments generally used by the Company include equity, currency, and interest rate futures, total return and/or other equity swaps, interest rate swaps and floors, swaptions, variance swaps a</w:t>
      </w:r>
      <w:r>
        <w:rPr>
          <w:rFonts w:eastAsia="Times New Roman"/>
          <w:color w:val="000000"/>
          <w:sz w:val="20"/>
          <w:szCs w:val="20"/>
        </w:rPr>
        <w:t>nd equity options, all of which may be exchange-traded or contracted in the OTC market. All derivative positions are carried in the consolidated balance sheets at fair value, generally by obtaining quoted market prices or through the use of valuation model</w:t>
      </w:r>
      <w:r>
        <w:rPr>
          <w:rFonts w:eastAsia="Times New Roman"/>
          <w:color w:val="000000"/>
          <w:sz w:val="20"/>
          <w:szCs w:val="20"/>
        </w:rPr>
        <w:t xml:space="preserve">s. </w:t>
      </w:r>
    </w:p>
    <w:p w:rsidR="00000000" w:rsidRDefault="005B0BC3">
      <w:pPr>
        <w:divId w:val="1495681925"/>
        <w:rPr>
          <w:rFonts w:eastAsia="Times New Roman"/>
        </w:rPr>
      </w:pPr>
      <w:r>
        <w:rPr>
          <w:rFonts w:eastAsia="Times New Roman"/>
          <w:color w:val="000000"/>
          <w:sz w:val="20"/>
          <w:szCs w:val="20"/>
        </w:rPr>
        <w:t>Freestanding derivative contracts are reported in the consolidated balance sheets either as assets within “other invested assets” or as liabilities within “other liabilities.” The Company nets the fair value of all derivative financial instruments with</w:t>
      </w:r>
      <w:r>
        <w:rPr>
          <w:rFonts w:eastAsia="Times New Roman"/>
          <w:color w:val="000000"/>
          <w:sz w:val="20"/>
          <w:szCs w:val="20"/>
        </w:rPr>
        <w:t xml:space="preserve"> counterparties for which an ISDA Master Agreement and related CSA have been executed. All changes in the fair value of the Company’s freestanding derivative positions not designated to hedge accounting relationships, including net receipts and payments, a</w:t>
      </w:r>
      <w:r>
        <w:rPr>
          <w:rFonts w:eastAsia="Times New Roman"/>
          <w:color w:val="000000"/>
          <w:sz w:val="20"/>
          <w:szCs w:val="20"/>
        </w:rPr>
        <w:t>re included in “net derivative gains (losses)” without considering changes in the fair value of the economically associated assets or liabilities.</w:t>
      </w:r>
    </w:p>
    <w:p w:rsidR="00000000" w:rsidRDefault="005B0BC3">
      <w:pPr>
        <w:divId w:val="980380941"/>
        <w:rPr>
          <w:rFonts w:eastAsia="Times New Roman"/>
        </w:rPr>
      </w:pPr>
      <w:r>
        <w:rPr>
          <w:rFonts w:eastAsia="Times New Roman"/>
          <w:color w:val="000000"/>
          <w:sz w:val="20"/>
          <w:szCs w:val="20"/>
        </w:rPr>
        <w:t>The Company has designated certain derivatives it uses to economically manage asset/liability risk in relatio</w:t>
      </w:r>
      <w:r>
        <w:rPr>
          <w:rFonts w:eastAsia="Times New Roman"/>
          <w:color w:val="000000"/>
          <w:sz w:val="20"/>
          <w:szCs w:val="20"/>
        </w:rPr>
        <w:t>nships which qualify for hedge accounting. To qualify for hedge accounting, we formally document our designation at inception of the hedge relationship as a cash flow, fair value or net investment hedge. This documentation includes our risk management obje</w:t>
      </w:r>
      <w:r>
        <w:rPr>
          <w:rFonts w:eastAsia="Times New Roman"/>
          <w:color w:val="000000"/>
          <w:sz w:val="20"/>
          <w:szCs w:val="20"/>
        </w:rPr>
        <w:t>ctive and strategy for undertaking the hedging transaction. The Company identifies how the hedging instrument is expected to offset the designated risks related to the hedged item and the method that will be used to retrospectively and prospectively assess</w:t>
      </w:r>
      <w:r>
        <w:rPr>
          <w:rFonts w:eastAsia="Times New Roman"/>
          <w:color w:val="000000"/>
          <w:sz w:val="20"/>
          <w:szCs w:val="20"/>
        </w:rPr>
        <w:t xml:space="preserve"> the hedge effectiveness. To qualify for hedge accounting, a hedging instrument must be assessed as being highly effective in offsetting the designated risk of the hedged item. Hedge effectiveness is formally assessed and documented at inception and period</w:t>
      </w:r>
      <w:r>
        <w:rPr>
          <w:rFonts w:eastAsia="Times New Roman"/>
          <w:color w:val="000000"/>
          <w:sz w:val="20"/>
          <w:szCs w:val="20"/>
        </w:rPr>
        <w:t>ically throughout the life of the hedge accounting relationship.</w:t>
      </w:r>
    </w:p>
    <w:p w:rsidR="00000000" w:rsidRDefault="005B0BC3">
      <w:pPr>
        <w:divId w:val="990255385"/>
        <w:rPr>
          <w:rFonts w:eastAsia="Times New Roman"/>
        </w:rPr>
      </w:pPr>
      <w:r>
        <w:rPr>
          <w:rFonts w:eastAsia="Times New Roman"/>
          <w:color w:val="000000"/>
          <w:sz w:val="20"/>
          <w:szCs w:val="20"/>
        </w:rPr>
        <w:t>The Company does not exclude any components of the hedging instrument from the effectiveness assessments and therefore does not separately measure or account for any excluded components of th</w:t>
      </w:r>
      <w:r>
        <w:rPr>
          <w:rFonts w:eastAsia="Times New Roman"/>
          <w:color w:val="000000"/>
          <w:sz w:val="20"/>
          <w:szCs w:val="20"/>
        </w:rPr>
        <w:t>e hedging instrument.</w:t>
      </w:r>
    </w:p>
    <w:p w:rsidR="00000000" w:rsidRDefault="005B0BC3">
      <w:pPr>
        <w:divId w:val="1600259481"/>
        <w:rPr>
          <w:rFonts w:eastAsia="Times New Roman"/>
        </w:rPr>
      </w:pPr>
      <w:r>
        <w:rPr>
          <w:rFonts w:eastAsia="Times New Roman"/>
          <w:color w:val="000000"/>
          <w:sz w:val="20"/>
          <w:szCs w:val="20"/>
        </w:rPr>
        <w:t>While in cash flow hedge relationships, any periodic net receipts and payments from the hedging instrument are included in the income or expense line that the hedged item’s periodic income or expense is recognized. Other changes in th</w:t>
      </w:r>
      <w:r>
        <w:rPr>
          <w:rFonts w:eastAsia="Times New Roman"/>
          <w:color w:val="000000"/>
          <w:sz w:val="20"/>
          <w:szCs w:val="20"/>
        </w:rPr>
        <w:t>e fair value of the hedging instrument while in a cash flow hedging relationship are reported within OCI. These amounts are deferred in AOCI until they are reclassified to Net income (loss). The reclassified amount offsets the effect of the cash flows on N</w:t>
      </w:r>
      <w:r>
        <w:rPr>
          <w:rFonts w:eastAsia="Times New Roman"/>
          <w:color w:val="000000"/>
          <w:sz w:val="20"/>
          <w:szCs w:val="20"/>
        </w:rPr>
        <w:t>et income (loss) in the same period when the hedged item affects earnings and on the same line as the hedged item.</w:t>
      </w:r>
    </w:p>
    <w:p w:rsidR="00000000" w:rsidRDefault="005B0BC3">
      <w:pPr>
        <w:divId w:val="1139496180"/>
        <w:rPr>
          <w:rFonts w:eastAsia="Times New Roman"/>
        </w:rPr>
      </w:pPr>
      <w:r>
        <w:rPr>
          <w:rFonts w:eastAsia="Times New Roman"/>
          <w:color w:val="000000"/>
          <w:sz w:val="20"/>
          <w:szCs w:val="20"/>
        </w:rPr>
        <w:t>We discontinue cash flow hedge accounting prospectively when the Company determines: (1) the hedging instrument is no longer highly effective in offsetting changes in the cash flow from the hedged risk, (2) the hedged item is no longer probable of occurrin</w:t>
      </w:r>
      <w:r>
        <w:rPr>
          <w:rFonts w:eastAsia="Times New Roman"/>
          <w:color w:val="000000"/>
          <w:sz w:val="20"/>
          <w:szCs w:val="20"/>
        </w:rPr>
        <w:t xml:space="preserve">g within two months of their forecast, or (3) the hedging instrument is otherwise redesignated from the hedging relationship. Changes in the fair value of the derivative after discontinuation of cash flow hedge accounting are accounted for as freestanding </w:t>
      </w:r>
      <w:r>
        <w:rPr>
          <w:rFonts w:eastAsia="Times New Roman"/>
          <w:color w:val="000000"/>
          <w:sz w:val="20"/>
          <w:szCs w:val="20"/>
        </w:rPr>
        <w:t>derivative positions not designated to hedge accounting relationships unless and until the derivative is redesignated to a hedge accounting relationship. When cash flow hedge accounting is discontinued the amounts deferred in AOCI during the hedge relation</w:t>
      </w:r>
      <w:r>
        <w:rPr>
          <w:rFonts w:eastAsia="Times New Roman"/>
          <w:color w:val="000000"/>
          <w:sz w:val="20"/>
          <w:szCs w:val="20"/>
        </w:rPr>
        <w:t>ship continue to be deferred in AOCI, as long as the hedged items continue to be probable of occurring within two months of their forecast, until the hedged item affects Net income (loss). Any amount deferred in AOCI for hedged items which are no longer pr</w:t>
      </w:r>
      <w:r>
        <w:rPr>
          <w:rFonts w:eastAsia="Times New Roman"/>
          <w:color w:val="000000"/>
          <w:sz w:val="20"/>
          <w:szCs w:val="20"/>
        </w:rPr>
        <w:t>obable of occurring within two months of their forecast will be reclassified to “net derivative gains (losses)” at that time.</w:t>
      </w:r>
    </w:p>
    <w:p w:rsidR="00000000" w:rsidRDefault="005B0BC3">
      <w:pPr>
        <w:divId w:val="1017191479"/>
        <w:rPr>
          <w:rFonts w:eastAsia="Times New Roman"/>
        </w:rPr>
      </w:pPr>
      <w:r>
        <w:rPr>
          <w:rFonts w:eastAsia="Times New Roman"/>
          <w:color w:val="000000"/>
          <w:sz w:val="20"/>
          <w:szCs w:val="20"/>
        </w:rPr>
        <w:t xml:space="preserve">The Company is a party to financial instruments and other contracts that contain “embedded” derivative instruments. At inception, </w:t>
      </w:r>
      <w:r>
        <w:rPr>
          <w:rFonts w:eastAsia="Times New Roman"/>
          <w:color w:val="000000"/>
          <w:sz w:val="20"/>
          <w:szCs w:val="20"/>
        </w:rPr>
        <w:t>the Company assesses whether the economic characteristics of the embedded instrument are “clearly and closely related” to the economic characteristics of the remaining component of the “host contract” and whether a separate instrument with the same terms a</w:t>
      </w:r>
      <w:r>
        <w:rPr>
          <w:rFonts w:eastAsia="Times New Roman"/>
          <w:color w:val="000000"/>
          <w:sz w:val="20"/>
          <w:szCs w:val="20"/>
        </w:rPr>
        <w:t>s the embedded instrument would meet the definition of a derivative instrument. Once those criteria are met the resulting embedded derivative is bifurcated from the host contract, carried in the consolidated balance sheets at fair value, and changes in its</w:t>
      </w:r>
      <w:r>
        <w:rPr>
          <w:rFonts w:eastAsia="Times New Roman"/>
          <w:color w:val="000000"/>
          <w:sz w:val="20"/>
          <w:szCs w:val="20"/>
        </w:rPr>
        <w:t xml:space="preserve"> fair value are recognized immediately and captioned in the consolidated statements of income (loss) according to the nature of the related host contract. For certain financial instruments that contain an embedded derivative that otherwise would need to be</w:t>
      </w:r>
      <w:r>
        <w:rPr>
          <w:rFonts w:eastAsia="Times New Roman"/>
          <w:color w:val="000000"/>
          <w:sz w:val="20"/>
          <w:szCs w:val="20"/>
        </w:rPr>
        <w:t xml:space="preserve"> bifurcated and reported at fair value, the Company instead may elect to carry the entire instrument at fair value.</w:t>
      </w:r>
    </w:p>
    <w:p w:rsidR="00000000" w:rsidRDefault="005B0BC3">
      <w:pPr>
        <w:jc w:val="center"/>
        <w:divId w:val="2110343491"/>
        <w:rPr>
          <w:rFonts w:eastAsia="Times New Roman"/>
        </w:rPr>
      </w:pPr>
      <w:r>
        <w:rPr>
          <w:rFonts w:eastAsia="Times New Roman"/>
          <w:color w:val="000000"/>
          <w:sz w:val="20"/>
          <w:szCs w:val="20"/>
        </w:rPr>
        <w:t>143</w:t>
      </w:r>
    </w:p>
    <w:p w:rsidR="00000000" w:rsidRDefault="005B0BC3">
      <w:pPr>
        <w:rPr>
          <w:rFonts w:eastAsia="Times New Roman"/>
        </w:rPr>
      </w:pPr>
      <w:r>
        <w:rPr>
          <w:rFonts w:eastAsia="Times New Roman"/>
        </w:rPr>
        <w:pict>
          <v:rect id="_x0000_i1181" style="width:0;height:1.5pt" o:hralign="center" o:hrstd="t" o:hr="t" fillcolor="#a0a0a0" stroked="f"/>
        </w:pict>
      </w:r>
    </w:p>
    <w:p w:rsidR="00000000" w:rsidRDefault="005B0BC3">
      <w:pPr>
        <w:jc w:val="center"/>
        <w:divId w:val="1531842866"/>
        <w:rPr>
          <w:rFonts w:eastAsia="Times New Roman"/>
        </w:rPr>
      </w:pPr>
      <w:r>
        <w:rPr>
          <w:rFonts w:eastAsia="Times New Roman"/>
          <w:b/>
          <w:bCs/>
          <w:color w:val="000000"/>
          <w:sz w:val="20"/>
          <w:szCs w:val="20"/>
        </w:rPr>
        <w:t>EQUITABLE HOLDINGS, INC.</w:t>
      </w:r>
    </w:p>
    <w:p w:rsidR="00000000" w:rsidRDefault="005B0BC3">
      <w:pPr>
        <w:jc w:val="center"/>
        <w:divId w:val="1531842866"/>
        <w:rPr>
          <w:rFonts w:eastAsia="Times New Roman"/>
        </w:rPr>
      </w:pPr>
      <w:r>
        <w:rPr>
          <w:rFonts w:eastAsia="Times New Roman"/>
          <w:b/>
          <w:bCs/>
          <w:color w:val="000000"/>
          <w:sz w:val="20"/>
          <w:szCs w:val="20"/>
        </w:rPr>
        <w:t>NOTES TO CONSOLIDATED FINANCIAL STATEMENTS, continued</w:t>
      </w:r>
    </w:p>
    <w:p w:rsidR="00000000" w:rsidRDefault="005B0BC3">
      <w:pPr>
        <w:divId w:val="991103791"/>
        <w:rPr>
          <w:rFonts w:eastAsia="Times New Roman"/>
        </w:rPr>
      </w:pPr>
      <w:r>
        <w:rPr>
          <w:rFonts w:eastAsia="Times New Roman"/>
          <w:color w:val="000000"/>
          <w:sz w:val="20"/>
          <w:szCs w:val="20"/>
          <w:u w:val="single"/>
        </w:rPr>
        <w:t>Mortgage Loans on Rea</w:t>
      </w:r>
      <w:r>
        <w:rPr>
          <w:rFonts w:eastAsia="Times New Roman"/>
          <w:color w:val="000000"/>
          <w:sz w:val="20"/>
          <w:szCs w:val="20"/>
          <w:u w:val="single"/>
        </w:rPr>
        <w:t>l Estate</w:t>
      </w:r>
    </w:p>
    <w:p w:rsidR="00000000" w:rsidRDefault="005B0BC3">
      <w:pPr>
        <w:divId w:val="520825308"/>
        <w:rPr>
          <w:rFonts w:eastAsia="Times New Roman"/>
        </w:rPr>
      </w:pPr>
      <w:r>
        <w:rPr>
          <w:rFonts w:eastAsia="Times New Roman"/>
          <w:color w:val="000000"/>
          <w:sz w:val="20"/>
          <w:szCs w:val="20"/>
        </w:rPr>
        <w:t xml:space="preserve">Mortgage loans are stated at unpaid principal balances, net of unamortized discounts and the allowance for credit losses. The Company calculates the allowance for credit losses in accordance with the CECL model in order to provide for the risk of </w:t>
      </w:r>
      <w:r>
        <w:rPr>
          <w:rFonts w:eastAsia="Times New Roman"/>
          <w:color w:val="000000"/>
          <w:sz w:val="20"/>
          <w:szCs w:val="20"/>
        </w:rPr>
        <w:t xml:space="preserve">credit losses in the lending process. </w:t>
      </w:r>
    </w:p>
    <w:p w:rsidR="00000000" w:rsidRDefault="005B0BC3">
      <w:pPr>
        <w:divId w:val="1714385805"/>
        <w:rPr>
          <w:rFonts w:eastAsia="Times New Roman"/>
        </w:rPr>
      </w:pPr>
      <w:r>
        <w:rPr>
          <w:rFonts w:eastAsia="Times New Roman"/>
          <w:color w:val="000000"/>
          <w:sz w:val="20"/>
          <w:szCs w:val="20"/>
        </w:rPr>
        <w:t xml:space="preserve">Expected credit losses for loans with similar risk characteristics are estimated on a collective (i.e., pool) basis in order to meet CECL’s risk of loss concept which requires the Company to consider possibilities of </w:t>
      </w:r>
      <w:r>
        <w:rPr>
          <w:rFonts w:eastAsia="Times New Roman"/>
          <w:color w:val="000000"/>
          <w:sz w:val="20"/>
          <w:szCs w:val="20"/>
        </w:rPr>
        <w:t>loss, even if remote.</w:t>
      </w:r>
    </w:p>
    <w:p w:rsidR="00000000" w:rsidRDefault="005B0BC3">
      <w:pPr>
        <w:divId w:val="17584618"/>
        <w:rPr>
          <w:rFonts w:eastAsia="Times New Roman"/>
        </w:rPr>
      </w:pPr>
      <w:r>
        <w:rPr>
          <w:rFonts w:eastAsia="Times New Roman"/>
          <w:color w:val="000000"/>
          <w:sz w:val="20"/>
          <w:szCs w:val="20"/>
        </w:rPr>
        <w:t>For collectively evaluated mortgages, the Company estimates the allowance for credit losses based on the amortized cost basis of its mortgages over their expected life using a PD / LGD model. The PD/LGD model incorporates the Company’</w:t>
      </w:r>
      <w:r>
        <w:rPr>
          <w:rFonts w:eastAsia="Times New Roman"/>
          <w:color w:val="000000"/>
          <w:sz w:val="20"/>
          <w:szCs w:val="20"/>
        </w:rPr>
        <w:t>s reasonable and supportable forecast of macroeconomic information over a specified period. The length of the reasonable and supportable forecast period is reassessed on a quarterly basis and may be adjusted as appropriate over time to be consistent with m</w:t>
      </w:r>
      <w:r>
        <w:rPr>
          <w:rFonts w:eastAsia="Times New Roman"/>
          <w:color w:val="000000"/>
          <w:sz w:val="20"/>
          <w:szCs w:val="20"/>
        </w:rPr>
        <w:t>acroeconomic conditions and the environment as of the reporting date. For periods beyond the reasonable and supportable forecast period, the model reverts to historical loss information. The PD and LGD are estimated at the loan-level based on loans’ curren</w:t>
      </w:r>
      <w:r>
        <w:rPr>
          <w:rFonts w:eastAsia="Times New Roman"/>
          <w:color w:val="000000"/>
          <w:sz w:val="20"/>
          <w:szCs w:val="20"/>
        </w:rPr>
        <w:t>t and forecasted risk characteristics as well as macroeconomic forecasts. The PD is estimated using both macroeconomic conditions as well as individual loan risk characteristics including LTV ratios, DSC ratios, seasoning, collateral type, geography, and u</w:t>
      </w:r>
      <w:r>
        <w:rPr>
          <w:rFonts w:eastAsia="Times New Roman"/>
          <w:color w:val="000000"/>
          <w:sz w:val="20"/>
          <w:szCs w:val="20"/>
        </w:rPr>
        <w:t>nderlying credit. The LGD is driven primarily by the type and value of collateral, and secondarily by expected liquidation costs and time to recovery.</w:t>
      </w:r>
    </w:p>
    <w:p w:rsidR="00000000" w:rsidRDefault="005B0BC3">
      <w:pPr>
        <w:divId w:val="789056378"/>
        <w:rPr>
          <w:rFonts w:eastAsia="Times New Roman"/>
        </w:rPr>
      </w:pPr>
      <w:r>
        <w:rPr>
          <w:rFonts w:eastAsia="Times New Roman"/>
          <w:color w:val="000000"/>
          <w:sz w:val="20"/>
          <w:szCs w:val="20"/>
        </w:rPr>
        <w:t>For individually evaluated mortgages, the Company continues to recognize a valuation allowance on the pre</w:t>
      </w:r>
      <w:r>
        <w:rPr>
          <w:rFonts w:eastAsia="Times New Roman"/>
          <w:color w:val="000000"/>
          <w:sz w:val="20"/>
          <w:szCs w:val="20"/>
        </w:rPr>
        <w:t>sent value of expected future cash flows discounted at the loan’s original effective interest rate or on its collateral value.</w:t>
      </w:r>
    </w:p>
    <w:p w:rsidR="00000000" w:rsidRDefault="005B0BC3">
      <w:pPr>
        <w:divId w:val="1583446180"/>
        <w:rPr>
          <w:rFonts w:eastAsia="Times New Roman"/>
        </w:rPr>
      </w:pPr>
      <w:r>
        <w:rPr>
          <w:rFonts w:eastAsia="Times New Roman"/>
          <w:color w:val="000000"/>
          <w:sz w:val="20"/>
          <w:szCs w:val="20"/>
        </w:rPr>
        <w:t>The CECL model is configured to the Company’s specifications and takes into consideration the detailed risk attributes of each di</w:t>
      </w:r>
      <w:r>
        <w:rPr>
          <w:rFonts w:eastAsia="Times New Roman"/>
          <w:color w:val="000000"/>
          <w:sz w:val="20"/>
          <w:szCs w:val="20"/>
        </w:rPr>
        <w:t>screte loan in the mortgage portfolio which include, but are not limited to the following:</w:t>
      </w:r>
    </w:p>
    <w:p w:rsidR="00000000" w:rsidRDefault="005B0BC3">
      <w:pPr>
        <w:ind w:hanging="360"/>
        <w:jc w:val="both"/>
        <w:divId w:val="1503272899"/>
        <w:rPr>
          <w:rFonts w:eastAsia="Times New Roman"/>
        </w:rPr>
      </w:pPr>
      <w:r>
        <w:rPr>
          <w:rFonts w:eastAsia="Times New Roman"/>
          <w:color w:val="000000"/>
          <w:sz w:val="20"/>
          <w:szCs w:val="20"/>
        </w:rPr>
        <w:t>•LTV ratio – Derived from current loan balance divided by the fair market value of the property. An LTV ratio in excess of 100% indicates an underwater mortgage.</w:t>
      </w:r>
    </w:p>
    <w:p w:rsidR="00000000" w:rsidRDefault="005B0BC3">
      <w:pPr>
        <w:ind w:hanging="360"/>
        <w:jc w:val="both"/>
        <w:divId w:val="354888178"/>
        <w:rPr>
          <w:rFonts w:eastAsia="Times New Roman"/>
        </w:rPr>
      </w:pPr>
      <w:r>
        <w:rPr>
          <w:rFonts w:eastAsia="Times New Roman"/>
          <w:color w:val="000000"/>
          <w:sz w:val="20"/>
          <w:szCs w:val="20"/>
        </w:rPr>
        <w:t>•DS</w:t>
      </w:r>
      <w:r>
        <w:rPr>
          <w:rFonts w:eastAsia="Times New Roman"/>
          <w:color w:val="000000"/>
          <w:sz w:val="20"/>
          <w:szCs w:val="20"/>
        </w:rPr>
        <w:t>C ratio – Derived from actual operating earnings divided by annual debt service. If the ratio is below 1.0x, then the income from the property does not support the debt.</w:t>
      </w:r>
    </w:p>
    <w:p w:rsidR="00000000" w:rsidRDefault="005B0BC3">
      <w:pPr>
        <w:ind w:hanging="360"/>
        <w:jc w:val="both"/>
        <w:divId w:val="868840714"/>
        <w:rPr>
          <w:rFonts w:eastAsia="Times New Roman"/>
        </w:rPr>
      </w:pPr>
      <w:r>
        <w:rPr>
          <w:rFonts w:eastAsia="Times New Roman"/>
          <w:color w:val="000000"/>
          <w:sz w:val="20"/>
          <w:szCs w:val="20"/>
        </w:rPr>
        <w:t xml:space="preserve">•Occupancy – Criteria varies by property type but low or below market occupancy is an </w:t>
      </w:r>
      <w:r>
        <w:rPr>
          <w:rFonts w:eastAsia="Times New Roman"/>
          <w:color w:val="000000"/>
          <w:sz w:val="20"/>
          <w:szCs w:val="20"/>
        </w:rPr>
        <w:t>indicator of sub-par property performance.</w:t>
      </w:r>
    </w:p>
    <w:p w:rsidR="00000000" w:rsidRDefault="005B0BC3">
      <w:pPr>
        <w:ind w:hanging="360"/>
        <w:jc w:val="both"/>
        <w:divId w:val="446660175"/>
        <w:rPr>
          <w:rFonts w:eastAsia="Times New Roman"/>
        </w:rPr>
      </w:pPr>
      <w:r>
        <w:rPr>
          <w:rFonts w:eastAsia="Times New Roman"/>
          <w:color w:val="000000"/>
          <w:sz w:val="20"/>
          <w:szCs w:val="20"/>
        </w:rPr>
        <w:t xml:space="preserve">•Lease expirations – </w:t>
      </w:r>
      <w:r>
        <w:rPr>
          <w:rFonts w:eastAsia="Times New Roman"/>
          <w:color w:val="000000"/>
          <w:sz w:val="20"/>
          <w:szCs w:val="20"/>
        </w:rPr>
        <w:t>The percentage of leases expiring in the upcoming 12 to 36 months are monitored as a decline in rent and/or occupancy may negatively impact the debt service coverage ratio. In the case of single-tenant properties or properties with large tenant exposure, t</w:t>
      </w:r>
      <w:r>
        <w:rPr>
          <w:rFonts w:eastAsia="Times New Roman"/>
          <w:color w:val="000000"/>
          <w:sz w:val="20"/>
          <w:szCs w:val="20"/>
        </w:rPr>
        <w:t>he lease expiration is a material risk factor.</w:t>
      </w:r>
    </w:p>
    <w:p w:rsidR="00000000" w:rsidRDefault="005B0BC3">
      <w:pPr>
        <w:ind w:hanging="360"/>
        <w:divId w:val="1019966756"/>
        <w:rPr>
          <w:rFonts w:eastAsia="Times New Roman"/>
        </w:rPr>
      </w:pPr>
      <w:r>
        <w:rPr>
          <w:rFonts w:eastAsia="Times New Roman"/>
          <w:color w:val="000000"/>
          <w:sz w:val="20"/>
          <w:szCs w:val="20"/>
        </w:rPr>
        <w:t>•Other – Any other factors such as maturity, borrower/tenant related issues, payment status, property condition, or current economic conditions may call into question the performance of the loan.</w:t>
      </w:r>
    </w:p>
    <w:p w:rsidR="00000000" w:rsidRDefault="005B0BC3">
      <w:pPr>
        <w:divId w:val="2123456486"/>
        <w:rPr>
          <w:rFonts w:eastAsia="Times New Roman"/>
        </w:rPr>
      </w:pPr>
      <w:r>
        <w:rPr>
          <w:rFonts w:eastAsia="Times New Roman"/>
          <w:color w:val="000000"/>
          <w:sz w:val="20"/>
          <w:szCs w:val="20"/>
        </w:rPr>
        <w:t>Mortgage loan</w:t>
      </w:r>
      <w:r>
        <w:rPr>
          <w:rFonts w:eastAsia="Times New Roman"/>
          <w:color w:val="000000"/>
          <w:sz w:val="20"/>
          <w:szCs w:val="20"/>
        </w:rPr>
        <w:t xml:space="preserve">s that do not share similar risk characteristics with other loans in the portfolio are individually evaluated quarterly by the Company’s IUS Committee. The allowance for credit losses on these individually evaluated mortgages is a loan-specific reserve as </w:t>
      </w:r>
      <w:r>
        <w:rPr>
          <w:rFonts w:eastAsia="Times New Roman"/>
          <w:color w:val="000000"/>
          <w:sz w:val="20"/>
          <w:szCs w:val="20"/>
        </w:rPr>
        <w:t>a result of the loan review process that is recorded based on the present value of expected future cash flows discounted at the loan’s effective interest rate or based on the fair value of the collateral. The individually assessed allowance for mortgage lo</w:t>
      </w:r>
      <w:r>
        <w:rPr>
          <w:rFonts w:eastAsia="Times New Roman"/>
          <w:color w:val="000000"/>
          <w:sz w:val="20"/>
          <w:szCs w:val="20"/>
        </w:rPr>
        <w:t>ans can increase or decrease from period to period based on such factors.</w:t>
      </w:r>
    </w:p>
    <w:p w:rsidR="00000000" w:rsidRDefault="005B0BC3">
      <w:pPr>
        <w:divId w:val="635522997"/>
        <w:rPr>
          <w:rFonts w:eastAsia="Times New Roman"/>
        </w:rPr>
      </w:pPr>
      <w:r>
        <w:rPr>
          <w:rFonts w:eastAsia="Times New Roman"/>
          <w:color w:val="000000"/>
          <w:sz w:val="20"/>
          <w:szCs w:val="20"/>
        </w:rPr>
        <w:t>Individually assessed loans may include, but are not limited to, mortgages that have deteriorated in credit quality such as a TDR and reasonably expected TDRs, mortgages for which fo</w:t>
      </w:r>
      <w:r>
        <w:rPr>
          <w:rFonts w:eastAsia="Times New Roman"/>
          <w:color w:val="000000"/>
          <w:sz w:val="20"/>
          <w:szCs w:val="20"/>
        </w:rPr>
        <w:t>reclosure is probable, and mortgages which have been classified as “potential problem” or “problem” loans within the Company’s IUS Committee processes as described below.</w:t>
      </w:r>
    </w:p>
    <w:p w:rsidR="00000000" w:rsidRDefault="005B0BC3">
      <w:pPr>
        <w:divId w:val="68114209"/>
        <w:rPr>
          <w:rFonts w:eastAsia="Times New Roman"/>
        </w:rPr>
      </w:pPr>
      <w:r>
        <w:rPr>
          <w:rFonts w:eastAsia="Times New Roman"/>
          <w:color w:val="000000"/>
          <w:sz w:val="20"/>
          <w:szCs w:val="20"/>
        </w:rPr>
        <w:t>Within the IUS process, commercial mortgages 60 days or more past due and agricultura</w:t>
      </w:r>
      <w:r>
        <w:rPr>
          <w:rFonts w:eastAsia="Times New Roman"/>
          <w:color w:val="000000"/>
          <w:sz w:val="20"/>
          <w:szCs w:val="20"/>
        </w:rPr>
        <w:t>l mortgages 90 days or more past due, as well as all mortgages in the process of foreclosure, are identified as problem mortgage loans. Based on its monthly monitoring of mortgages, a class of potential problem mortgage loans are also identified, consistin</w:t>
      </w:r>
      <w:r>
        <w:rPr>
          <w:rFonts w:eastAsia="Times New Roman"/>
          <w:color w:val="000000"/>
          <w:sz w:val="20"/>
          <w:szCs w:val="20"/>
        </w:rPr>
        <w:t>g of mortgage loans not currently classified as problem mortgage loans but for which management has doubts as to the ability of the borrower to comply with the present loan payment terms and which may result in the loan becoming a problem or being modified</w:t>
      </w:r>
      <w:r>
        <w:rPr>
          <w:rFonts w:eastAsia="Times New Roman"/>
          <w:color w:val="000000"/>
          <w:sz w:val="20"/>
          <w:szCs w:val="20"/>
        </w:rPr>
        <w:t xml:space="preserve">. The decision whether to classify a performing mortgage loan as a potential problem </w:t>
      </w:r>
    </w:p>
    <w:p w:rsidR="00000000" w:rsidRDefault="005B0BC3">
      <w:pPr>
        <w:jc w:val="center"/>
        <w:divId w:val="658391665"/>
        <w:rPr>
          <w:rFonts w:eastAsia="Times New Roman"/>
        </w:rPr>
      </w:pPr>
      <w:r>
        <w:rPr>
          <w:rFonts w:eastAsia="Times New Roman"/>
          <w:color w:val="000000"/>
          <w:sz w:val="20"/>
          <w:szCs w:val="20"/>
        </w:rPr>
        <w:t>144</w:t>
      </w:r>
    </w:p>
    <w:p w:rsidR="00000000" w:rsidRDefault="005B0BC3">
      <w:pPr>
        <w:rPr>
          <w:rFonts w:eastAsia="Times New Roman"/>
        </w:rPr>
      </w:pPr>
      <w:r>
        <w:rPr>
          <w:rFonts w:eastAsia="Times New Roman"/>
        </w:rPr>
        <w:pict>
          <v:rect id="_x0000_i1182" style="width:0;height:1.5pt" o:hralign="center" o:hrstd="t" o:hr="t" fillcolor="#a0a0a0" stroked="f"/>
        </w:pict>
      </w:r>
    </w:p>
    <w:p w:rsidR="00000000" w:rsidRDefault="005B0BC3">
      <w:pPr>
        <w:jc w:val="center"/>
        <w:divId w:val="279730685"/>
        <w:rPr>
          <w:rFonts w:eastAsia="Times New Roman"/>
        </w:rPr>
      </w:pPr>
      <w:r>
        <w:rPr>
          <w:rFonts w:eastAsia="Times New Roman"/>
          <w:b/>
          <w:bCs/>
          <w:color w:val="000000"/>
          <w:sz w:val="20"/>
          <w:szCs w:val="20"/>
        </w:rPr>
        <w:t>EQUITABLE HOLDINGS, INC.</w:t>
      </w:r>
    </w:p>
    <w:p w:rsidR="00000000" w:rsidRDefault="005B0BC3">
      <w:pPr>
        <w:jc w:val="center"/>
        <w:divId w:val="279730685"/>
        <w:rPr>
          <w:rFonts w:eastAsia="Times New Roman"/>
        </w:rPr>
      </w:pPr>
      <w:r>
        <w:rPr>
          <w:rFonts w:eastAsia="Times New Roman"/>
          <w:b/>
          <w:bCs/>
          <w:color w:val="000000"/>
          <w:sz w:val="20"/>
          <w:szCs w:val="20"/>
        </w:rPr>
        <w:t>NOTES TO CONSOLIDATED FINANCIAL STATEMENTS, continued</w:t>
      </w:r>
    </w:p>
    <w:p w:rsidR="00000000" w:rsidRDefault="005B0BC3">
      <w:pPr>
        <w:divId w:val="1334334188"/>
        <w:rPr>
          <w:rFonts w:eastAsia="Times New Roman"/>
        </w:rPr>
      </w:pPr>
      <w:r>
        <w:rPr>
          <w:rFonts w:eastAsia="Times New Roman"/>
          <w:color w:val="000000"/>
          <w:sz w:val="20"/>
          <w:szCs w:val="20"/>
        </w:rPr>
        <w:t>involves judgments by management as to likely futur</w:t>
      </w:r>
      <w:r>
        <w:rPr>
          <w:rFonts w:eastAsia="Times New Roman"/>
          <w:color w:val="000000"/>
          <w:sz w:val="20"/>
          <w:szCs w:val="20"/>
        </w:rPr>
        <w:t>e industry conditions and developments with respect to the borrower or the individual mortgaged property.</w:t>
      </w:r>
    </w:p>
    <w:p w:rsidR="00000000" w:rsidRDefault="005B0BC3">
      <w:pPr>
        <w:divId w:val="1313364297"/>
        <w:rPr>
          <w:rFonts w:eastAsia="Times New Roman"/>
        </w:rPr>
      </w:pPr>
      <w:r>
        <w:rPr>
          <w:rFonts w:eastAsia="Times New Roman"/>
          <w:color w:val="000000"/>
          <w:sz w:val="20"/>
          <w:szCs w:val="20"/>
        </w:rPr>
        <w:t>Individually assessed mortgage loans without provision for losses are mortgage loans where the fair value of the collateral or the net present value o</w:t>
      </w:r>
      <w:r>
        <w:rPr>
          <w:rFonts w:eastAsia="Times New Roman"/>
          <w:color w:val="000000"/>
          <w:sz w:val="20"/>
          <w:szCs w:val="20"/>
        </w:rPr>
        <w:t>f the expected future cash flows related to the loan equals or exceeds the recorded investment. Interest income earned on mortgage loans where the collateral value is used to measure impairment is recorded on a cash basis. Interest income on mortgage loans</w:t>
      </w:r>
      <w:r>
        <w:rPr>
          <w:rFonts w:eastAsia="Times New Roman"/>
          <w:color w:val="000000"/>
          <w:sz w:val="20"/>
          <w:szCs w:val="20"/>
        </w:rPr>
        <w:t xml:space="preserve"> where the present value method is used to measure impairment is accrued on the net carrying value amount of the loan at the interest rate used to discount the cash flows.</w:t>
      </w:r>
    </w:p>
    <w:p w:rsidR="00000000" w:rsidRDefault="005B0BC3">
      <w:pPr>
        <w:divId w:val="1800537507"/>
        <w:rPr>
          <w:rFonts w:eastAsia="Times New Roman"/>
        </w:rPr>
      </w:pPr>
      <w:r>
        <w:rPr>
          <w:rFonts w:eastAsia="Times New Roman"/>
          <w:color w:val="000000"/>
          <w:sz w:val="20"/>
          <w:szCs w:val="20"/>
        </w:rPr>
        <w:t>Mortgage loans are placed on nonaccrual status once management believes the collecti</w:t>
      </w:r>
      <w:r>
        <w:rPr>
          <w:rFonts w:eastAsia="Times New Roman"/>
          <w:color w:val="000000"/>
          <w:sz w:val="20"/>
          <w:szCs w:val="20"/>
        </w:rPr>
        <w:t>on of accrued interest is not probable. Once mortgage loans are classified as nonaccrual mortgage loans, interest income is recognized under the cash basis of accounting and the resumption of the interest accrual would commence only after all past due inte</w:t>
      </w:r>
      <w:r>
        <w:rPr>
          <w:rFonts w:eastAsia="Times New Roman"/>
          <w:color w:val="000000"/>
          <w:sz w:val="20"/>
          <w:szCs w:val="20"/>
        </w:rPr>
        <w:t>rest has been collected or the mortgage loan has been restructured to where the collection of interest is considered likely. The Company charges off loan balances and accrued interest that are deemed uncollectible.</w:t>
      </w:r>
    </w:p>
    <w:p w:rsidR="00000000" w:rsidRDefault="005B0BC3">
      <w:pPr>
        <w:divId w:val="911043121"/>
        <w:rPr>
          <w:rFonts w:eastAsia="Times New Roman"/>
        </w:rPr>
      </w:pPr>
      <w:r>
        <w:rPr>
          <w:rFonts w:eastAsia="Times New Roman"/>
          <w:color w:val="000000"/>
          <w:sz w:val="20"/>
          <w:szCs w:val="20"/>
        </w:rPr>
        <w:t>The components of amortized cost for mortgage loans on the consolidated balance sheets excludes accrued interest amounts because the Company presents accrued interest receivables within other assets. Once mortgage loans are placed on nonaccrual status, the</w:t>
      </w:r>
      <w:r>
        <w:rPr>
          <w:rFonts w:eastAsia="Times New Roman"/>
          <w:color w:val="000000"/>
          <w:sz w:val="20"/>
          <w:szCs w:val="20"/>
        </w:rPr>
        <w:t xml:space="preserve"> Company reverses accrued interest receivable against interest income. Since the nonaccrual policy results in the timely reversal of accrued interest receivable, the Company does not record an allowance for credit losses on accrued interest receivable.</w:t>
      </w:r>
    </w:p>
    <w:p w:rsidR="00000000" w:rsidRDefault="005B0BC3">
      <w:pPr>
        <w:divId w:val="2111463491"/>
        <w:rPr>
          <w:rFonts w:eastAsia="Times New Roman"/>
        </w:rPr>
      </w:pPr>
      <w:r>
        <w:rPr>
          <w:rFonts w:eastAsia="Times New Roman"/>
          <w:color w:val="000000"/>
          <w:sz w:val="20"/>
          <w:szCs w:val="20"/>
          <w:u w:val="single"/>
        </w:rPr>
        <w:t>Tro</w:t>
      </w:r>
      <w:r>
        <w:rPr>
          <w:rFonts w:eastAsia="Times New Roman"/>
          <w:color w:val="000000"/>
          <w:sz w:val="20"/>
          <w:szCs w:val="20"/>
          <w:u w:val="single"/>
        </w:rPr>
        <w:t>ubled Debt Restructuring</w:t>
      </w:r>
    </w:p>
    <w:p w:rsidR="00000000" w:rsidRDefault="005B0BC3">
      <w:pPr>
        <w:divId w:val="389304366"/>
        <w:rPr>
          <w:rFonts w:eastAsia="Times New Roman"/>
        </w:rPr>
      </w:pPr>
      <w:r>
        <w:rPr>
          <w:rFonts w:eastAsia="Times New Roman"/>
          <w:color w:val="000000"/>
          <w:sz w:val="20"/>
          <w:szCs w:val="20"/>
        </w:rPr>
        <w:t>The Company invests in commercial and agricultural mortgage loans included in the balance sheet as mortgage loans on real estate and privately negotiated fixed maturities included in the balance sheet as fixed maturities AFS. Under</w:t>
      </w:r>
      <w:r>
        <w:rPr>
          <w:rFonts w:eastAsia="Times New Roman"/>
          <w:color w:val="000000"/>
          <w:sz w:val="20"/>
          <w:szCs w:val="20"/>
        </w:rPr>
        <w:t xml:space="preserve"> certain circumstances, modifications are granted to these contracts. Each modification is evaluated as to whether a TDR has occurred. A modification is a TDR when the borrower is in financial difficulty and the creditor makes concessions. Generally, the t</w:t>
      </w:r>
      <w:r>
        <w:rPr>
          <w:rFonts w:eastAsia="Times New Roman"/>
          <w:color w:val="000000"/>
          <w:sz w:val="20"/>
          <w:szCs w:val="20"/>
        </w:rPr>
        <w:t>ypes of concessions may include reducing the face amount or maturity amount of the debt as originally stated, reducing the contractual interest rate, extending the maturity date at an interest rate lower than current market interest rates and/or reducing a</w:t>
      </w:r>
      <w:r>
        <w:rPr>
          <w:rFonts w:eastAsia="Times New Roman"/>
          <w:color w:val="000000"/>
          <w:sz w:val="20"/>
          <w:szCs w:val="20"/>
        </w:rPr>
        <w:t>ccrued interest. The Company considers the amount, timing and extent of the concession granted in determining any impairment or changes in the specific credit allowance recorded in connection with the TDR. A credit allowance may have been recorded prior to</w:t>
      </w:r>
      <w:r>
        <w:rPr>
          <w:rFonts w:eastAsia="Times New Roman"/>
          <w:color w:val="000000"/>
          <w:sz w:val="20"/>
          <w:szCs w:val="20"/>
        </w:rPr>
        <w:t xml:space="preserve"> the period when the loan is modified in a TDR. Accordingly, the carrying value (net of the allowance) before and after modification through a TDR may not change significantly, or may increase if the expected recovery is higher than the pre-modification re</w:t>
      </w:r>
      <w:r>
        <w:rPr>
          <w:rFonts w:eastAsia="Times New Roman"/>
          <w:color w:val="000000"/>
          <w:sz w:val="20"/>
          <w:szCs w:val="20"/>
        </w:rPr>
        <w:t xml:space="preserve">covery assessment. </w:t>
      </w:r>
    </w:p>
    <w:p w:rsidR="00000000" w:rsidRDefault="005B0BC3">
      <w:pPr>
        <w:divId w:val="192771329"/>
        <w:rPr>
          <w:rFonts w:eastAsia="Times New Roman"/>
        </w:rPr>
      </w:pPr>
      <w:r>
        <w:rPr>
          <w:rFonts w:eastAsia="Times New Roman"/>
          <w:color w:val="000000"/>
          <w:sz w:val="20"/>
          <w:szCs w:val="20"/>
          <w:u w:val="single"/>
        </w:rPr>
        <w:t>Net Investment Income (Loss), Investment Gains (Losses) Net and Unrealized Investment Gains (Losses)</w:t>
      </w:r>
    </w:p>
    <w:p w:rsidR="00000000" w:rsidRDefault="005B0BC3">
      <w:pPr>
        <w:divId w:val="1553494197"/>
        <w:rPr>
          <w:rFonts w:eastAsia="Times New Roman"/>
        </w:rPr>
      </w:pPr>
      <w:r>
        <w:rPr>
          <w:rFonts w:eastAsia="Times New Roman"/>
          <w:color w:val="000000"/>
          <w:sz w:val="20"/>
          <w:szCs w:val="20"/>
        </w:rPr>
        <w:t>Realized investment gains (losses) are determined by identification with the specific asset and are presented as a component of revenue</w:t>
      </w:r>
      <w:r>
        <w:rPr>
          <w:rFonts w:eastAsia="Times New Roman"/>
          <w:color w:val="000000"/>
          <w:sz w:val="20"/>
          <w:szCs w:val="20"/>
        </w:rPr>
        <w:t>. Changes in the allowance for credit losses are included in investment gains (losses), net.</w:t>
      </w:r>
    </w:p>
    <w:p w:rsidR="00000000" w:rsidRDefault="005B0BC3">
      <w:pPr>
        <w:divId w:val="2077042653"/>
        <w:rPr>
          <w:rFonts w:eastAsia="Times New Roman"/>
        </w:rPr>
      </w:pPr>
      <w:r>
        <w:rPr>
          <w:rFonts w:eastAsia="Times New Roman"/>
          <w:color w:val="000000"/>
          <w:sz w:val="20"/>
          <w:szCs w:val="20"/>
        </w:rPr>
        <w:t>Realized and unrealized holding gains (losses) on trading and equity securities are reflected in net investment income (loss).</w:t>
      </w:r>
    </w:p>
    <w:p w:rsidR="00000000" w:rsidRDefault="005B0BC3">
      <w:pPr>
        <w:divId w:val="1846049071"/>
        <w:rPr>
          <w:rFonts w:eastAsia="Times New Roman"/>
        </w:rPr>
      </w:pPr>
      <w:r>
        <w:rPr>
          <w:rFonts w:eastAsia="Times New Roman"/>
          <w:color w:val="000000"/>
          <w:sz w:val="20"/>
          <w:szCs w:val="20"/>
        </w:rPr>
        <w:t>Unrealized investment gains (losses)</w:t>
      </w:r>
      <w:r>
        <w:rPr>
          <w:rFonts w:eastAsia="Times New Roman"/>
          <w:color w:val="000000"/>
          <w:sz w:val="20"/>
          <w:szCs w:val="20"/>
        </w:rPr>
        <w:t xml:space="preserve"> on fixed maturities designated as AFS held by the Company are accounted for as a separate component of AOCI, net of related deferred income taxes, as are amounts attributable to certain pension operations, Closed Block’s policyholders’ dividend obligation</w:t>
      </w:r>
      <w:r>
        <w:rPr>
          <w:rFonts w:eastAsia="Times New Roman"/>
          <w:color w:val="000000"/>
          <w:sz w:val="20"/>
          <w:szCs w:val="20"/>
        </w:rPr>
        <w:t xml:space="preserve">, insurance liability loss recognition, DAC related to UL policies, investment-type products and participating traditional life policies. </w:t>
      </w:r>
    </w:p>
    <w:p w:rsidR="00000000" w:rsidRDefault="005B0BC3">
      <w:pPr>
        <w:divId w:val="968437167"/>
        <w:rPr>
          <w:rFonts w:eastAsia="Times New Roman"/>
        </w:rPr>
      </w:pPr>
      <w:r>
        <w:rPr>
          <w:rFonts w:eastAsia="Times New Roman"/>
          <w:color w:val="000000"/>
          <w:sz w:val="20"/>
          <w:szCs w:val="20"/>
        </w:rPr>
        <w:t>Changes in unrealized gains (losses) reflect changes in fair value of only those fixed maturities classified as AFS a</w:t>
      </w:r>
      <w:r>
        <w:rPr>
          <w:rFonts w:eastAsia="Times New Roman"/>
          <w:color w:val="000000"/>
          <w:sz w:val="20"/>
          <w:szCs w:val="20"/>
        </w:rPr>
        <w:t>nd do not reflect any change in fair value of policyholders’ account balances and future policy benefits.</w:t>
      </w:r>
    </w:p>
    <w:p w:rsidR="00000000" w:rsidRDefault="005B0BC3">
      <w:pPr>
        <w:divId w:val="928270874"/>
        <w:rPr>
          <w:rFonts w:eastAsia="Times New Roman"/>
        </w:rPr>
      </w:pPr>
      <w:r>
        <w:rPr>
          <w:rFonts w:eastAsia="Times New Roman"/>
          <w:color w:val="000000"/>
          <w:sz w:val="20"/>
          <w:szCs w:val="20"/>
          <w:u w:val="single"/>
        </w:rPr>
        <w:t>Fair Value of Financial Instruments</w:t>
      </w:r>
    </w:p>
    <w:p w:rsidR="00000000" w:rsidRDefault="005B0BC3">
      <w:pPr>
        <w:divId w:val="1676035335"/>
        <w:rPr>
          <w:rFonts w:eastAsia="Times New Roman"/>
        </w:rPr>
      </w:pPr>
      <w:r>
        <w:rPr>
          <w:rFonts w:eastAsia="Times New Roman"/>
          <w:color w:val="000000"/>
          <w:sz w:val="20"/>
          <w:szCs w:val="20"/>
        </w:rPr>
        <w:t>See Note 8 of the Notes to these Consolidated Financial Statements for additional information regarding determinin</w:t>
      </w:r>
      <w:r>
        <w:rPr>
          <w:rFonts w:eastAsia="Times New Roman"/>
          <w:color w:val="000000"/>
          <w:sz w:val="20"/>
          <w:szCs w:val="20"/>
        </w:rPr>
        <w:t>g the fair value of financial instruments.</w:t>
      </w:r>
    </w:p>
    <w:p w:rsidR="00000000" w:rsidRDefault="005B0BC3">
      <w:pPr>
        <w:divId w:val="1066614113"/>
        <w:rPr>
          <w:rFonts w:eastAsia="Times New Roman"/>
        </w:rPr>
      </w:pPr>
      <w:r>
        <w:rPr>
          <w:rFonts w:eastAsia="Times New Roman"/>
          <w:color w:val="000000"/>
          <w:sz w:val="20"/>
          <w:szCs w:val="20"/>
          <w:u w:val="single"/>
        </w:rPr>
        <w:t>Recognition of Insurance Income and Related Expenses</w:t>
      </w:r>
    </w:p>
    <w:p w:rsidR="00000000" w:rsidRDefault="005B0BC3">
      <w:pPr>
        <w:divId w:val="1533499615"/>
        <w:rPr>
          <w:rFonts w:eastAsia="Times New Roman"/>
        </w:rPr>
      </w:pPr>
      <w:r>
        <w:rPr>
          <w:rFonts w:eastAsia="Times New Roman"/>
          <w:color w:val="000000"/>
          <w:sz w:val="20"/>
          <w:szCs w:val="20"/>
        </w:rPr>
        <w:t xml:space="preserve">Deposits related to UL and investment-type contracts are reported as deposits to policyholders’ account balances. Revenues from these contracts consist of fees </w:t>
      </w:r>
      <w:r>
        <w:rPr>
          <w:rFonts w:eastAsia="Times New Roman"/>
          <w:color w:val="000000"/>
          <w:sz w:val="20"/>
          <w:szCs w:val="20"/>
        </w:rPr>
        <w:t>assessed during the period against policyholders’ account balances for mortality charges, policy administration charges and surrender charges. Policy benefits and claims that are charged to expense include benefit claims incurred in the period in excess of</w:t>
      </w:r>
      <w:r>
        <w:rPr>
          <w:rFonts w:eastAsia="Times New Roman"/>
          <w:color w:val="000000"/>
          <w:sz w:val="20"/>
          <w:szCs w:val="20"/>
        </w:rPr>
        <w:t xml:space="preserve"> related policyholders’ account balances.</w:t>
      </w:r>
    </w:p>
    <w:p w:rsidR="00000000" w:rsidRDefault="005B0BC3">
      <w:pPr>
        <w:jc w:val="center"/>
        <w:divId w:val="41055596"/>
        <w:rPr>
          <w:rFonts w:eastAsia="Times New Roman"/>
        </w:rPr>
      </w:pPr>
      <w:r>
        <w:rPr>
          <w:rFonts w:eastAsia="Times New Roman"/>
          <w:color w:val="000000"/>
          <w:sz w:val="20"/>
          <w:szCs w:val="20"/>
        </w:rPr>
        <w:t>145</w:t>
      </w:r>
    </w:p>
    <w:p w:rsidR="00000000" w:rsidRDefault="005B0BC3">
      <w:pPr>
        <w:rPr>
          <w:rFonts w:eastAsia="Times New Roman"/>
        </w:rPr>
      </w:pPr>
      <w:r>
        <w:rPr>
          <w:rFonts w:eastAsia="Times New Roman"/>
        </w:rPr>
        <w:pict>
          <v:rect id="_x0000_i1183" style="width:0;height:1.5pt" o:hralign="center" o:hrstd="t" o:hr="t" fillcolor="#a0a0a0" stroked="f"/>
        </w:pict>
      </w:r>
    </w:p>
    <w:p w:rsidR="00000000" w:rsidRDefault="005B0BC3">
      <w:pPr>
        <w:jc w:val="center"/>
        <w:divId w:val="1168978257"/>
        <w:rPr>
          <w:rFonts w:eastAsia="Times New Roman"/>
        </w:rPr>
      </w:pPr>
      <w:r>
        <w:rPr>
          <w:rFonts w:eastAsia="Times New Roman"/>
          <w:b/>
          <w:bCs/>
          <w:color w:val="000000"/>
          <w:sz w:val="20"/>
          <w:szCs w:val="20"/>
        </w:rPr>
        <w:t>EQUITABLE HOLDINGS, INC.</w:t>
      </w:r>
    </w:p>
    <w:p w:rsidR="00000000" w:rsidRDefault="005B0BC3">
      <w:pPr>
        <w:jc w:val="center"/>
        <w:divId w:val="1168978257"/>
        <w:rPr>
          <w:rFonts w:eastAsia="Times New Roman"/>
        </w:rPr>
      </w:pPr>
      <w:r>
        <w:rPr>
          <w:rFonts w:eastAsia="Times New Roman"/>
          <w:b/>
          <w:bCs/>
          <w:color w:val="000000"/>
          <w:sz w:val="20"/>
          <w:szCs w:val="20"/>
        </w:rPr>
        <w:t>NOTES TO CONSOLIDATED FINANCIAL STATEMENTS, continued</w:t>
      </w:r>
    </w:p>
    <w:p w:rsidR="00000000" w:rsidRDefault="005B0BC3">
      <w:pPr>
        <w:divId w:val="2020426516"/>
        <w:rPr>
          <w:rFonts w:eastAsia="Times New Roman"/>
        </w:rPr>
      </w:pPr>
      <w:r>
        <w:rPr>
          <w:rFonts w:eastAsia="Times New Roman"/>
          <w:color w:val="000000"/>
          <w:sz w:val="20"/>
          <w:szCs w:val="20"/>
        </w:rPr>
        <w:t>Premiums from participating and non-participating traditional life and annuity policies with li</w:t>
      </w:r>
      <w:r>
        <w:rPr>
          <w:rFonts w:eastAsia="Times New Roman"/>
          <w:color w:val="000000"/>
          <w:sz w:val="20"/>
          <w:szCs w:val="20"/>
        </w:rPr>
        <w:t>fe contingencies generally are recognized in income when due. Benefits and expenses are matched with such income so as to result in the recognition of profits over the life of the contracts. This match is accomplished by means of the provision for liabilit</w:t>
      </w:r>
      <w:r>
        <w:rPr>
          <w:rFonts w:eastAsia="Times New Roman"/>
          <w:color w:val="000000"/>
          <w:sz w:val="20"/>
          <w:szCs w:val="20"/>
        </w:rPr>
        <w:t>ies for future policy benefits and the deferral and subsequent amortization of DAC.</w:t>
      </w:r>
    </w:p>
    <w:p w:rsidR="00000000" w:rsidRDefault="005B0BC3">
      <w:pPr>
        <w:divId w:val="1603950410"/>
        <w:rPr>
          <w:rFonts w:eastAsia="Times New Roman"/>
        </w:rPr>
      </w:pPr>
      <w:r>
        <w:rPr>
          <w:rFonts w:eastAsia="Times New Roman"/>
          <w:color w:val="000000"/>
          <w:sz w:val="20"/>
          <w:szCs w:val="20"/>
        </w:rPr>
        <w:t xml:space="preserve">For contracts with a single premium or a limited number of premium payments due over a significantly shorter period than the total period over which benefits are provided, </w:t>
      </w:r>
      <w:r>
        <w:rPr>
          <w:rFonts w:eastAsia="Times New Roman"/>
          <w:color w:val="000000"/>
          <w:sz w:val="20"/>
          <w:szCs w:val="20"/>
        </w:rPr>
        <w:t>premiums are recorded as revenue when due with any excess profit deferred and recognized in income in a constant relationship to insurance in-force or, for annuities, the amount of expected future benefit payments.</w:t>
      </w:r>
    </w:p>
    <w:p w:rsidR="00000000" w:rsidRDefault="005B0BC3">
      <w:pPr>
        <w:divId w:val="1177306635"/>
        <w:rPr>
          <w:rFonts w:eastAsia="Times New Roman"/>
        </w:rPr>
      </w:pPr>
      <w:r>
        <w:rPr>
          <w:rFonts w:eastAsia="Times New Roman"/>
          <w:color w:val="000000"/>
          <w:sz w:val="20"/>
          <w:szCs w:val="20"/>
        </w:rPr>
        <w:t>Premiums from individual health contracts</w:t>
      </w:r>
      <w:r>
        <w:rPr>
          <w:rFonts w:eastAsia="Times New Roman"/>
          <w:color w:val="000000"/>
          <w:sz w:val="20"/>
          <w:szCs w:val="20"/>
        </w:rPr>
        <w:t xml:space="preserve"> are recognized as income over the period to which the premiums relate in proportion to the amount of insurance protection provided.</w:t>
      </w:r>
    </w:p>
    <w:p w:rsidR="00000000" w:rsidRDefault="005B0BC3">
      <w:pPr>
        <w:divId w:val="722214137"/>
        <w:rPr>
          <w:rFonts w:eastAsia="Times New Roman"/>
        </w:rPr>
      </w:pPr>
      <w:r>
        <w:rPr>
          <w:rFonts w:eastAsia="Times New Roman"/>
          <w:color w:val="000000"/>
          <w:sz w:val="20"/>
          <w:szCs w:val="20"/>
          <w:u w:val="single"/>
        </w:rPr>
        <w:t>DAC</w:t>
      </w:r>
    </w:p>
    <w:p w:rsidR="00000000" w:rsidRDefault="005B0BC3">
      <w:pPr>
        <w:divId w:val="405303951"/>
        <w:rPr>
          <w:rFonts w:eastAsia="Times New Roman"/>
        </w:rPr>
      </w:pPr>
      <w:r>
        <w:rPr>
          <w:rFonts w:eastAsia="Times New Roman"/>
          <w:color w:val="000000"/>
          <w:sz w:val="20"/>
          <w:szCs w:val="20"/>
        </w:rPr>
        <w:t>Acquisition costs that vary with and are primarily related to the acquisition of new and renewal insurance business, re</w:t>
      </w:r>
      <w:r>
        <w:rPr>
          <w:rFonts w:eastAsia="Times New Roman"/>
          <w:color w:val="000000"/>
          <w:sz w:val="20"/>
          <w:szCs w:val="20"/>
        </w:rPr>
        <w:t>flecting incremental direct costs of contract acquisition with independent third parties or employees that are essential to the contract transaction, as well as the portion of employee compensation, including payroll fringe benefits and other costs directl</w:t>
      </w:r>
      <w:r>
        <w:rPr>
          <w:rFonts w:eastAsia="Times New Roman"/>
          <w:color w:val="000000"/>
          <w:sz w:val="20"/>
          <w:szCs w:val="20"/>
        </w:rPr>
        <w:t>y related to underwriting, policy issuance and processing, medical inspection, and contract selling for successfully negotiated contracts including commissions, underwriting, agency and policy issue expenses, are deferred. In each reporting period, DAC amo</w:t>
      </w:r>
      <w:r>
        <w:rPr>
          <w:rFonts w:eastAsia="Times New Roman"/>
          <w:color w:val="000000"/>
          <w:sz w:val="20"/>
          <w:szCs w:val="20"/>
        </w:rPr>
        <w:t>rtization, net of the accrual of imputed interest on DAC balances, is recorded to amortization of deferred policy acquisition costs. DAC is subject to recoverability testing at the time of policy issue and loss recognition testing at the end of each accoun</w:t>
      </w:r>
      <w:r>
        <w:rPr>
          <w:rFonts w:eastAsia="Times New Roman"/>
          <w:color w:val="000000"/>
          <w:sz w:val="20"/>
          <w:szCs w:val="20"/>
        </w:rPr>
        <w:t>ting period. The determination of DAC, including amortization and recoverability estimates, is based on models that involve numerous assumptions and subjective judgments, including those regarding policyholder behavior, surrender and withdrawal rates, mort</w:t>
      </w:r>
      <w:r>
        <w:rPr>
          <w:rFonts w:eastAsia="Times New Roman"/>
          <w:color w:val="000000"/>
          <w:sz w:val="20"/>
          <w:szCs w:val="20"/>
        </w:rPr>
        <w:t>ality experience, and other inputs including financial market volatility and market rates of return.</w:t>
      </w:r>
    </w:p>
    <w:p w:rsidR="00000000" w:rsidRDefault="005B0BC3">
      <w:pPr>
        <w:divId w:val="16124897"/>
        <w:rPr>
          <w:rFonts w:eastAsia="Times New Roman"/>
        </w:rPr>
      </w:pPr>
      <w:r>
        <w:rPr>
          <w:rFonts w:eastAsia="Times New Roman"/>
          <w:color w:val="000000"/>
          <w:sz w:val="20"/>
          <w:szCs w:val="20"/>
        </w:rPr>
        <w:t>After the initial establishment of reserves, premium deficiency and loss recognition tests are performed each period end using best estimate assumptions as</w:t>
      </w:r>
      <w:r>
        <w:rPr>
          <w:rFonts w:eastAsia="Times New Roman"/>
          <w:color w:val="000000"/>
          <w:sz w:val="20"/>
          <w:szCs w:val="20"/>
        </w:rPr>
        <w:t xml:space="preserve"> of the testing date without provisions for adverse deviation. When the liabilities for future policy benefits plus the present value of expected future gross premiums for the aggregate product group are insufficient to provide for expected future policy b</w:t>
      </w:r>
      <w:r>
        <w:rPr>
          <w:rFonts w:eastAsia="Times New Roman"/>
          <w:color w:val="000000"/>
          <w:sz w:val="20"/>
          <w:szCs w:val="20"/>
        </w:rPr>
        <w:t>enefits and expenses for that line of business (i.e., reserves net of any DAC asset), DAC would first be written off and thereafter, if required, a premium deficiency reserve would be established by a charge to earnings.</w:t>
      </w:r>
    </w:p>
    <w:p w:rsidR="00000000" w:rsidRDefault="005B0BC3">
      <w:pPr>
        <w:jc w:val="both"/>
        <w:divId w:val="1069956538"/>
        <w:rPr>
          <w:rFonts w:eastAsia="Times New Roman"/>
        </w:rPr>
      </w:pPr>
      <w:r>
        <w:rPr>
          <w:rFonts w:eastAsia="Times New Roman"/>
          <w:b/>
          <w:bCs/>
          <w:i/>
          <w:iCs/>
          <w:color w:val="000000"/>
          <w:sz w:val="20"/>
          <w:szCs w:val="20"/>
        </w:rPr>
        <w:t>Amortization Policy</w:t>
      </w:r>
    </w:p>
    <w:p w:rsidR="00000000" w:rsidRDefault="005B0BC3">
      <w:pPr>
        <w:divId w:val="394814328"/>
        <w:rPr>
          <w:rFonts w:eastAsia="Times New Roman"/>
        </w:rPr>
      </w:pPr>
      <w:r>
        <w:rPr>
          <w:rFonts w:eastAsia="Times New Roman"/>
          <w:color w:val="000000"/>
          <w:sz w:val="20"/>
          <w:szCs w:val="20"/>
        </w:rPr>
        <w:t>In accordance w</w:t>
      </w:r>
      <w:r>
        <w:rPr>
          <w:rFonts w:eastAsia="Times New Roman"/>
          <w:color w:val="000000"/>
          <w:sz w:val="20"/>
          <w:szCs w:val="20"/>
        </w:rPr>
        <w:t>ith the guidance for the accounting and reporting by insurance enterprises for certain long-duration contracts and participating contracts and for realized gains and losses from the sale of investments, current and expected future profit margins for produc</w:t>
      </w:r>
      <w:r>
        <w:rPr>
          <w:rFonts w:eastAsia="Times New Roman"/>
          <w:color w:val="000000"/>
          <w:sz w:val="20"/>
          <w:szCs w:val="20"/>
        </w:rPr>
        <w:t>ts covered by this guidance are examined regularly in determining the amortization of DAC.</w:t>
      </w:r>
    </w:p>
    <w:p w:rsidR="00000000" w:rsidRDefault="005B0BC3">
      <w:pPr>
        <w:divId w:val="166480642"/>
        <w:rPr>
          <w:rFonts w:eastAsia="Times New Roman"/>
        </w:rPr>
      </w:pPr>
      <w:r>
        <w:rPr>
          <w:rFonts w:eastAsia="Times New Roman"/>
          <w:color w:val="000000"/>
          <w:sz w:val="20"/>
          <w:szCs w:val="20"/>
        </w:rPr>
        <w:t>DAC associated with certain variable annuity products is amortized based on estimated assessments, with DAC on the remainder of variable annuities, UL and investment-type products amortized over the expected total life of the contract group as a constant p</w:t>
      </w:r>
      <w:r>
        <w:rPr>
          <w:rFonts w:eastAsia="Times New Roman"/>
          <w:color w:val="000000"/>
          <w:sz w:val="20"/>
          <w:szCs w:val="20"/>
        </w:rPr>
        <w:t>ercentage of estimated gross profits arising principally from investment results, Separate Accounts fees, mortality and expense margins and surrender charges based on historical and anticipated future experience, embedded derivatives and changes in the res</w:t>
      </w:r>
      <w:r>
        <w:rPr>
          <w:rFonts w:eastAsia="Times New Roman"/>
          <w:color w:val="000000"/>
          <w:sz w:val="20"/>
          <w:szCs w:val="20"/>
        </w:rPr>
        <w:t>erve of products that have indexed features such as SCS IUL and MSO, updated at the end of each accounting period. When estimated gross profits are expected to be negative for multiple years of a contract life, DAC is amortized using the present value of e</w:t>
      </w:r>
      <w:r>
        <w:rPr>
          <w:rFonts w:eastAsia="Times New Roman"/>
          <w:color w:val="000000"/>
          <w:sz w:val="20"/>
          <w:szCs w:val="20"/>
        </w:rPr>
        <w:t>stimated assessments. The effect on the amortization of DAC of revisions to estimated gross profits or assessments is reflected in earnings (loss) in the period such estimated gross profits or assessments are revised. A decrease in expected gross profits o</w:t>
      </w:r>
      <w:r>
        <w:rPr>
          <w:rFonts w:eastAsia="Times New Roman"/>
          <w:color w:val="000000"/>
          <w:sz w:val="20"/>
          <w:szCs w:val="20"/>
        </w:rPr>
        <w:t>r assessments would accelerate DAC amortization. Conversely, an increase in expected gross profits or assessments would slow DAC amortization. The effect on the DAC assets that would result from realization of unrealized gains (losses) is recognized with a</w:t>
      </w:r>
      <w:r>
        <w:rPr>
          <w:rFonts w:eastAsia="Times New Roman"/>
          <w:color w:val="000000"/>
          <w:sz w:val="20"/>
          <w:szCs w:val="20"/>
        </w:rPr>
        <w:t xml:space="preserve">n offset to AOCI in consolidated equity as of the balance sheet date. </w:t>
      </w:r>
    </w:p>
    <w:p w:rsidR="00000000" w:rsidRDefault="005B0BC3">
      <w:pPr>
        <w:divId w:val="982928650"/>
        <w:rPr>
          <w:rFonts w:eastAsia="Times New Roman"/>
        </w:rPr>
      </w:pPr>
      <w:r>
        <w:rPr>
          <w:rFonts w:eastAsia="Times New Roman"/>
          <w:color w:val="000000"/>
          <w:sz w:val="20"/>
          <w:szCs w:val="20"/>
        </w:rPr>
        <w:t>A significant assumption in the amortization of DAC on variable annuities and, to a lesser extent, on variable and interest-sensitive life insurance relates to projected future separate</w:t>
      </w:r>
      <w:r>
        <w:rPr>
          <w:rFonts w:eastAsia="Times New Roman"/>
          <w:color w:val="000000"/>
          <w:sz w:val="20"/>
          <w:szCs w:val="20"/>
        </w:rPr>
        <w:t xml:space="preserve"> account performance. Management sets estimated future gross profit or assessment assumptions related to separate account performance using a long-term view of expected average market returns by applying a RTM approach, a commonly used industry practice. T</w:t>
      </w:r>
      <w:r>
        <w:rPr>
          <w:rFonts w:eastAsia="Times New Roman"/>
          <w:color w:val="000000"/>
          <w:sz w:val="20"/>
          <w:szCs w:val="20"/>
        </w:rPr>
        <w:t xml:space="preserve">his future return approach influences the projection of fees earned, as well as other sources of estimated gross profits. Returns that are higher than expectations for a given period produce higher than expected account balances, increase the fees earned </w:t>
      </w:r>
    </w:p>
    <w:p w:rsidR="00000000" w:rsidRDefault="005B0BC3">
      <w:pPr>
        <w:jc w:val="center"/>
        <w:divId w:val="187763557"/>
        <w:rPr>
          <w:rFonts w:eastAsia="Times New Roman"/>
        </w:rPr>
      </w:pPr>
      <w:r>
        <w:rPr>
          <w:rFonts w:eastAsia="Times New Roman"/>
          <w:color w:val="000000"/>
          <w:sz w:val="20"/>
          <w:szCs w:val="20"/>
        </w:rPr>
        <w:t>146</w:t>
      </w:r>
    </w:p>
    <w:p w:rsidR="00000000" w:rsidRDefault="005B0BC3">
      <w:pPr>
        <w:rPr>
          <w:rFonts w:eastAsia="Times New Roman"/>
        </w:rPr>
      </w:pPr>
      <w:r>
        <w:rPr>
          <w:rFonts w:eastAsia="Times New Roman"/>
        </w:rPr>
        <w:pict>
          <v:rect id="_x0000_i1184" style="width:0;height:1.5pt" o:hralign="center" o:hrstd="t" o:hr="t" fillcolor="#a0a0a0" stroked="f"/>
        </w:pict>
      </w:r>
    </w:p>
    <w:p w:rsidR="00000000" w:rsidRDefault="005B0BC3">
      <w:pPr>
        <w:jc w:val="center"/>
        <w:divId w:val="507209878"/>
        <w:rPr>
          <w:rFonts w:eastAsia="Times New Roman"/>
        </w:rPr>
      </w:pPr>
      <w:r>
        <w:rPr>
          <w:rFonts w:eastAsia="Times New Roman"/>
          <w:b/>
          <w:bCs/>
          <w:color w:val="000000"/>
          <w:sz w:val="20"/>
          <w:szCs w:val="20"/>
        </w:rPr>
        <w:t>EQUITABLE HOLDINGS, INC.</w:t>
      </w:r>
    </w:p>
    <w:p w:rsidR="00000000" w:rsidRDefault="005B0BC3">
      <w:pPr>
        <w:jc w:val="center"/>
        <w:divId w:val="507209878"/>
        <w:rPr>
          <w:rFonts w:eastAsia="Times New Roman"/>
        </w:rPr>
      </w:pPr>
      <w:r>
        <w:rPr>
          <w:rFonts w:eastAsia="Times New Roman"/>
          <w:b/>
          <w:bCs/>
          <w:color w:val="000000"/>
          <w:sz w:val="20"/>
          <w:szCs w:val="20"/>
        </w:rPr>
        <w:t>NOTES TO CONSOLIDATED FINANCIAL STATEMENTS, continued</w:t>
      </w:r>
    </w:p>
    <w:p w:rsidR="00000000" w:rsidRDefault="005B0BC3">
      <w:pPr>
        <w:divId w:val="1707215922"/>
        <w:rPr>
          <w:rFonts w:eastAsia="Times New Roman"/>
        </w:rPr>
      </w:pPr>
      <w:r>
        <w:rPr>
          <w:rFonts w:eastAsia="Times New Roman"/>
          <w:color w:val="000000"/>
          <w:sz w:val="20"/>
          <w:szCs w:val="20"/>
        </w:rPr>
        <w:t>resulting in higher expected future gross profits and lower DAC amortization for the period. The opposite occurs when returns are lower than expected.</w:t>
      </w:r>
    </w:p>
    <w:p w:rsidR="00000000" w:rsidRDefault="005B0BC3">
      <w:pPr>
        <w:divId w:val="1911844436"/>
        <w:rPr>
          <w:rFonts w:eastAsia="Times New Roman"/>
        </w:rPr>
      </w:pPr>
      <w:r>
        <w:rPr>
          <w:rFonts w:eastAsia="Times New Roman"/>
          <w:color w:val="000000"/>
          <w:sz w:val="20"/>
          <w:szCs w:val="20"/>
        </w:rPr>
        <w:t>In applying this approach to develop estimates of future returns, it is assumed that the market will retu</w:t>
      </w:r>
      <w:r>
        <w:rPr>
          <w:rFonts w:eastAsia="Times New Roman"/>
          <w:color w:val="000000"/>
          <w:sz w:val="20"/>
          <w:szCs w:val="20"/>
        </w:rPr>
        <w:t>rn to an average gross long-term return estimate, developed with reference to historical long-term equity market performance. Management has set limitations as to maximum and minimum future rate of return assumptions, as well as a limitation on the duratio</w:t>
      </w:r>
      <w:r>
        <w:rPr>
          <w:rFonts w:eastAsia="Times New Roman"/>
          <w:color w:val="000000"/>
          <w:sz w:val="20"/>
          <w:szCs w:val="20"/>
        </w:rPr>
        <w:t>n of use of these maximum or minimum rates of return. As of December 31, 2021, the average gross short-term and long-term annual return estimate on variable and interest-sensitive life insurance and variable annuities was 7.0% (4.7% net of product weighted</w:t>
      </w:r>
      <w:r>
        <w:rPr>
          <w:rFonts w:eastAsia="Times New Roman"/>
          <w:color w:val="000000"/>
          <w:sz w:val="20"/>
          <w:szCs w:val="20"/>
        </w:rPr>
        <w:t xml:space="preserve"> average Separate Accounts fees), and the gross maximum and minimum short-term annual rate of return limitations were 15.0% (12.7% net of product weighted average Separate Accounts fees and Investment Advisory fees) and 0.0% ((2.3%) net of product weighted</w:t>
      </w:r>
      <w:r>
        <w:rPr>
          <w:rFonts w:eastAsia="Times New Roman"/>
          <w:color w:val="000000"/>
          <w:sz w:val="20"/>
          <w:szCs w:val="20"/>
        </w:rPr>
        <w:t xml:space="preserve"> average Separate Accounts fees and Investment Advisory fees), respectively. The maximum duration over which these rate limitations may be applied is five years. This approach will continue to be applied in future periods. These assumptions of long-term gr</w:t>
      </w:r>
      <w:r>
        <w:rPr>
          <w:rFonts w:eastAsia="Times New Roman"/>
          <w:color w:val="000000"/>
          <w:sz w:val="20"/>
          <w:szCs w:val="20"/>
        </w:rPr>
        <w:t>owth are subject to assessment of the reasonableness of resulting estimates of future return assumptions.</w:t>
      </w:r>
    </w:p>
    <w:p w:rsidR="00000000" w:rsidRDefault="005B0BC3">
      <w:pPr>
        <w:divId w:val="844511993"/>
        <w:rPr>
          <w:rFonts w:eastAsia="Times New Roman"/>
        </w:rPr>
      </w:pPr>
      <w:r>
        <w:rPr>
          <w:rFonts w:eastAsia="Times New Roman"/>
          <w:color w:val="000000"/>
          <w:sz w:val="20"/>
          <w:szCs w:val="20"/>
        </w:rPr>
        <w:t xml:space="preserve">In addition, projections of future mortality assumptions related to variable and interest-sensitive life products are based on a long-term average of </w:t>
      </w:r>
      <w:r>
        <w:rPr>
          <w:rFonts w:eastAsia="Times New Roman"/>
          <w:color w:val="000000"/>
          <w:sz w:val="20"/>
          <w:szCs w:val="20"/>
        </w:rPr>
        <w:t>actual experience. This assumption is updated periodically to reflect recent experience as it emerges. Improvement of life mortality in future periods from that currently projected would result in future deceleration of DAC amortization. Conversely, deteri</w:t>
      </w:r>
      <w:r>
        <w:rPr>
          <w:rFonts w:eastAsia="Times New Roman"/>
          <w:color w:val="000000"/>
          <w:sz w:val="20"/>
          <w:szCs w:val="20"/>
        </w:rPr>
        <w:t>oration of life mortality in future periods from that currently projected would result in future acceleration of DAC amortization.</w:t>
      </w:r>
    </w:p>
    <w:p w:rsidR="00000000" w:rsidRDefault="005B0BC3">
      <w:pPr>
        <w:divId w:val="1914927625"/>
        <w:rPr>
          <w:rFonts w:eastAsia="Times New Roman"/>
        </w:rPr>
      </w:pPr>
      <w:r>
        <w:rPr>
          <w:rFonts w:eastAsia="Times New Roman"/>
          <w:color w:val="000000"/>
          <w:sz w:val="20"/>
          <w:szCs w:val="20"/>
        </w:rPr>
        <w:t>Other significant assumptions underlying gross profit estimates for UL and investment type products relate to contract persis</w:t>
      </w:r>
      <w:r>
        <w:rPr>
          <w:rFonts w:eastAsia="Times New Roman"/>
          <w:color w:val="000000"/>
          <w:sz w:val="20"/>
          <w:szCs w:val="20"/>
        </w:rPr>
        <w:t>tency and General Account investment spread.</w:t>
      </w:r>
    </w:p>
    <w:p w:rsidR="00000000" w:rsidRDefault="005B0BC3">
      <w:pPr>
        <w:divId w:val="1288271232"/>
        <w:rPr>
          <w:rFonts w:eastAsia="Times New Roman"/>
        </w:rPr>
      </w:pPr>
      <w:r>
        <w:rPr>
          <w:rFonts w:eastAsia="Times New Roman"/>
          <w:color w:val="000000"/>
          <w:sz w:val="20"/>
          <w:szCs w:val="20"/>
        </w:rPr>
        <w:t>For participating traditional life policies (substantially all of which are in the Closed Block), DAC is amortized over the expected total life of the contract group as a constant percentage based on the present</w:t>
      </w:r>
      <w:r>
        <w:rPr>
          <w:rFonts w:eastAsia="Times New Roman"/>
          <w:color w:val="000000"/>
          <w:sz w:val="20"/>
          <w:szCs w:val="20"/>
        </w:rPr>
        <w:t xml:space="preserve"> value of the estimated gross margin amounts expected to be realized over the life of the contracts using the expected investment yield. As of December 31, 2021, the average rate of assumed investment yields, excluding policy loans, for the Company was 4.5</w:t>
      </w:r>
      <w:r>
        <w:rPr>
          <w:rFonts w:eastAsia="Times New Roman"/>
          <w:color w:val="000000"/>
          <w:sz w:val="20"/>
          <w:szCs w:val="20"/>
        </w:rPr>
        <w:t>% grading to 4.3% in 2026. Estimated gross margins include anticipated premiums and investment results less claims and administrative expenses, changes in the net level premium reserve and expected annual policyholder dividends. The effect on the accumulat</w:t>
      </w:r>
      <w:r>
        <w:rPr>
          <w:rFonts w:eastAsia="Times New Roman"/>
          <w:color w:val="000000"/>
          <w:sz w:val="20"/>
          <w:szCs w:val="20"/>
        </w:rPr>
        <w:t xml:space="preserve">ed amortization of DAC of revisions to estimated gross margins is reflected in earnings in the period such estimated gross margins are revised. The effect on the DAC assets that would result from realization of unrealized gains (losses) is recognized with </w:t>
      </w:r>
      <w:r>
        <w:rPr>
          <w:rFonts w:eastAsia="Times New Roman"/>
          <w:color w:val="000000"/>
          <w:sz w:val="20"/>
          <w:szCs w:val="20"/>
        </w:rPr>
        <w:t>an offset to AOCI in consolidated equity as of the balance sheet date. Many of the factors that affect gross margins are included in the determination of the Company’s dividends to these policyholders. DAC adjustments related to participating traditional l</w:t>
      </w:r>
      <w:r>
        <w:rPr>
          <w:rFonts w:eastAsia="Times New Roman"/>
          <w:color w:val="000000"/>
          <w:sz w:val="20"/>
          <w:szCs w:val="20"/>
        </w:rPr>
        <w:t>ife policies do not create significant volatility in results of operations as the Closed Block recognizes a cumulative policyholder dividend obligation expense in policyholders’ benefits for the excess of actual cumulative earnings over expected cumulative</w:t>
      </w:r>
      <w:r>
        <w:rPr>
          <w:rFonts w:eastAsia="Times New Roman"/>
          <w:color w:val="000000"/>
          <w:sz w:val="20"/>
          <w:szCs w:val="20"/>
        </w:rPr>
        <w:t xml:space="preserve"> earnings as determined at the time of demutualization.</w:t>
      </w:r>
    </w:p>
    <w:p w:rsidR="00000000" w:rsidRDefault="005B0BC3">
      <w:pPr>
        <w:divId w:val="1203636852"/>
        <w:rPr>
          <w:rFonts w:eastAsia="Times New Roman"/>
        </w:rPr>
      </w:pPr>
      <w:r>
        <w:rPr>
          <w:rFonts w:eastAsia="Times New Roman"/>
          <w:color w:val="000000"/>
          <w:sz w:val="20"/>
          <w:szCs w:val="20"/>
        </w:rPr>
        <w:t>DAC associated with non-participating traditional life policies are amortized in proportion to anticipated premiums. Assumptions as to anticipated premiums are estimated at the date of policy issue an</w:t>
      </w:r>
      <w:r>
        <w:rPr>
          <w:rFonts w:eastAsia="Times New Roman"/>
          <w:color w:val="000000"/>
          <w:sz w:val="20"/>
          <w:szCs w:val="20"/>
        </w:rPr>
        <w:t>d are consistently applied during the life of the contracts. Deviations from estimated experience are reflected in income (loss) in the period such deviations occur. For these contracts, the amortization periods generally are for the total life of the poli</w:t>
      </w:r>
      <w:r>
        <w:rPr>
          <w:rFonts w:eastAsia="Times New Roman"/>
          <w:color w:val="000000"/>
          <w:sz w:val="20"/>
          <w:szCs w:val="20"/>
        </w:rPr>
        <w:t>cy. DAC related to these policies are subject to recoverability testing as part of the Company’s premium deficiency testing. If a premium deficiency exists, DAC are reduced by the amount of the deficiency or to zero through a charge to current period earni</w:t>
      </w:r>
      <w:r>
        <w:rPr>
          <w:rFonts w:eastAsia="Times New Roman"/>
          <w:color w:val="000000"/>
          <w:sz w:val="20"/>
          <w:szCs w:val="20"/>
        </w:rPr>
        <w:t>ngs (loss). If the deficiency exceeds the DAC balance, the reserve for future policy benefits is increased by the excess, reflected in earnings (loss) in the period such deficiency occurs.</w:t>
      </w:r>
    </w:p>
    <w:p w:rsidR="00000000" w:rsidRDefault="005B0BC3">
      <w:pPr>
        <w:divId w:val="540557691"/>
        <w:rPr>
          <w:rFonts w:eastAsia="Times New Roman"/>
        </w:rPr>
      </w:pPr>
      <w:r>
        <w:rPr>
          <w:rFonts w:eastAsia="Times New Roman"/>
          <w:color w:val="000000"/>
          <w:sz w:val="20"/>
          <w:szCs w:val="20"/>
        </w:rPr>
        <w:t>For some products, policyholders can elect to modify product benefi</w:t>
      </w:r>
      <w:r>
        <w:rPr>
          <w:rFonts w:eastAsia="Times New Roman"/>
          <w:color w:val="000000"/>
          <w:sz w:val="20"/>
          <w:szCs w:val="20"/>
        </w:rPr>
        <w:t>ts, features, rights or coverages that occur by the exchange of a contract for a new contract, or by amendment, endorsement, or rider to a contract, or by election or coverage within a contract. These transactions are known as internal replacements. If suc</w:t>
      </w:r>
      <w:r>
        <w:rPr>
          <w:rFonts w:eastAsia="Times New Roman"/>
          <w:color w:val="000000"/>
          <w:sz w:val="20"/>
          <w:szCs w:val="20"/>
        </w:rPr>
        <w:t>h modification substantially changes the contract, the associated DAC is written off immediately through income and any new deferrable costs associated with the replacement contract are deferred. If the modification does not substantially change the contra</w:t>
      </w:r>
      <w:r>
        <w:rPr>
          <w:rFonts w:eastAsia="Times New Roman"/>
          <w:color w:val="000000"/>
          <w:sz w:val="20"/>
          <w:szCs w:val="20"/>
        </w:rPr>
        <w:t xml:space="preserve">ct, the DAC amortization on the original contract will continue and any acquisition costs associated with the related modification are expensed. </w:t>
      </w:r>
    </w:p>
    <w:p w:rsidR="00000000" w:rsidRDefault="005B0BC3">
      <w:pPr>
        <w:divId w:val="821972923"/>
        <w:rPr>
          <w:rFonts w:eastAsia="Times New Roman"/>
        </w:rPr>
      </w:pPr>
      <w:r>
        <w:rPr>
          <w:rFonts w:eastAsia="Times New Roman"/>
          <w:color w:val="000000"/>
          <w:sz w:val="20"/>
          <w:szCs w:val="20"/>
          <w:u w:val="single"/>
        </w:rPr>
        <w:t>Reinsurance</w:t>
      </w:r>
    </w:p>
    <w:p w:rsidR="00000000" w:rsidRDefault="005B0BC3">
      <w:pPr>
        <w:divId w:val="1194270853"/>
        <w:rPr>
          <w:rFonts w:eastAsia="Times New Roman"/>
        </w:rPr>
      </w:pPr>
      <w:r>
        <w:rPr>
          <w:rFonts w:eastAsia="Times New Roman"/>
          <w:color w:val="000000"/>
          <w:sz w:val="20"/>
          <w:szCs w:val="20"/>
        </w:rPr>
        <w:t>For each of its reinsurance agreements, the Company determines whether the agreement provides inde</w:t>
      </w:r>
      <w:r>
        <w:rPr>
          <w:rFonts w:eastAsia="Times New Roman"/>
          <w:color w:val="000000"/>
          <w:sz w:val="20"/>
          <w:szCs w:val="20"/>
        </w:rPr>
        <w:t xml:space="preserve">mnification against loss or liability relating to insurance risk in accordance with applicable accounting standards. Cessions under </w:t>
      </w:r>
    </w:p>
    <w:p w:rsidR="00000000" w:rsidRDefault="005B0BC3">
      <w:pPr>
        <w:jc w:val="center"/>
        <w:divId w:val="817721867"/>
        <w:rPr>
          <w:rFonts w:eastAsia="Times New Roman"/>
        </w:rPr>
      </w:pPr>
      <w:r>
        <w:rPr>
          <w:rFonts w:eastAsia="Times New Roman"/>
          <w:color w:val="000000"/>
          <w:sz w:val="20"/>
          <w:szCs w:val="20"/>
        </w:rPr>
        <w:t>147</w:t>
      </w:r>
    </w:p>
    <w:p w:rsidR="00000000" w:rsidRDefault="005B0BC3">
      <w:pPr>
        <w:rPr>
          <w:rFonts w:eastAsia="Times New Roman"/>
        </w:rPr>
      </w:pPr>
      <w:r>
        <w:rPr>
          <w:rFonts w:eastAsia="Times New Roman"/>
        </w:rPr>
        <w:pict>
          <v:rect id="_x0000_i1185" style="width:0;height:1.5pt" o:hralign="center" o:hrstd="t" o:hr="t" fillcolor="#a0a0a0" stroked="f"/>
        </w:pict>
      </w:r>
    </w:p>
    <w:p w:rsidR="00000000" w:rsidRDefault="005B0BC3">
      <w:pPr>
        <w:jc w:val="center"/>
        <w:divId w:val="1455103477"/>
        <w:rPr>
          <w:rFonts w:eastAsia="Times New Roman"/>
        </w:rPr>
      </w:pPr>
      <w:r>
        <w:rPr>
          <w:rFonts w:eastAsia="Times New Roman"/>
          <w:b/>
          <w:bCs/>
          <w:color w:val="000000"/>
          <w:sz w:val="20"/>
          <w:szCs w:val="20"/>
        </w:rPr>
        <w:t>EQUITABLE HOLDINGS, INC.</w:t>
      </w:r>
    </w:p>
    <w:p w:rsidR="00000000" w:rsidRDefault="005B0BC3">
      <w:pPr>
        <w:jc w:val="center"/>
        <w:divId w:val="1455103477"/>
        <w:rPr>
          <w:rFonts w:eastAsia="Times New Roman"/>
        </w:rPr>
      </w:pPr>
      <w:r>
        <w:rPr>
          <w:rFonts w:eastAsia="Times New Roman"/>
          <w:b/>
          <w:bCs/>
          <w:color w:val="000000"/>
          <w:sz w:val="20"/>
          <w:szCs w:val="20"/>
        </w:rPr>
        <w:t>NOTES TO CONSOLIDATED FINANCIAL STATEMENTS, continued</w:t>
      </w:r>
    </w:p>
    <w:p w:rsidR="00000000" w:rsidRDefault="005B0BC3">
      <w:pPr>
        <w:divId w:val="1513690694"/>
        <w:rPr>
          <w:rFonts w:eastAsia="Times New Roman"/>
        </w:rPr>
      </w:pPr>
      <w:r>
        <w:rPr>
          <w:rFonts w:eastAsia="Times New Roman"/>
          <w:color w:val="000000"/>
          <w:sz w:val="20"/>
          <w:szCs w:val="20"/>
        </w:rPr>
        <w:t>rei</w:t>
      </w:r>
      <w:r>
        <w:rPr>
          <w:rFonts w:eastAsia="Times New Roman"/>
          <w:color w:val="000000"/>
          <w:sz w:val="20"/>
          <w:szCs w:val="20"/>
        </w:rPr>
        <w:t>nsurance agreements do not discharge the Company’s obligations as the primary insurer. The Company reviews all contractual features, including those that may limit the amount of insurance risk to which the reinsurer is subject or features that delay the ti</w:t>
      </w:r>
      <w:r>
        <w:rPr>
          <w:rFonts w:eastAsia="Times New Roman"/>
          <w:color w:val="000000"/>
          <w:sz w:val="20"/>
          <w:szCs w:val="20"/>
        </w:rPr>
        <w:t>mely reimbursement of claims.</w:t>
      </w:r>
    </w:p>
    <w:p w:rsidR="00000000" w:rsidRDefault="005B0BC3">
      <w:pPr>
        <w:divId w:val="256330025"/>
        <w:rPr>
          <w:rFonts w:eastAsia="Times New Roman"/>
        </w:rPr>
      </w:pPr>
      <w:r>
        <w:rPr>
          <w:rFonts w:eastAsia="Times New Roman"/>
          <w:color w:val="000000"/>
          <w:sz w:val="20"/>
          <w:szCs w:val="20"/>
        </w:rPr>
        <w:t>For reinsurance of existing in-force blocks of long-duration contracts that transfer significant insurance risk, the difference, if any, between the amounts paid (received), and the liabilities ceded (assumed) related to the u</w:t>
      </w:r>
      <w:r>
        <w:rPr>
          <w:rFonts w:eastAsia="Times New Roman"/>
          <w:color w:val="000000"/>
          <w:sz w:val="20"/>
          <w:szCs w:val="20"/>
        </w:rPr>
        <w:t xml:space="preserve">nderlying contracts is considered the net cost of reinsurance at the inception of the reinsurance agreement. The net cost of reinsurance is recorded as an adjustment to DAC and recognized as a component of other expenses on a basis consistent with the way </w:t>
      </w:r>
      <w:r>
        <w:rPr>
          <w:rFonts w:eastAsia="Times New Roman"/>
          <w:color w:val="000000"/>
          <w:sz w:val="20"/>
          <w:szCs w:val="20"/>
        </w:rPr>
        <w:t>the acquisition costs on the underlying reinsured contracts would be recognized. Subsequent amounts paid (received) on the reinsurance of in-force blocks, as well as amounts paid (received) related to new business, are recorded as premiums ceded (assumed);</w:t>
      </w:r>
      <w:r>
        <w:rPr>
          <w:rFonts w:eastAsia="Times New Roman"/>
          <w:color w:val="000000"/>
          <w:sz w:val="20"/>
          <w:szCs w:val="20"/>
        </w:rPr>
        <w:t xml:space="preserve"> and amounts due from reinsurers (amounts due to reinsurers) are established.</w:t>
      </w:r>
    </w:p>
    <w:p w:rsidR="00000000" w:rsidRDefault="005B0BC3">
      <w:pPr>
        <w:divId w:val="1429623688"/>
        <w:rPr>
          <w:rFonts w:eastAsia="Times New Roman"/>
        </w:rPr>
      </w:pPr>
      <w:r>
        <w:rPr>
          <w:rFonts w:eastAsia="Times New Roman"/>
          <w:color w:val="000000"/>
          <w:sz w:val="20"/>
          <w:szCs w:val="20"/>
        </w:rPr>
        <w:t>Assets and liabilities relating to reinsurance agreements with the same reinsurer may be recorded net on the balance sheet, if a right of offset exists within the reinsurance agr</w:t>
      </w:r>
      <w:r>
        <w:rPr>
          <w:rFonts w:eastAsia="Times New Roman"/>
          <w:color w:val="000000"/>
          <w:sz w:val="20"/>
          <w:szCs w:val="20"/>
        </w:rPr>
        <w:t>eement. In the event that reinsurers do not meet their obligations to the Company under the terms of the reinsurance agreements, reinsurance recoverable balances could become uncollectible. In such instances, reinsurance recoverable balances are stated net</w:t>
      </w:r>
      <w:r>
        <w:rPr>
          <w:rFonts w:eastAsia="Times New Roman"/>
          <w:color w:val="000000"/>
          <w:sz w:val="20"/>
          <w:szCs w:val="20"/>
        </w:rPr>
        <w:t xml:space="preserve"> of allowances for uncollectible reinsurance.</w:t>
      </w:r>
    </w:p>
    <w:p w:rsidR="00000000" w:rsidRDefault="005B0BC3">
      <w:pPr>
        <w:divId w:val="961694956"/>
        <w:rPr>
          <w:rFonts w:eastAsia="Times New Roman"/>
        </w:rPr>
      </w:pPr>
      <w:r>
        <w:rPr>
          <w:rFonts w:eastAsia="Times New Roman"/>
          <w:color w:val="000000"/>
          <w:sz w:val="20"/>
          <w:szCs w:val="20"/>
        </w:rPr>
        <w:t>Premiums, policy charges and fee income, and policyholders’ benefits include amounts assumed under reinsurance agreements and are net of reinsurance ceded. Amounts received from reinsurers for policy administra</w:t>
      </w:r>
      <w:r>
        <w:rPr>
          <w:rFonts w:eastAsia="Times New Roman"/>
          <w:color w:val="000000"/>
          <w:sz w:val="20"/>
          <w:szCs w:val="20"/>
        </w:rPr>
        <w:t>tion are reported in other revenues. With respect to GMIBs, a portion of the directly written GMIBs are accounted for as insurance liabilities, but the associated reinsurance agreements contain embedded derivatives as they are net settled. These embedded d</w:t>
      </w:r>
      <w:r>
        <w:rPr>
          <w:rFonts w:eastAsia="Times New Roman"/>
          <w:color w:val="000000"/>
          <w:sz w:val="20"/>
          <w:szCs w:val="20"/>
        </w:rPr>
        <w:t xml:space="preserve">erivatives are included in GMIB reinsurance contract asset, at fair value with changes in estimated fair value reported in net derivative gains (losses). Separate Account liabilities that have been ceded on a Modified coinsurance (Modco) basis, receivable </w:t>
      </w:r>
      <w:r>
        <w:rPr>
          <w:rFonts w:eastAsia="Times New Roman"/>
          <w:color w:val="000000"/>
          <w:sz w:val="20"/>
          <w:szCs w:val="20"/>
        </w:rPr>
        <w:t>and payable have been recognized on a net basis as right of offset exists.</w:t>
      </w:r>
    </w:p>
    <w:p w:rsidR="00000000" w:rsidRDefault="005B0BC3">
      <w:pPr>
        <w:divId w:val="698699873"/>
        <w:rPr>
          <w:rFonts w:eastAsia="Times New Roman"/>
        </w:rPr>
      </w:pPr>
      <w:r>
        <w:rPr>
          <w:rFonts w:eastAsia="Times New Roman"/>
          <w:color w:val="000000"/>
          <w:sz w:val="20"/>
          <w:szCs w:val="20"/>
        </w:rPr>
        <w:t>If the Company determines that a reinsurance agreement does not expose the reinsurer to a reasonable possibility of a significant loss from insurance risk, the Company records the a</w:t>
      </w:r>
      <w:r>
        <w:rPr>
          <w:rFonts w:eastAsia="Times New Roman"/>
          <w:color w:val="000000"/>
          <w:sz w:val="20"/>
          <w:szCs w:val="20"/>
        </w:rPr>
        <w:t>greement using the deposit method of accounting. Deposits received are included in other liabilities and deposits made are included within other assets. As amounts are paid or received, consistent with the underlying contracts, the deposit assets or liabil</w:t>
      </w:r>
      <w:r>
        <w:rPr>
          <w:rFonts w:eastAsia="Times New Roman"/>
          <w:color w:val="000000"/>
          <w:sz w:val="20"/>
          <w:szCs w:val="20"/>
        </w:rPr>
        <w:t>ities are adjusted. Interest on such deposits is recorded as other income or other operating costs and expenses, as appropriate. Periodically, the Company evaluates the adequacy of the expected payments or recoveries and adjusts the deposit asset or liabil</w:t>
      </w:r>
      <w:r>
        <w:rPr>
          <w:rFonts w:eastAsia="Times New Roman"/>
          <w:color w:val="000000"/>
          <w:sz w:val="20"/>
          <w:szCs w:val="20"/>
        </w:rPr>
        <w:t>ity through other revenues or other expenses, as appropriate.</w:t>
      </w:r>
    </w:p>
    <w:p w:rsidR="00000000" w:rsidRDefault="005B0BC3">
      <w:pPr>
        <w:divId w:val="983854249"/>
        <w:rPr>
          <w:rFonts w:eastAsia="Times New Roman"/>
        </w:rPr>
      </w:pPr>
      <w:r>
        <w:rPr>
          <w:rFonts w:eastAsia="Times New Roman"/>
          <w:color w:val="000000"/>
          <w:sz w:val="20"/>
          <w:szCs w:val="20"/>
        </w:rPr>
        <w:t>For reinsurance contracts other than those accounted for as derivatives, reinsurance recoverable balances are calculated using methodologies and assumptions that are consistent with those used t</w:t>
      </w:r>
      <w:r>
        <w:rPr>
          <w:rFonts w:eastAsia="Times New Roman"/>
          <w:color w:val="000000"/>
          <w:sz w:val="20"/>
          <w:szCs w:val="20"/>
        </w:rPr>
        <w:t>o calculate the direct liabilities.</w:t>
      </w:r>
    </w:p>
    <w:p w:rsidR="00000000" w:rsidRDefault="005B0BC3">
      <w:pPr>
        <w:divId w:val="897743759"/>
        <w:rPr>
          <w:rFonts w:eastAsia="Times New Roman"/>
        </w:rPr>
      </w:pPr>
      <w:r>
        <w:rPr>
          <w:rFonts w:eastAsia="Times New Roman"/>
          <w:color w:val="000000"/>
          <w:sz w:val="20"/>
          <w:szCs w:val="20"/>
          <w:u w:val="single"/>
        </w:rPr>
        <w:t>Policyholder Bonus Interest Credits</w:t>
      </w:r>
    </w:p>
    <w:p w:rsidR="00000000" w:rsidRDefault="005B0BC3">
      <w:pPr>
        <w:divId w:val="1477990118"/>
        <w:rPr>
          <w:rFonts w:eastAsia="Times New Roman"/>
        </w:rPr>
      </w:pPr>
      <w:r>
        <w:rPr>
          <w:rFonts w:eastAsia="Times New Roman"/>
          <w:color w:val="000000"/>
          <w:sz w:val="20"/>
          <w:szCs w:val="20"/>
        </w:rPr>
        <w:t xml:space="preserve">Policyholder bonus interest credits are offered on certain deferred annuity products in the form of either immediate bonus interest credited or enhanced interest crediting rates for a </w:t>
      </w:r>
      <w:r>
        <w:rPr>
          <w:rFonts w:eastAsia="Times New Roman"/>
          <w:color w:val="000000"/>
          <w:sz w:val="20"/>
          <w:szCs w:val="20"/>
        </w:rPr>
        <w:t>period of time. The interest crediting expense associated with these policyholder bonus interest credits is deferred and amortized over the lives of the underlying contracts in a manner consistent with the amortization of DAC. Unamortized balances are incl</w:t>
      </w:r>
      <w:r>
        <w:rPr>
          <w:rFonts w:eastAsia="Times New Roman"/>
          <w:color w:val="000000"/>
          <w:sz w:val="20"/>
          <w:szCs w:val="20"/>
        </w:rPr>
        <w:t>uded in other assets in the consolidated balance sheets and amortization is included in interest credited to policyholders’ account balances in the consolidated statements of income (loss).</w:t>
      </w:r>
    </w:p>
    <w:p w:rsidR="00000000" w:rsidRDefault="005B0BC3">
      <w:pPr>
        <w:divId w:val="1687249736"/>
        <w:rPr>
          <w:rFonts w:eastAsia="Times New Roman"/>
        </w:rPr>
      </w:pPr>
      <w:r>
        <w:rPr>
          <w:rFonts w:eastAsia="Times New Roman"/>
          <w:color w:val="000000"/>
          <w:sz w:val="20"/>
          <w:szCs w:val="20"/>
          <w:u w:val="single"/>
        </w:rPr>
        <w:t>Policyholders’ Account Balances and Future Policy Benefits and Oth</w:t>
      </w:r>
      <w:r>
        <w:rPr>
          <w:rFonts w:eastAsia="Times New Roman"/>
          <w:color w:val="000000"/>
          <w:sz w:val="20"/>
          <w:szCs w:val="20"/>
          <w:u w:val="single"/>
        </w:rPr>
        <w:t>er Policyholders’ Liabilities</w:t>
      </w:r>
    </w:p>
    <w:p w:rsidR="00000000" w:rsidRDefault="005B0BC3">
      <w:pPr>
        <w:divId w:val="1747920898"/>
        <w:rPr>
          <w:rFonts w:eastAsia="Times New Roman"/>
        </w:rPr>
      </w:pPr>
      <w:r>
        <w:rPr>
          <w:rFonts w:eastAsia="Times New Roman"/>
          <w:color w:val="000000"/>
          <w:sz w:val="20"/>
          <w:szCs w:val="20"/>
        </w:rPr>
        <w:t xml:space="preserve">Policyholders’ account balances relate to contracts or contract features where the Company has no significant insurance risk. This liability represents the contract value that has accrued to the benefit of the policyholder as </w:t>
      </w:r>
      <w:r>
        <w:rPr>
          <w:rFonts w:eastAsia="Times New Roman"/>
          <w:color w:val="000000"/>
          <w:sz w:val="20"/>
          <w:szCs w:val="20"/>
        </w:rPr>
        <w:t>of the balance sheet date.</w:t>
      </w:r>
    </w:p>
    <w:p w:rsidR="00000000" w:rsidRDefault="005B0BC3">
      <w:pPr>
        <w:divId w:val="1863670392"/>
        <w:rPr>
          <w:rFonts w:eastAsia="Times New Roman"/>
        </w:rPr>
      </w:pPr>
      <w:r>
        <w:rPr>
          <w:rFonts w:eastAsia="Times New Roman"/>
          <w:color w:val="000000"/>
          <w:sz w:val="20"/>
          <w:szCs w:val="20"/>
        </w:rPr>
        <w:t>For participating traditional life insurance policies, future policy benefit liabilities are calculated using a net level premium method on the basis of actuarial insurance assumptions equal to guaranteed mortality and dividend f</w:t>
      </w:r>
      <w:r>
        <w:rPr>
          <w:rFonts w:eastAsia="Times New Roman"/>
          <w:color w:val="000000"/>
          <w:sz w:val="20"/>
          <w:szCs w:val="20"/>
        </w:rPr>
        <w:t>und interest rates. The liability for annual dividends represents the accrual of annual dividends earned. Terminal dividends are accrued in proportion to gross margins over the life of the contract.</w:t>
      </w:r>
    </w:p>
    <w:p w:rsidR="00000000" w:rsidRDefault="005B0BC3">
      <w:pPr>
        <w:divId w:val="1399016816"/>
        <w:rPr>
          <w:rFonts w:eastAsia="Times New Roman"/>
        </w:rPr>
      </w:pPr>
      <w:r>
        <w:rPr>
          <w:rFonts w:eastAsia="Times New Roman"/>
          <w:color w:val="000000"/>
          <w:sz w:val="20"/>
          <w:szCs w:val="20"/>
        </w:rPr>
        <w:t>For non-participating traditional life insurance policies</w:t>
      </w:r>
      <w:r>
        <w:rPr>
          <w:rFonts w:eastAsia="Times New Roman"/>
          <w:color w:val="000000"/>
          <w:sz w:val="20"/>
          <w:szCs w:val="20"/>
        </w:rPr>
        <w:t>, future policy benefit liabilities are estimated using a net level premium method on the basis of actuarial assumptions as to mortality, persistency and interest established at policy issue. Assumptions established at policy issue as to mortality and pers</w:t>
      </w:r>
      <w:r>
        <w:rPr>
          <w:rFonts w:eastAsia="Times New Roman"/>
          <w:color w:val="000000"/>
          <w:sz w:val="20"/>
          <w:szCs w:val="20"/>
        </w:rPr>
        <w:t xml:space="preserve">istency are based on the Company’s experience </w:t>
      </w:r>
    </w:p>
    <w:p w:rsidR="00000000" w:rsidRDefault="005B0BC3">
      <w:pPr>
        <w:jc w:val="center"/>
        <w:divId w:val="1538002980"/>
        <w:rPr>
          <w:rFonts w:eastAsia="Times New Roman"/>
        </w:rPr>
      </w:pPr>
      <w:r>
        <w:rPr>
          <w:rFonts w:eastAsia="Times New Roman"/>
          <w:color w:val="000000"/>
          <w:sz w:val="20"/>
          <w:szCs w:val="20"/>
        </w:rPr>
        <w:t>148</w:t>
      </w:r>
    </w:p>
    <w:p w:rsidR="00000000" w:rsidRDefault="005B0BC3">
      <w:pPr>
        <w:rPr>
          <w:rFonts w:eastAsia="Times New Roman"/>
        </w:rPr>
      </w:pPr>
      <w:r>
        <w:rPr>
          <w:rFonts w:eastAsia="Times New Roman"/>
        </w:rPr>
        <w:pict>
          <v:rect id="_x0000_i1186" style="width:0;height:1.5pt" o:hralign="center" o:hrstd="t" o:hr="t" fillcolor="#a0a0a0" stroked="f"/>
        </w:pict>
      </w:r>
    </w:p>
    <w:p w:rsidR="00000000" w:rsidRDefault="005B0BC3">
      <w:pPr>
        <w:jc w:val="center"/>
        <w:divId w:val="574509942"/>
        <w:rPr>
          <w:rFonts w:eastAsia="Times New Roman"/>
        </w:rPr>
      </w:pPr>
      <w:r>
        <w:rPr>
          <w:rFonts w:eastAsia="Times New Roman"/>
          <w:b/>
          <w:bCs/>
          <w:color w:val="000000"/>
          <w:sz w:val="20"/>
          <w:szCs w:val="20"/>
        </w:rPr>
        <w:t>EQUITABLE HOLDINGS, INC.</w:t>
      </w:r>
    </w:p>
    <w:p w:rsidR="00000000" w:rsidRDefault="005B0BC3">
      <w:pPr>
        <w:jc w:val="center"/>
        <w:divId w:val="574509942"/>
        <w:rPr>
          <w:rFonts w:eastAsia="Times New Roman"/>
        </w:rPr>
      </w:pPr>
      <w:r>
        <w:rPr>
          <w:rFonts w:eastAsia="Times New Roman"/>
          <w:b/>
          <w:bCs/>
          <w:color w:val="000000"/>
          <w:sz w:val="20"/>
          <w:szCs w:val="20"/>
        </w:rPr>
        <w:t>NOTES TO CONSOLIDATED FINANCIAL STATEMENTS, continued</w:t>
      </w:r>
    </w:p>
    <w:p w:rsidR="00000000" w:rsidRDefault="005B0BC3">
      <w:pPr>
        <w:divId w:val="1692682578"/>
        <w:rPr>
          <w:rFonts w:eastAsia="Times New Roman"/>
        </w:rPr>
      </w:pPr>
      <w:r>
        <w:rPr>
          <w:rFonts w:eastAsia="Times New Roman"/>
          <w:color w:val="000000"/>
          <w:sz w:val="20"/>
          <w:szCs w:val="20"/>
        </w:rPr>
        <w:t xml:space="preserve">that, together with interest and expense assumptions, includes a margin for adverse deviation. Benefit liabilities for traditional annuities </w:t>
      </w:r>
      <w:r>
        <w:rPr>
          <w:rFonts w:eastAsia="Times New Roman"/>
          <w:color w:val="000000"/>
          <w:sz w:val="20"/>
          <w:szCs w:val="20"/>
        </w:rPr>
        <w:t>during the accumulation period are equal to accumulated policyholders’ fund balances and, after annuitization, are equal to the present value of expected future payments. Interest rates used in establishing such liabilities range from 3.5% to 7.3% (weighte</w:t>
      </w:r>
      <w:r>
        <w:rPr>
          <w:rFonts w:eastAsia="Times New Roman"/>
          <w:color w:val="000000"/>
          <w:sz w:val="20"/>
          <w:szCs w:val="20"/>
        </w:rPr>
        <w:t>d average of 5.0%) for approximately 99.4% of life insurance liabilities and from 1.5% to 5.4% (weighted average of 3.5%) for annuity liabilities.</w:t>
      </w:r>
    </w:p>
    <w:p w:rsidR="00000000" w:rsidRDefault="005B0BC3">
      <w:pPr>
        <w:divId w:val="1819416798"/>
        <w:rPr>
          <w:rFonts w:eastAsia="Times New Roman"/>
        </w:rPr>
      </w:pPr>
      <w:r>
        <w:rPr>
          <w:rFonts w:eastAsia="Times New Roman"/>
          <w:color w:val="000000"/>
          <w:sz w:val="20"/>
          <w:szCs w:val="20"/>
        </w:rPr>
        <w:t>Individual health benefit liabilities for active lives are estimated using the net level premium method and a</w:t>
      </w:r>
      <w:r>
        <w:rPr>
          <w:rFonts w:eastAsia="Times New Roman"/>
          <w:color w:val="000000"/>
          <w:sz w:val="20"/>
          <w:szCs w:val="20"/>
        </w:rPr>
        <w:t>ssumptions as to future morbidity, withdrawals and interest. Benefit liabilities for disabled lives are estimated using the present value of benefits method and experience assumptions as to claim terminations, expenses and interest. While management believ</w:t>
      </w:r>
      <w:r>
        <w:rPr>
          <w:rFonts w:eastAsia="Times New Roman"/>
          <w:color w:val="000000"/>
          <w:sz w:val="20"/>
          <w:szCs w:val="20"/>
        </w:rPr>
        <w:t>es its DI reserves have been calculated on a reasonable basis and are adequate, there can be no assurance reserves will be sufficient to provide for future liabilities.</w:t>
      </w:r>
    </w:p>
    <w:p w:rsidR="00000000" w:rsidRDefault="005B0BC3">
      <w:pPr>
        <w:divId w:val="2143620482"/>
        <w:rPr>
          <w:rFonts w:eastAsia="Times New Roman"/>
        </w:rPr>
      </w:pPr>
      <w:r>
        <w:rPr>
          <w:rFonts w:eastAsia="Times New Roman"/>
          <w:color w:val="000000"/>
          <w:sz w:val="20"/>
          <w:szCs w:val="20"/>
        </w:rPr>
        <w:t>Obligations arising from funding agreements are also reported in policyholders’ account</w:t>
      </w:r>
      <w:r>
        <w:rPr>
          <w:rFonts w:eastAsia="Times New Roman"/>
          <w:color w:val="000000"/>
          <w:sz w:val="20"/>
          <w:szCs w:val="20"/>
        </w:rPr>
        <w:t xml:space="preserve"> balances in the consolidated balance sheets. As a member of the FHLB, the Company has access to collateralized borrowings. The Company may also issue funding agreements to the FHLB. Both the collateralized borrowings and funding agreements would require t</w:t>
      </w:r>
      <w:r>
        <w:rPr>
          <w:rFonts w:eastAsia="Times New Roman"/>
          <w:color w:val="000000"/>
          <w:sz w:val="20"/>
          <w:szCs w:val="20"/>
        </w:rPr>
        <w:t>he Company to pledge qualified mortgage-backed assets and/or government securities as collateral.</w:t>
      </w:r>
    </w:p>
    <w:p w:rsidR="00000000" w:rsidRDefault="005B0BC3">
      <w:pPr>
        <w:divId w:val="838234307"/>
        <w:rPr>
          <w:rFonts w:eastAsia="Times New Roman"/>
        </w:rPr>
      </w:pPr>
      <w:r>
        <w:rPr>
          <w:rFonts w:eastAsia="Times New Roman"/>
          <w:color w:val="000000"/>
          <w:sz w:val="20"/>
          <w:szCs w:val="20"/>
        </w:rPr>
        <w:t>The Company has issued and continues to offer certain variable annuity products with GMDB and/or contain a GMLB (collectively, the “GMxB features”) which, if elected by the policyholder after a stipulated waiting period from contract issuance, guarantees a</w:t>
      </w:r>
      <w:r>
        <w:rPr>
          <w:rFonts w:eastAsia="Times New Roman"/>
          <w:color w:val="000000"/>
          <w:sz w:val="20"/>
          <w:szCs w:val="20"/>
        </w:rPr>
        <w:t xml:space="preserve"> minimum lifetime annuity based on predetermined annuity purchase rates that may be in excess of what the contract account value can purchase at then-current annuity purchase rates. This minimum lifetime annuity is based on predetermined annuity purchase r</w:t>
      </w:r>
      <w:r>
        <w:rPr>
          <w:rFonts w:eastAsia="Times New Roman"/>
          <w:color w:val="000000"/>
          <w:sz w:val="20"/>
          <w:szCs w:val="20"/>
        </w:rPr>
        <w:t xml:space="preserve">ates applied to a GMIB base. The Company previously issued certain variable annuity products with GIB, GWBL, GMWB, and GMAB features. The Company has also assumed reinsurance for products with GMxB features. </w:t>
      </w:r>
    </w:p>
    <w:p w:rsidR="00000000" w:rsidRDefault="005B0BC3">
      <w:pPr>
        <w:divId w:val="231081397"/>
        <w:rPr>
          <w:rFonts w:eastAsia="Times New Roman"/>
        </w:rPr>
      </w:pPr>
      <w:r>
        <w:rPr>
          <w:rFonts w:eastAsia="Times New Roman"/>
          <w:color w:val="000000"/>
          <w:sz w:val="20"/>
          <w:szCs w:val="20"/>
        </w:rPr>
        <w:t xml:space="preserve">Reserves for products that have GMIB features, </w:t>
      </w:r>
      <w:r>
        <w:rPr>
          <w:rFonts w:eastAsia="Times New Roman"/>
          <w:color w:val="000000"/>
          <w:sz w:val="20"/>
          <w:szCs w:val="20"/>
        </w:rPr>
        <w:t>but do not have no-lapse guarantee features, and products with GMDB features are determined by estimating the expected value of death or income benefits in excess of the projected contract accumulation value and recognizing the excess over the estimated li</w:t>
      </w:r>
      <w:r>
        <w:rPr>
          <w:rFonts w:eastAsia="Times New Roman"/>
          <w:color w:val="000000"/>
          <w:sz w:val="20"/>
          <w:szCs w:val="20"/>
        </w:rPr>
        <w:t>fe based on expected assessments (i.e., benefit ratio). The liability equals the current benefit ratio multiplied by cumulative assessments recognized to date, plus interest, less cumulative excess payments to date. These reserves are recorded within futur</w:t>
      </w:r>
      <w:r>
        <w:rPr>
          <w:rFonts w:eastAsia="Times New Roman"/>
          <w:color w:val="000000"/>
          <w:sz w:val="20"/>
          <w:szCs w:val="20"/>
        </w:rPr>
        <w:t>e policy benefits and other policyholders’ liabilities. The determination of this estimated future policy benefits liability is based on models that involve numerous assumptions and subjective judgments, including those regarding expected market rates of r</w:t>
      </w:r>
      <w:r>
        <w:rPr>
          <w:rFonts w:eastAsia="Times New Roman"/>
          <w:color w:val="000000"/>
          <w:sz w:val="20"/>
          <w:szCs w:val="20"/>
        </w:rPr>
        <w:t>eturn and volatility, contract surrender and withdrawal rates, mortality experience, and, for contracts with the GMIB feature, GMIB election rates. Assumptions regarding separate account performance used for purposes of this calculation are set using a lon</w:t>
      </w:r>
      <w:r>
        <w:rPr>
          <w:rFonts w:eastAsia="Times New Roman"/>
          <w:color w:val="000000"/>
          <w:sz w:val="20"/>
          <w:szCs w:val="20"/>
        </w:rPr>
        <w:t xml:space="preserve">g-term view of expected average market returns by applying a RTM approach, consistent with that used for DAC amortization. There can be no assurance that actual experience will be consistent with management’s estimates. </w:t>
      </w:r>
    </w:p>
    <w:p w:rsidR="00000000" w:rsidRDefault="005B0BC3">
      <w:pPr>
        <w:divId w:val="1919055299"/>
        <w:rPr>
          <w:rFonts w:eastAsia="Times New Roman"/>
        </w:rPr>
      </w:pPr>
      <w:r>
        <w:rPr>
          <w:rFonts w:eastAsia="Times New Roman"/>
          <w:color w:val="000000"/>
          <w:sz w:val="20"/>
          <w:szCs w:val="20"/>
        </w:rPr>
        <w:t>Products that have a GMIB feature w</w:t>
      </w:r>
      <w:r>
        <w:rPr>
          <w:rFonts w:eastAsia="Times New Roman"/>
          <w:color w:val="000000"/>
          <w:sz w:val="20"/>
          <w:szCs w:val="20"/>
        </w:rPr>
        <w:t>ith a no-lapse guarantee rider (“GMIBNLG”), GIB, GWBL, GMWB and GMAB features and the assumed products with GMIB features (collectively “GMxB derivative features”) are considered either freestanding or embedded derivatives and discussed below under (“Embed</w:t>
      </w:r>
      <w:r>
        <w:rPr>
          <w:rFonts w:eastAsia="Times New Roman"/>
          <w:color w:val="000000"/>
          <w:sz w:val="20"/>
          <w:szCs w:val="20"/>
        </w:rPr>
        <w:t>ded and Freestanding Insurance Derivatives”).</w:t>
      </w:r>
    </w:p>
    <w:p w:rsidR="00000000" w:rsidRDefault="005B0BC3">
      <w:pPr>
        <w:divId w:val="1640453684"/>
        <w:rPr>
          <w:rFonts w:eastAsia="Times New Roman"/>
        </w:rPr>
      </w:pPr>
      <w:r>
        <w:rPr>
          <w:rFonts w:eastAsia="Times New Roman"/>
          <w:color w:val="000000"/>
          <w:sz w:val="20"/>
          <w:szCs w:val="20"/>
        </w:rPr>
        <w:t>After the initial establishment of reserves, premium deficiency and loss recognition tests are performed each period end using best estimate assumptions as of the testing date without provisions for adverse dev</w:t>
      </w:r>
      <w:r>
        <w:rPr>
          <w:rFonts w:eastAsia="Times New Roman"/>
          <w:color w:val="000000"/>
          <w:sz w:val="20"/>
          <w:szCs w:val="20"/>
        </w:rPr>
        <w:t>iation. When the liabilities for future policy benefits plus the present value of expected future gross premiums for the aggregate product group are insufficient to provide for expected future policy benefits and expenses for that line of business (i.e., r</w:t>
      </w:r>
      <w:r>
        <w:rPr>
          <w:rFonts w:eastAsia="Times New Roman"/>
          <w:color w:val="000000"/>
          <w:sz w:val="20"/>
          <w:szCs w:val="20"/>
        </w:rPr>
        <w:t>eserves net of any DAC asset), DAC would first be written off and thereafter, if required, a premium deficiency reserve would be established by a charge to earnings. Premium deficiency reserves are recorded for the group single premium annuity business, ce</w:t>
      </w:r>
      <w:r>
        <w:rPr>
          <w:rFonts w:eastAsia="Times New Roman"/>
          <w:color w:val="000000"/>
          <w:sz w:val="20"/>
          <w:szCs w:val="20"/>
        </w:rPr>
        <w:t>rtain interest-sensitive life contracts, structured settlements, individual disability income and major medical. Additionally, in certain instances the policyholder liability for a particular line of business may not be deficient in the aggregate to trigge</w:t>
      </w:r>
      <w:r>
        <w:rPr>
          <w:rFonts w:eastAsia="Times New Roman"/>
          <w:color w:val="000000"/>
          <w:sz w:val="20"/>
          <w:szCs w:val="20"/>
        </w:rPr>
        <w:t xml:space="preserve">r loss recognition, but the pattern of earnings may be such that profits are expected to be recognized in earlier years followed by losses in later years. This pattern of profits followed by losses is exhibited in our VISL business and is generated by the </w:t>
      </w:r>
      <w:r>
        <w:rPr>
          <w:rFonts w:eastAsia="Times New Roman"/>
          <w:color w:val="000000"/>
          <w:sz w:val="20"/>
          <w:szCs w:val="20"/>
        </w:rPr>
        <w:t>cost structure of the product or secondary guarantees in the contract. The secondary guarantee ensures that, subject to specified conditions, the policy will not terminate and will continue to provide a death benefit even if there is insufficient policy va</w:t>
      </w:r>
      <w:r>
        <w:rPr>
          <w:rFonts w:eastAsia="Times New Roman"/>
          <w:color w:val="000000"/>
          <w:sz w:val="20"/>
          <w:szCs w:val="20"/>
        </w:rPr>
        <w:t xml:space="preserve">lue to cover the monthly deductions and charges. We accrue for these PFBL using a dynamic approach that changes over time as the projection of future losses change. </w:t>
      </w:r>
    </w:p>
    <w:p w:rsidR="00000000" w:rsidRDefault="005B0BC3">
      <w:pPr>
        <w:jc w:val="center"/>
        <w:divId w:val="655305664"/>
        <w:rPr>
          <w:rFonts w:eastAsia="Times New Roman"/>
        </w:rPr>
      </w:pPr>
      <w:r>
        <w:rPr>
          <w:rFonts w:eastAsia="Times New Roman"/>
          <w:color w:val="000000"/>
          <w:sz w:val="20"/>
          <w:szCs w:val="20"/>
        </w:rPr>
        <w:t>149</w:t>
      </w:r>
    </w:p>
    <w:p w:rsidR="00000000" w:rsidRDefault="005B0BC3">
      <w:pPr>
        <w:rPr>
          <w:rFonts w:eastAsia="Times New Roman"/>
        </w:rPr>
      </w:pPr>
      <w:r>
        <w:rPr>
          <w:rFonts w:eastAsia="Times New Roman"/>
        </w:rPr>
        <w:pict>
          <v:rect id="_x0000_i1187" style="width:0;height:1.5pt" o:hralign="center" o:hrstd="t" o:hr="t" fillcolor="#a0a0a0" stroked="f"/>
        </w:pict>
      </w:r>
    </w:p>
    <w:p w:rsidR="00000000" w:rsidRDefault="005B0BC3">
      <w:pPr>
        <w:jc w:val="center"/>
        <w:divId w:val="160509161"/>
        <w:rPr>
          <w:rFonts w:eastAsia="Times New Roman"/>
        </w:rPr>
      </w:pPr>
      <w:r>
        <w:rPr>
          <w:rFonts w:eastAsia="Times New Roman"/>
          <w:b/>
          <w:bCs/>
          <w:color w:val="000000"/>
          <w:sz w:val="20"/>
          <w:szCs w:val="20"/>
        </w:rPr>
        <w:t>EQUITABLE HOLDINGS, INC.</w:t>
      </w:r>
    </w:p>
    <w:p w:rsidR="00000000" w:rsidRDefault="005B0BC3">
      <w:pPr>
        <w:jc w:val="center"/>
        <w:divId w:val="160509161"/>
        <w:rPr>
          <w:rFonts w:eastAsia="Times New Roman"/>
        </w:rPr>
      </w:pPr>
      <w:r>
        <w:rPr>
          <w:rFonts w:eastAsia="Times New Roman"/>
          <w:b/>
          <w:bCs/>
          <w:color w:val="000000"/>
          <w:sz w:val="20"/>
          <w:szCs w:val="20"/>
        </w:rPr>
        <w:t>NOTES TO CONSOLIDATED FIN</w:t>
      </w:r>
      <w:r>
        <w:rPr>
          <w:rFonts w:eastAsia="Times New Roman"/>
          <w:b/>
          <w:bCs/>
          <w:color w:val="000000"/>
          <w:sz w:val="20"/>
          <w:szCs w:val="20"/>
        </w:rPr>
        <w:t>ANCIAL STATEMENTS, continued</w:t>
      </w:r>
    </w:p>
    <w:p w:rsidR="00000000" w:rsidRDefault="005B0BC3">
      <w:pPr>
        <w:jc w:val="both"/>
        <w:divId w:val="2083526133"/>
        <w:rPr>
          <w:rFonts w:eastAsia="Times New Roman"/>
        </w:rPr>
      </w:pPr>
      <w:r>
        <w:rPr>
          <w:rFonts w:eastAsia="Times New Roman"/>
          <w:b/>
          <w:bCs/>
          <w:i/>
          <w:iCs/>
          <w:color w:val="000000"/>
          <w:sz w:val="20"/>
          <w:szCs w:val="20"/>
        </w:rPr>
        <w:t>Policyholders’ Dividends</w:t>
      </w:r>
    </w:p>
    <w:p w:rsidR="00000000" w:rsidRDefault="005B0BC3">
      <w:pPr>
        <w:divId w:val="1528523941"/>
        <w:rPr>
          <w:rFonts w:eastAsia="Times New Roman"/>
        </w:rPr>
      </w:pPr>
      <w:r>
        <w:rPr>
          <w:rFonts w:eastAsia="Times New Roman"/>
          <w:color w:val="000000"/>
          <w:sz w:val="20"/>
          <w:szCs w:val="20"/>
        </w:rPr>
        <w:t>The amount of policyholders’ dividends to be paid (including dividends on policies included in the Closed Block) is determined annually by the board of directors of the issuing insurance company. The ag</w:t>
      </w:r>
      <w:r>
        <w:rPr>
          <w:rFonts w:eastAsia="Times New Roman"/>
          <w:color w:val="000000"/>
          <w:sz w:val="20"/>
          <w:szCs w:val="20"/>
        </w:rPr>
        <w:t>gregate amount of policyholders’ dividends is related to actual interest, mortality, morbidity and expense experience for the year and judgment as to the appropriate level of statutory surplus to be retained by the Company.</w:t>
      </w:r>
    </w:p>
    <w:p w:rsidR="00000000" w:rsidRDefault="005B0BC3">
      <w:pPr>
        <w:divId w:val="751849991"/>
        <w:rPr>
          <w:rFonts w:eastAsia="Times New Roman"/>
        </w:rPr>
      </w:pPr>
      <w:r>
        <w:rPr>
          <w:rFonts w:eastAsia="Times New Roman"/>
          <w:color w:val="000000"/>
          <w:sz w:val="20"/>
          <w:szCs w:val="20"/>
          <w:u w:val="single"/>
        </w:rPr>
        <w:t>Embedded and Freestanding Insura</w:t>
      </w:r>
      <w:r>
        <w:rPr>
          <w:rFonts w:eastAsia="Times New Roman"/>
          <w:color w:val="000000"/>
          <w:sz w:val="20"/>
          <w:szCs w:val="20"/>
          <w:u w:val="single"/>
        </w:rPr>
        <w:t>nce Derivatives</w:t>
      </w:r>
    </w:p>
    <w:p w:rsidR="00000000" w:rsidRDefault="005B0BC3">
      <w:pPr>
        <w:divId w:val="164365620"/>
        <w:rPr>
          <w:rFonts w:eastAsia="Times New Roman"/>
        </w:rPr>
      </w:pPr>
      <w:r>
        <w:rPr>
          <w:rFonts w:eastAsia="Times New Roman"/>
          <w:color w:val="000000"/>
          <w:sz w:val="20"/>
          <w:szCs w:val="20"/>
        </w:rPr>
        <w:t>Reserves for products or features within products that are considered either embedded or freestanding derivatives are measured at estimated fair value separately from the host variable annuity product, with changes in estimated fair value r</w:t>
      </w:r>
      <w:r>
        <w:rPr>
          <w:rFonts w:eastAsia="Times New Roman"/>
          <w:color w:val="000000"/>
          <w:sz w:val="20"/>
          <w:szCs w:val="20"/>
        </w:rPr>
        <w:t xml:space="preserve">eported in net derivative gains (losses). The estimated fair values of these derivatives are determined based on the present value of projected future benefits minus the present value of projected future fees attributable to the guarantee. The projections </w:t>
      </w:r>
      <w:r>
        <w:rPr>
          <w:rFonts w:eastAsia="Times New Roman"/>
          <w:color w:val="000000"/>
          <w:sz w:val="20"/>
          <w:szCs w:val="20"/>
        </w:rPr>
        <w:t>of future benefits and future fees require capital markets and actuarial assumptions, including expectations concerning policyholder behavior. A risk-neutral valuation methodology is used under which the cash flows from the guarantees are projected under m</w:t>
      </w:r>
      <w:r>
        <w:rPr>
          <w:rFonts w:eastAsia="Times New Roman"/>
          <w:color w:val="000000"/>
          <w:sz w:val="20"/>
          <w:szCs w:val="20"/>
        </w:rPr>
        <w:t>ultiple capital market scenarios using observable risk-free rates.</w:t>
      </w:r>
    </w:p>
    <w:p w:rsidR="00000000" w:rsidRDefault="005B0BC3">
      <w:pPr>
        <w:divId w:val="834302616"/>
        <w:rPr>
          <w:rFonts w:eastAsia="Times New Roman"/>
        </w:rPr>
      </w:pPr>
      <w:r>
        <w:rPr>
          <w:rFonts w:eastAsia="Times New Roman"/>
          <w:color w:val="000000"/>
          <w:sz w:val="20"/>
          <w:szCs w:val="20"/>
        </w:rPr>
        <w:t>Additionally, the Company cedes and assumes reinsurance of products with GMxB features, which are considered either an embedded or freestanding derivative, and measured at fair value. The G</w:t>
      </w:r>
      <w:r>
        <w:rPr>
          <w:rFonts w:eastAsia="Times New Roman"/>
          <w:color w:val="000000"/>
          <w:sz w:val="20"/>
          <w:szCs w:val="20"/>
        </w:rPr>
        <w:t xml:space="preserve">MxB reinsurance contract asset and liabilities’ fair values reflect the present value of reinsurance premiums, net of recoveries, and risk margins over a range of market-consistent economic scenarios. </w:t>
      </w:r>
    </w:p>
    <w:p w:rsidR="00000000" w:rsidRDefault="005B0BC3">
      <w:pPr>
        <w:divId w:val="1284847673"/>
        <w:rPr>
          <w:rFonts w:eastAsia="Times New Roman"/>
        </w:rPr>
      </w:pPr>
      <w:r>
        <w:rPr>
          <w:rFonts w:eastAsia="Times New Roman"/>
          <w:color w:val="000000"/>
          <w:sz w:val="20"/>
          <w:szCs w:val="20"/>
        </w:rPr>
        <w:t>Changes in the fair value of embedded and freestanding</w:t>
      </w:r>
      <w:r>
        <w:rPr>
          <w:rFonts w:eastAsia="Times New Roman"/>
          <w:color w:val="000000"/>
          <w:sz w:val="20"/>
          <w:szCs w:val="20"/>
        </w:rPr>
        <w:t xml:space="preserve"> derivatives are reported in net derivative gains (losses). Embedded derivatives in direct and assumed reinsurance contracts are reported in future policyholders’ benefits and other policyholders’ liabilities. Amounts due from reinsurers contains the reins</w:t>
      </w:r>
      <w:r>
        <w:rPr>
          <w:rFonts w:eastAsia="Times New Roman"/>
          <w:color w:val="000000"/>
          <w:sz w:val="20"/>
          <w:szCs w:val="20"/>
        </w:rPr>
        <w:t>urance of underlying GMIB contracts that are embedded derivatives, so the reinsurance has the same risk attributes as the underlying contracts and is an embedded derivatives carried at fair value. There are also embedded derivatives reported in the GMIB re</w:t>
      </w:r>
      <w:r>
        <w:rPr>
          <w:rFonts w:eastAsia="Times New Roman"/>
          <w:color w:val="000000"/>
          <w:sz w:val="20"/>
          <w:szCs w:val="20"/>
        </w:rPr>
        <w:t>insurance contract asset related to ceded reinsurance contracts that are net settled, recorded at fair value in the consolidated balance sheets.</w:t>
      </w:r>
    </w:p>
    <w:p w:rsidR="00000000" w:rsidRDefault="005B0BC3">
      <w:pPr>
        <w:divId w:val="208032606"/>
        <w:rPr>
          <w:rFonts w:eastAsia="Times New Roman"/>
        </w:rPr>
      </w:pPr>
      <w:r>
        <w:rPr>
          <w:rFonts w:eastAsia="Times New Roman"/>
          <w:color w:val="000000"/>
          <w:sz w:val="20"/>
          <w:szCs w:val="20"/>
        </w:rPr>
        <w:t>Embedded derivatives fair values are determined based on the present value of projected future benefits minus t</w:t>
      </w:r>
      <w:r>
        <w:rPr>
          <w:rFonts w:eastAsia="Times New Roman"/>
          <w:color w:val="000000"/>
          <w:sz w:val="20"/>
          <w:szCs w:val="20"/>
        </w:rPr>
        <w:t>he present value of projected future fees. At policy inception, a portion of the projected future guarantee fees to be collected from the policyholder equal to the present value of projected future guaranteed benefits is attributed to the embedded derivati</w:t>
      </w:r>
      <w:r>
        <w:rPr>
          <w:rFonts w:eastAsia="Times New Roman"/>
          <w:color w:val="000000"/>
          <w:sz w:val="20"/>
          <w:szCs w:val="20"/>
        </w:rPr>
        <w:t>ve. The percentage of fees included in the fair value measurement is locked-in at inception. Fees above those amounts represent “excess” fees and are reported in policy charges and fee income.</w:t>
      </w:r>
    </w:p>
    <w:p w:rsidR="00000000" w:rsidRDefault="005B0BC3">
      <w:pPr>
        <w:divId w:val="1699038548"/>
        <w:rPr>
          <w:rFonts w:eastAsia="Times New Roman"/>
        </w:rPr>
      </w:pPr>
      <w:r>
        <w:rPr>
          <w:rFonts w:eastAsia="Times New Roman"/>
          <w:color w:val="000000"/>
          <w:sz w:val="20"/>
          <w:szCs w:val="20"/>
          <w:u w:val="single"/>
        </w:rPr>
        <w:t>Separate Accounts</w:t>
      </w:r>
    </w:p>
    <w:p w:rsidR="00000000" w:rsidRDefault="005B0BC3">
      <w:pPr>
        <w:divId w:val="1289436584"/>
        <w:rPr>
          <w:rFonts w:eastAsia="Times New Roman"/>
        </w:rPr>
      </w:pPr>
      <w:r>
        <w:rPr>
          <w:rFonts w:eastAsia="Times New Roman"/>
          <w:color w:val="000000"/>
          <w:sz w:val="20"/>
          <w:szCs w:val="20"/>
        </w:rPr>
        <w:t>Generally, Separate Accounts established unde</w:t>
      </w:r>
      <w:r>
        <w:rPr>
          <w:rFonts w:eastAsia="Times New Roman"/>
          <w:color w:val="000000"/>
          <w:sz w:val="20"/>
          <w:szCs w:val="20"/>
        </w:rPr>
        <w:t>r New York State and Arizona State Insurance Law are not chargeable with liabilities that arise from any other business of the Company. Separate Accounts assets are subject to General Account claims only to the extent Separate Accounts assets exceed separa</w:t>
      </w:r>
      <w:r>
        <w:rPr>
          <w:rFonts w:eastAsia="Times New Roman"/>
          <w:color w:val="000000"/>
          <w:sz w:val="20"/>
          <w:szCs w:val="20"/>
        </w:rPr>
        <w:t>te accounts liabilities. Assets and liabilities of the Separate Account represent the net deposits and accumulated net investment earnings (loss) less fees, held primarily for the benefit of policyholders, and for which the Company does not bear the invest</w:t>
      </w:r>
      <w:r>
        <w:rPr>
          <w:rFonts w:eastAsia="Times New Roman"/>
          <w:color w:val="000000"/>
          <w:sz w:val="20"/>
          <w:szCs w:val="20"/>
        </w:rPr>
        <w:t>ment risk. Separate Accounts assets and liabilities are shown on separate lines in the consolidated balance sheets. Assets held in Separate Accounts are reported at quoted market values or, where quoted values are not readily available or accessible for th</w:t>
      </w:r>
      <w:r>
        <w:rPr>
          <w:rFonts w:eastAsia="Times New Roman"/>
          <w:color w:val="000000"/>
          <w:sz w:val="20"/>
          <w:szCs w:val="20"/>
        </w:rPr>
        <w:t>ese securities, their fair value measures most often are determined through the use of model pricing that effectively discounts prospective cash flows to present value using appropriate sector-adjusted credit spreads commensurate with the security’s durati</w:t>
      </w:r>
      <w:r>
        <w:rPr>
          <w:rFonts w:eastAsia="Times New Roman"/>
          <w:color w:val="000000"/>
          <w:sz w:val="20"/>
          <w:szCs w:val="20"/>
        </w:rPr>
        <w:t>on, also taking into consideration issuer-specific credit quality and liquidity. Investment performance (including investment income, net investment gains (losses) and changes in unrealized gains (losses)) and the corresponding amounts credited to policyho</w:t>
      </w:r>
      <w:r>
        <w:rPr>
          <w:rFonts w:eastAsia="Times New Roman"/>
          <w:color w:val="000000"/>
          <w:sz w:val="20"/>
          <w:szCs w:val="20"/>
        </w:rPr>
        <w:t xml:space="preserve">lders of such Separate Accounts are offset within the same line in the consolidated statements of income (loss). </w:t>
      </w:r>
    </w:p>
    <w:p w:rsidR="00000000" w:rsidRDefault="005B0BC3">
      <w:pPr>
        <w:divId w:val="1948349083"/>
        <w:rPr>
          <w:rFonts w:eastAsia="Times New Roman"/>
        </w:rPr>
      </w:pPr>
      <w:r>
        <w:rPr>
          <w:rFonts w:eastAsia="Times New Roman"/>
          <w:color w:val="000000"/>
          <w:sz w:val="20"/>
          <w:szCs w:val="20"/>
        </w:rPr>
        <w:t>Deposits to Separate Accounts are reported as increases in Separate Accounts assets and liabilities and are not reported in the consolidated s</w:t>
      </w:r>
      <w:r>
        <w:rPr>
          <w:rFonts w:eastAsia="Times New Roman"/>
          <w:color w:val="000000"/>
          <w:sz w:val="20"/>
          <w:szCs w:val="20"/>
        </w:rPr>
        <w:t>tatements of income (loss). Mortality, policy administration and surrender charges on all policies including those funded by Separate Accounts are included in revenues.</w:t>
      </w:r>
    </w:p>
    <w:p w:rsidR="00000000" w:rsidRDefault="005B0BC3">
      <w:pPr>
        <w:divId w:val="1231310697"/>
        <w:rPr>
          <w:rFonts w:eastAsia="Times New Roman"/>
        </w:rPr>
      </w:pPr>
      <w:r>
        <w:rPr>
          <w:rFonts w:eastAsia="Times New Roman"/>
          <w:color w:val="000000"/>
          <w:sz w:val="20"/>
          <w:szCs w:val="20"/>
        </w:rPr>
        <w:t>The Company reports the General Account’s interests in Separate Accounts as trading sec</w:t>
      </w:r>
      <w:r>
        <w:rPr>
          <w:rFonts w:eastAsia="Times New Roman"/>
          <w:color w:val="000000"/>
          <w:sz w:val="20"/>
          <w:szCs w:val="20"/>
        </w:rPr>
        <w:t>urities, at fair value, in the consolidated balance sheets.</w:t>
      </w:r>
    </w:p>
    <w:p w:rsidR="00000000" w:rsidRDefault="005B0BC3">
      <w:pPr>
        <w:jc w:val="center"/>
        <w:divId w:val="467893862"/>
        <w:rPr>
          <w:rFonts w:eastAsia="Times New Roman"/>
        </w:rPr>
      </w:pPr>
      <w:r>
        <w:rPr>
          <w:rFonts w:eastAsia="Times New Roman"/>
          <w:color w:val="000000"/>
          <w:sz w:val="20"/>
          <w:szCs w:val="20"/>
        </w:rPr>
        <w:t>150</w:t>
      </w:r>
    </w:p>
    <w:p w:rsidR="00000000" w:rsidRDefault="005B0BC3">
      <w:pPr>
        <w:rPr>
          <w:rFonts w:eastAsia="Times New Roman"/>
        </w:rPr>
      </w:pPr>
      <w:r>
        <w:rPr>
          <w:rFonts w:eastAsia="Times New Roman"/>
        </w:rPr>
        <w:pict>
          <v:rect id="_x0000_i1188" style="width:0;height:1.5pt" o:hralign="center" o:hrstd="t" o:hr="t" fillcolor="#a0a0a0" stroked="f"/>
        </w:pict>
      </w:r>
    </w:p>
    <w:p w:rsidR="00000000" w:rsidRDefault="005B0BC3">
      <w:pPr>
        <w:jc w:val="center"/>
        <w:divId w:val="1480996339"/>
        <w:rPr>
          <w:rFonts w:eastAsia="Times New Roman"/>
        </w:rPr>
      </w:pPr>
      <w:r>
        <w:rPr>
          <w:rFonts w:eastAsia="Times New Roman"/>
          <w:b/>
          <w:bCs/>
          <w:color w:val="000000"/>
          <w:sz w:val="20"/>
          <w:szCs w:val="20"/>
        </w:rPr>
        <w:t>EQUITABLE HOLDINGS, INC.</w:t>
      </w:r>
    </w:p>
    <w:p w:rsidR="00000000" w:rsidRDefault="005B0BC3">
      <w:pPr>
        <w:jc w:val="center"/>
        <w:divId w:val="1480996339"/>
        <w:rPr>
          <w:rFonts w:eastAsia="Times New Roman"/>
        </w:rPr>
      </w:pPr>
      <w:r>
        <w:rPr>
          <w:rFonts w:eastAsia="Times New Roman"/>
          <w:b/>
          <w:bCs/>
          <w:color w:val="000000"/>
          <w:sz w:val="20"/>
          <w:szCs w:val="20"/>
        </w:rPr>
        <w:t>NOTES TO CONSOLIDATED FINANCIAL STATEMENTS, continued</w:t>
      </w:r>
    </w:p>
    <w:p w:rsidR="00000000" w:rsidRDefault="005B0BC3">
      <w:pPr>
        <w:divId w:val="1416827806"/>
        <w:rPr>
          <w:rFonts w:eastAsia="Times New Roman"/>
        </w:rPr>
      </w:pPr>
      <w:r>
        <w:rPr>
          <w:rFonts w:eastAsia="Times New Roman"/>
          <w:color w:val="000000"/>
          <w:sz w:val="20"/>
          <w:szCs w:val="20"/>
          <w:u w:val="single"/>
        </w:rPr>
        <w:t>Leases</w:t>
      </w:r>
    </w:p>
    <w:p w:rsidR="00000000" w:rsidRDefault="005B0BC3">
      <w:pPr>
        <w:divId w:val="448402419"/>
        <w:rPr>
          <w:rFonts w:eastAsia="Times New Roman"/>
        </w:rPr>
      </w:pPr>
      <w:r>
        <w:rPr>
          <w:rFonts w:eastAsia="Times New Roman"/>
          <w:color w:val="000000"/>
          <w:sz w:val="20"/>
          <w:szCs w:val="20"/>
        </w:rPr>
        <w:t>The Company does not record leases with an initial term of 12 months or less in its consolidated balance sheets, but instead recognizes lease expense for these leases on a straight-line basis over the lease term. For leases with a term greater than one yea</w:t>
      </w:r>
      <w:r>
        <w:rPr>
          <w:rFonts w:eastAsia="Times New Roman"/>
          <w:color w:val="000000"/>
          <w:sz w:val="20"/>
          <w:szCs w:val="20"/>
        </w:rPr>
        <w:t xml:space="preserve">r, the Company records in its consolidated balance sheets at the time of lease commencement or modification a RoU operating lease asset and a lease liability, initially measured at the present value of the lease payments. Lease costs are recognized in the </w:t>
      </w:r>
      <w:r>
        <w:rPr>
          <w:rFonts w:eastAsia="Times New Roman"/>
          <w:color w:val="000000"/>
          <w:sz w:val="20"/>
          <w:szCs w:val="20"/>
        </w:rPr>
        <w:t>consolidated statements of income (loss) over the lease term on a straight-line basis. RoU operating lease assets represent the Company’s right to use an underlying asset for the lease term and RoU operating lease liabilities represent the Company’s obliga</w:t>
      </w:r>
      <w:r>
        <w:rPr>
          <w:rFonts w:eastAsia="Times New Roman"/>
          <w:color w:val="000000"/>
          <w:sz w:val="20"/>
          <w:szCs w:val="20"/>
        </w:rPr>
        <w:t>tion to make lease payments arising from the lease.</w:t>
      </w:r>
    </w:p>
    <w:p w:rsidR="00000000" w:rsidRDefault="005B0BC3">
      <w:pPr>
        <w:divId w:val="1736081078"/>
        <w:rPr>
          <w:rFonts w:eastAsia="Times New Roman"/>
        </w:rPr>
      </w:pPr>
      <w:r>
        <w:rPr>
          <w:rFonts w:eastAsia="Times New Roman"/>
          <w:color w:val="000000"/>
          <w:sz w:val="20"/>
          <w:szCs w:val="20"/>
          <w:u w:val="single"/>
        </w:rPr>
        <w:t xml:space="preserve">Broker-Dealer Revenues, Receivables and Payables </w:t>
      </w:r>
    </w:p>
    <w:p w:rsidR="00000000" w:rsidRDefault="005B0BC3">
      <w:pPr>
        <w:divId w:val="978342593"/>
        <w:rPr>
          <w:rFonts w:eastAsia="Times New Roman"/>
        </w:rPr>
      </w:pPr>
      <w:r>
        <w:rPr>
          <w:rFonts w:eastAsia="Times New Roman"/>
          <w:color w:val="000000"/>
          <w:sz w:val="20"/>
          <w:szCs w:val="20"/>
        </w:rPr>
        <w:t>Equitable Advisors and certain of the Company’s other subsidiaries provide investment management, brokerage and distribution services for affiliates and t</w:t>
      </w:r>
      <w:r>
        <w:rPr>
          <w:rFonts w:eastAsia="Times New Roman"/>
          <w:color w:val="000000"/>
          <w:sz w:val="20"/>
          <w:szCs w:val="20"/>
        </w:rPr>
        <w:t xml:space="preserve">hird parties. Third-party revenues earned from these services are reported in other income in the Company’s consolidated statement of income (loss). </w:t>
      </w:r>
    </w:p>
    <w:p w:rsidR="00000000" w:rsidRDefault="005B0BC3">
      <w:pPr>
        <w:divId w:val="1237470470"/>
        <w:rPr>
          <w:rFonts w:eastAsia="Times New Roman"/>
        </w:rPr>
      </w:pPr>
      <w:r>
        <w:rPr>
          <w:rFonts w:eastAsia="Times New Roman"/>
          <w:color w:val="000000"/>
          <w:sz w:val="20"/>
          <w:szCs w:val="20"/>
        </w:rPr>
        <w:t>Receivables from and payables to clients include amounts due on cash and margin transactions. Securities o</w:t>
      </w:r>
      <w:r>
        <w:rPr>
          <w:rFonts w:eastAsia="Times New Roman"/>
          <w:color w:val="000000"/>
          <w:sz w:val="20"/>
          <w:szCs w:val="20"/>
        </w:rPr>
        <w:t>wned by customers are held as collateral for receivables; such collateral is not reflected in the consolidated financial statements.</w:t>
      </w:r>
    </w:p>
    <w:p w:rsidR="00000000" w:rsidRDefault="005B0BC3">
      <w:pPr>
        <w:divId w:val="246118447"/>
        <w:rPr>
          <w:rFonts w:eastAsia="Times New Roman"/>
        </w:rPr>
      </w:pPr>
      <w:r>
        <w:rPr>
          <w:rFonts w:eastAsia="Times New Roman"/>
          <w:color w:val="000000"/>
          <w:sz w:val="20"/>
          <w:szCs w:val="20"/>
          <w:u w:val="single"/>
        </w:rPr>
        <w:t>Goodwill and Other Intangible Assets</w:t>
      </w:r>
    </w:p>
    <w:p w:rsidR="00000000" w:rsidRDefault="005B0BC3">
      <w:pPr>
        <w:divId w:val="1573272833"/>
        <w:rPr>
          <w:rFonts w:eastAsia="Times New Roman"/>
        </w:rPr>
      </w:pPr>
      <w:r>
        <w:rPr>
          <w:rFonts w:eastAsia="Times New Roman"/>
          <w:color w:val="000000"/>
          <w:sz w:val="20"/>
          <w:szCs w:val="20"/>
        </w:rPr>
        <w:t>Goodwill recorded by the Company represents the excess of purchase price over the esti</w:t>
      </w:r>
      <w:r>
        <w:rPr>
          <w:rFonts w:eastAsia="Times New Roman"/>
          <w:color w:val="000000"/>
          <w:sz w:val="20"/>
          <w:szCs w:val="20"/>
        </w:rPr>
        <w:t>mated fair value of identifiable net assets of companies acquired in a business combination and relates principally to the acquisition of SCB Inc., an investment research and management company formerly known as Sanford C. Bernstein Inc. (“Bernstein Acquis</w:t>
      </w:r>
      <w:r>
        <w:rPr>
          <w:rFonts w:eastAsia="Times New Roman"/>
          <w:color w:val="000000"/>
          <w:sz w:val="20"/>
          <w:szCs w:val="20"/>
        </w:rPr>
        <w:t xml:space="preserve">ition”) and the purchase of AB Units. The Company tests goodwill for recoverability each annual reporting period at December 31 and at interim periods if facts or circumstances are indicative of potential impairment. </w:t>
      </w:r>
    </w:p>
    <w:p w:rsidR="00000000" w:rsidRDefault="005B0BC3">
      <w:pPr>
        <w:divId w:val="1591428324"/>
        <w:rPr>
          <w:rFonts w:eastAsia="Times New Roman"/>
        </w:rPr>
      </w:pPr>
      <w:r>
        <w:rPr>
          <w:rFonts w:eastAsia="Times New Roman"/>
          <w:color w:val="000000"/>
          <w:sz w:val="20"/>
          <w:szCs w:val="20"/>
        </w:rPr>
        <w:t>Starting as of June 30, 2020, the Comp</w:t>
      </w:r>
      <w:r>
        <w:rPr>
          <w:rFonts w:eastAsia="Times New Roman"/>
          <w:color w:val="000000"/>
          <w:sz w:val="20"/>
          <w:szCs w:val="20"/>
        </w:rPr>
        <w:t>any changed its measurement of the fair value of its Investment Management and Research reporting unit from a discounted cash flow valuation technique to a market valuation approach. Under the market valuation approach, the fair value of the reporting unit</w:t>
      </w:r>
      <w:r>
        <w:rPr>
          <w:rFonts w:eastAsia="Times New Roman"/>
          <w:color w:val="000000"/>
          <w:sz w:val="20"/>
          <w:szCs w:val="20"/>
        </w:rPr>
        <w:t xml:space="preserve"> is based on its adjusted market valuation assuming a control premium. The Company determined that this valuation technique provided a more exact determination of fair value for the reporting unit and was applied during its annual testing for goodwill reco</w:t>
      </w:r>
      <w:r>
        <w:rPr>
          <w:rFonts w:eastAsia="Times New Roman"/>
          <w:color w:val="000000"/>
          <w:sz w:val="20"/>
          <w:szCs w:val="20"/>
        </w:rPr>
        <w:t xml:space="preserve">verability at December 31, 2021 and 2020. </w:t>
      </w:r>
    </w:p>
    <w:p w:rsidR="00000000" w:rsidRDefault="005B0BC3">
      <w:pPr>
        <w:divId w:val="23360738"/>
        <w:rPr>
          <w:rFonts w:eastAsia="Times New Roman"/>
        </w:rPr>
      </w:pPr>
      <w:r>
        <w:rPr>
          <w:rFonts w:eastAsia="Times New Roman"/>
          <w:color w:val="000000"/>
          <w:sz w:val="20"/>
          <w:szCs w:val="20"/>
        </w:rPr>
        <w:t>The Company’s intangible assets primarily relate to the Bernstein Acquisition and purchases of AB Units and reflect amounts assigned to acquired investment management contracts based on their estimated fair values</w:t>
      </w:r>
      <w:r>
        <w:rPr>
          <w:rFonts w:eastAsia="Times New Roman"/>
          <w:color w:val="000000"/>
          <w:sz w:val="20"/>
          <w:szCs w:val="20"/>
        </w:rPr>
        <w:t xml:space="preserve"> at the time of acquisition, less accumulated amortization. These intangible assets generally are amortized on a straight-line basis over their estimated useful life, ranging from</w:t>
      </w:r>
      <w:r>
        <w:rPr>
          <w:rFonts w:eastAsia="Times New Roman"/>
          <w:color w:val="000000"/>
          <w:sz w:val="20"/>
          <w:szCs w:val="20"/>
        </w:rPr>
        <w:t xml:space="preserve"> </w:t>
      </w:r>
      <w:r>
        <w:rPr>
          <w:rFonts w:eastAsia="Times New Roman"/>
          <w:color w:val="000000"/>
          <w:sz w:val="20"/>
          <w:szCs w:val="20"/>
        </w:rPr>
        <w:t>si</w:t>
      </w:r>
      <w:r>
        <w:rPr>
          <w:rFonts w:eastAsia="Times New Roman"/>
          <w:color w:val="000000"/>
          <w:sz w:val="20"/>
          <w:szCs w:val="20"/>
        </w:rPr>
        <w:t>x</w:t>
      </w:r>
      <w:r>
        <w:rPr>
          <w:rFonts w:eastAsia="Times New Roman"/>
          <w:color w:val="000000"/>
          <w:sz w:val="20"/>
          <w:szCs w:val="20"/>
        </w:rPr>
        <w:t xml:space="preserve"> to twenty years. All intangible assets are periodically reviewed for imp</w:t>
      </w:r>
      <w:r>
        <w:rPr>
          <w:rFonts w:eastAsia="Times New Roman"/>
          <w:color w:val="000000"/>
          <w:sz w:val="20"/>
          <w:szCs w:val="20"/>
        </w:rPr>
        <w:t>airment as events or changes in circumstances indicate that the carrying value may not be recoverable. If the carrying value exceeds fair value, impairment tests are performed to measure the amount of the impairment loss, if any.</w:t>
      </w:r>
    </w:p>
    <w:p w:rsidR="00000000" w:rsidRDefault="005B0BC3">
      <w:pPr>
        <w:divId w:val="1052923871"/>
        <w:rPr>
          <w:rFonts w:eastAsia="Times New Roman"/>
        </w:rPr>
      </w:pPr>
      <w:r>
        <w:rPr>
          <w:rFonts w:eastAsia="Times New Roman"/>
          <w:color w:val="000000"/>
          <w:sz w:val="20"/>
          <w:szCs w:val="20"/>
          <w:u w:val="single"/>
        </w:rPr>
        <w:t>Deferred Sales Commissions</w:t>
      </w:r>
      <w:r>
        <w:rPr>
          <w:rFonts w:eastAsia="Times New Roman"/>
          <w:color w:val="000000"/>
          <w:sz w:val="20"/>
          <w:szCs w:val="20"/>
          <w:u w:val="single"/>
        </w:rPr>
        <w:t>, Net</w:t>
      </w:r>
    </w:p>
    <w:p w:rsidR="00000000" w:rsidRDefault="005B0BC3">
      <w:pPr>
        <w:divId w:val="818544688"/>
        <w:rPr>
          <w:rFonts w:eastAsia="Times New Roman"/>
        </w:rPr>
      </w:pPr>
      <w:r>
        <w:rPr>
          <w:rFonts w:eastAsia="Times New Roman"/>
          <w:color w:val="000000"/>
          <w:sz w:val="20"/>
          <w:szCs w:val="20"/>
        </w:rPr>
        <w:t>Commissions paid to financial intermediaries in connection with the sale of shares of open-end AB sponsored mutual funds sold without a front-end sales charge (“back-end load shares”) are capitalized as deferred sales commissions and amortized over p</w:t>
      </w:r>
      <w:r>
        <w:rPr>
          <w:rFonts w:eastAsia="Times New Roman"/>
          <w:color w:val="000000"/>
          <w:sz w:val="20"/>
          <w:szCs w:val="20"/>
        </w:rPr>
        <w:t>eriods not exceeding five and one-half years for U.S. fund shares and four years for non-U.S. fund shares, the periods of time during which the deferred sales commissions are generally recovered. These commissions are recovered from distribution services f</w:t>
      </w:r>
      <w:r>
        <w:rPr>
          <w:rFonts w:eastAsia="Times New Roman"/>
          <w:color w:val="000000"/>
          <w:sz w:val="20"/>
          <w:szCs w:val="20"/>
        </w:rPr>
        <w:t>ees received from those funds and from CDSC received from shareholders of those funds upon the redemption of their shares. CDSC cash recoveries are recorded as reductions of unamortized deferred sales commissions when received. Since January 31, 2009, AB s</w:t>
      </w:r>
      <w:r>
        <w:rPr>
          <w:rFonts w:eastAsia="Times New Roman"/>
          <w:color w:val="000000"/>
          <w:sz w:val="20"/>
          <w:szCs w:val="20"/>
        </w:rPr>
        <w:t xml:space="preserve">ponsored U.S. mutual funds have not offered back-end load shares to new investors. </w:t>
      </w:r>
    </w:p>
    <w:p w:rsidR="00000000" w:rsidRDefault="005B0BC3">
      <w:pPr>
        <w:divId w:val="789200087"/>
        <w:rPr>
          <w:rFonts w:eastAsia="Times New Roman"/>
        </w:rPr>
      </w:pPr>
      <w:r>
        <w:rPr>
          <w:rFonts w:eastAsia="Times New Roman"/>
          <w:color w:val="000000"/>
          <w:sz w:val="20"/>
          <w:szCs w:val="20"/>
        </w:rPr>
        <w:t>Management periodically reviews the deferred sales commission asset for impairment as events or changes in circumstances indicate that the carrying value may not be recover</w:t>
      </w:r>
      <w:r>
        <w:rPr>
          <w:rFonts w:eastAsia="Times New Roman"/>
          <w:color w:val="000000"/>
          <w:sz w:val="20"/>
          <w:szCs w:val="20"/>
        </w:rPr>
        <w:t>able. If these factors indicate impairment in value, a comparison is made of the carrying value to the undiscounted cash flows expected to be generated by the asset over its remaining life. If it is determined the deferred sales commission asset is not ful</w:t>
      </w:r>
      <w:r>
        <w:rPr>
          <w:rFonts w:eastAsia="Times New Roman"/>
          <w:color w:val="000000"/>
          <w:sz w:val="20"/>
          <w:szCs w:val="20"/>
        </w:rPr>
        <w:t xml:space="preserve">ly recoverable, the asset will be deemed impaired and a loss will be recorded in the amount by which the recorded amount of the asset exceeds its estimated fair value. </w:t>
      </w:r>
    </w:p>
    <w:p w:rsidR="00000000" w:rsidRDefault="005B0BC3">
      <w:pPr>
        <w:jc w:val="center"/>
        <w:divId w:val="255410186"/>
        <w:rPr>
          <w:rFonts w:eastAsia="Times New Roman"/>
        </w:rPr>
      </w:pPr>
      <w:r>
        <w:rPr>
          <w:rFonts w:eastAsia="Times New Roman"/>
          <w:color w:val="000000"/>
          <w:sz w:val="20"/>
          <w:szCs w:val="20"/>
        </w:rPr>
        <w:t>151</w:t>
      </w:r>
    </w:p>
    <w:p w:rsidR="00000000" w:rsidRDefault="005B0BC3">
      <w:pPr>
        <w:rPr>
          <w:rFonts w:eastAsia="Times New Roman"/>
        </w:rPr>
      </w:pPr>
      <w:r>
        <w:rPr>
          <w:rFonts w:eastAsia="Times New Roman"/>
        </w:rPr>
        <w:pict>
          <v:rect id="_x0000_i1189" style="width:0;height:1.5pt" o:hralign="center" o:hrstd="t" o:hr="t" fillcolor="#a0a0a0" stroked="f"/>
        </w:pict>
      </w:r>
    </w:p>
    <w:p w:rsidR="00000000" w:rsidRDefault="005B0BC3">
      <w:pPr>
        <w:jc w:val="center"/>
        <w:divId w:val="1022433265"/>
        <w:rPr>
          <w:rFonts w:eastAsia="Times New Roman"/>
        </w:rPr>
      </w:pPr>
      <w:r>
        <w:rPr>
          <w:rFonts w:eastAsia="Times New Roman"/>
          <w:b/>
          <w:bCs/>
          <w:color w:val="000000"/>
          <w:sz w:val="20"/>
          <w:szCs w:val="20"/>
        </w:rPr>
        <w:t>EQUITABLE HOLDINGS, INC.</w:t>
      </w:r>
    </w:p>
    <w:p w:rsidR="00000000" w:rsidRDefault="005B0BC3">
      <w:pPr>
        <w:jc w:val="center"/>
        <w:divId w:val="1022433265"/>
        <w:rPr>
          <w:rFonts w:eastAsia="Times New Roman"/>
        </w:rPr>
      </w:pPr>
      <w:r>
        <w:rPr>
          <w:rFonts w:eastAsia="Times New Roman"/>
          <w:b/>
          <w:bCs/>
          <w:color w:val="000000"/>
          <w:sz w:val="20"/>
          <w:szCs w:val="20"/>
        </w:rPr>
        <w:t>NOTES TO CONSOLIDATED FINANCIAL STATEMENTS, continued</w:t>
      </w:r>
    </w:p>
    <w:p w:rsidR="00000000" w:rsidRDefault="005B0BC3">
      <w:pPr>
        <w:divId w:val="233971762"/>
        <w:rPr>
          <w:rFonts w:eastAsia="Times New Roman"/>
        </w:rPr>
      </w:pPr>
      <w:r>
        <w:rPr>
          <w:rFonts w:eastAsia="Times New Roman"/>
          <w:color w:val="000000"/>
          <w:sz w:val="20"/>
          <w:szCs w:val="20"/>
        </w:rPr>
        <w:t>As of December 31, 2021 and 2020, respectively, net deferred sales commissions from AB totaled $75 million and $64 million and are included w</w:t>
      </w:r>
      <w:r>
        <w:rPr>
          <w:rFonts w:eastAsia="Times New Roman"/>
          <w:color w:val="000000"/>
          <w:sz w:val="20"/>
          <w:szCs w:val="20"/>
        </w:rPr>
        <w:t>ithin other assets in the consolidated balance sheets. The estimated amortization expense of deferred sales commissions, based on the December 31, 2021 net asset balance for each of the next four years is $35 million, $26 million, $13 million and $1 millio</w:t>
      </w:r>
      <w:r>
        <w:rPr>
          <w:rFonts w:eastAsia="Times New Roman"/>
          <w:color w:val="000000"/>
          <w:sz w:val="20"/>
          <w:szCs w:val="20"/>
        </w:rPr>
        <w:t>n. The Company tests the deferred sales commission asset for impairment quarterly by comparing undiscounted future cash flows to the recorded value, net of accumulated amortization. Each quarter, significant assumptions used to estimate the future cash flo</w:t>
      </w:r>
      <w:r>
        <w:rPr>
          <w:rFonts w:eastAsia="Times New Roman"/>
          <w:color w:val="000000"/>
          <w:sz w:val="20"/>
          <w:szCs w:val="20"/>
        </w:rPr>
        <w:t>ws are updated to reflect management’s consideration of current market conditions on expectations made with respect to future market levels and redemption rates. As of December 31, 2021 and 2020, the Company determined that the deferred sales commission as</w:t>
      </w:r>
      <w:r>
        <w:rPr>
          <w:rFonts w:eastAsia="Times New Roman"/>
          <w:color w:val="000000"/>
          <w:sz w:val="20"/>
          <w:szCs w:val="20"/>
        </w:rPr>
        <w:t>set was not impaired.</w:t>
      </w:r>
    </w:p>
    <w:p w:rsidR="00000000" w:rsidRDefault="005B0BC3">
      <w:pPr>
        <w:divId w:val="869027434"/>
        <w:rPr>
          <w:rFonts w:eastAsia="Times New Roman"/>
        </w:rPr>
      </w:pPr>
      <w:r>
        <w:rPr>
          <w:rFonts w:eastAsia="Times New Roman"/>
          <w:color w:val="000000"/>
          <w:sz w:val="20"/>
          <w:szCs w:val="20"/>
          <w:u w:val="single"/>
        </w:rPr>
        <w:t>Capitalized Computer Software and Hosting Arrangements</w:t>
      </w:r>
    </w:p>
    <w:p w:rsidR="00000000" w:rsidRDefault="005B0BC3">
      <w:pPr>
        <w:divId w:val="1731421848"/>
        <w:rPr>
          <w:rFonts w:eastAsia="Times New Roman"/>
        </w:rPr>
      </w:pPr>
      <w:r>
        <w:rPr>
          <w:rFonts w:eastAsia="Times New Roman"/>
          <w:color w:val="000000"/>
          <w:sz w:val="20"/>
          <w:szCs w:val="20"/>
        </w:rPr>
        <w:t>Capitalized computer software and hosting arrangements include certain internal and external costs used to implement internal-use software and cloud computing hosting arrangements</w:t>
      </w:r>
      <w:r>
        <w:rPr>
          <w:rFonts w:eastAsia="Times New Roman"/>
          <w:color w:val="000000"/>
          <w:sz w:val="20"/>
          <w:szCs w:val="20"/>
        </w:rPr>
        <w:t>. These capitalized computer costs are included in other assets in the consolidated balance sheets and amortized on a straight-line basis over the estimated useful life of the software or term of the hosting arrangement that ranges between</w:t>
      </w:r>
      <w:r>
        <w:rPr>
          <w:rFonts w:eastAsia="Times New Roman"/>
          <w:color w:val="000000"/>
          <w:sz w:val="20"/>
          <w:szCs w:val="20"/>
        </w:rPr>
        <w:t xml:space="preserve"> </w:t>
      </w:r>
      <w:r>
        <w:rPr>
          <w:rFonts w:eastAsia="Times New Roman"/>
          <w:color w:val="000000"/>
          <w:sz w:val="20"/>
          <w:szCs w:val="20"/>
        </w:rPr>
        <w:t>thre</w:t>
      </w:r>
      <w:r>
        <w:rPr>
          <w:rFonts w:eastAsia="Times New Roman"/>
          <w:color w:val="000000"/>
          <w:sz w:val="20"/>
          <w:szCs w:val="20"/>
        </w:rPr>
        <w:t>e</w:t>
      </w:r>
      <w:r>
        <w:rPr>
          <w:rFonts w:eastAsia="Times New Roman"/>
          <w:color w:val="000000"/>
          <w:sz w:val="20"/>
          <w:szCs w:val="20"/>
        </w:rPr>
        <w:t xml:space="preserve"> and five y</w:t>
      </w:r>
      <w:r>
        <w:rPr>
          <w:rFonts w:eastAsia="Times New Roman"/>
          <w:color w:val="000000"/>
          <w:sz w:val="20"/>
          <w:szCs w:val="20"/>
        </w:rPr>
        <w:t>ears. Capitalized amounts are periodically tested for impairment in accordance with the guidance on impairment of long-lived assets. An immediate charge to earnings is recognized if capitalized computer costs no longer are deemed to be recoverable. In addi</w:t>
      </w:r>
      <w:r>
        <w:rPr>
          <w:rFonts w:eastAsia="Times New Roman"/>
          <w:color w:val="000000"/>
          <w:sz w:val="20"/>
          <w:szCs w:val="20"/>
        </w:rPr>
        <w:t xml:space="preserve">tion, service potential is periodically reassessed to determine whether facts and circumstances have compressed the software’s useful life or a significant change in the term of the hosting arrangement such that acceleration of amortization over a shorter </w:t>
      </w:r>
      <w:r>
        <w:rPr>
          <w:rFonts w:eastAsia="Times New Roman"/>
          <w:color w:val="000000"/>
          <w:sz w:val="20"/>
          <w:szCs w:val="20"/>
        </w:rPr>
        <w:t xml:space="preserve">period than initially determined would be required. </w:t>
      </w:r>
    </w:p>
    <w:p w:rsidR="00000000" w:rsidRDefault="005B0BC3">
      <w:pPr>
        <w:divId w:val="47073894"/>
        <w:rPr>
          <w:rFonts w:eastAsia="Times New Roman"/>
        </w:rPr>
      </w:pPr>
      <w:r>
        <w:rPr>
          <w:rFonts w:eastAsia="Times New Roman"/>
          <w:color w:val="000000"/>
          <w:sz w:val="20"/>
          <w:szCs w:val="20"/>
        </w:rPr>
        <w:t>Capitalized computer software and hosting arrangements, net of accumulated amortization, amounted to $193 million and $191 million as of December 31, 2021 and 2020, respectively. Amortization of capitali</w:t>
      </w:r>
      <w:r>
        <w:rPr>
          <w:rFonts w:eastAsia="Times New Roman"/>
          <w:color w:val="000000"/>
          <w:sz w:val="20"/>
          <w:szCs w:val="20"/>
        </w:rPr>
        <w:t>zed computer software and hosting arrangements in 2021, 2020 and 2019 was $57 million, $60 million and $52 million, respectively, recorded in other operating costs and expenses in the consolidated statements of income (loss).</w:t>
      </w:r>
    </w:p>
    <w:p w:rsidR="00000000" w:rsidRDefault="005B0BC3">
      <w:pPr>
        <w:divId w:val="1418937645"/>
        <w:rPr>
          <w:rFonts w:eastAsia="Times New Roman"/>
        </w:rPr>
      </w:pPr>
      <w:r>
        <w:rPr>
          <w:rFonts w:eastAsia="Times New Roman"/>
          <w:color w:val="000000"/>
          <w:sz w:val="20"/>
          <w:szCs w:val="20"/>
          <w:u w:val="single"/>
        </w:rPr>
        <w:t>Short-term and Long-term Debt</w:t>
      </w:r>
    </w:p>
    <w:p w:rsidR="00000000" w:rsidRDefault="005B0BC3">
      <w:pPr>
        <w:divId w:val="1533304416"/>
        <w:rPr>
          <w:rFonts w:eastAsia="Times New Roman"/>
        </w:rPr>
      </w:pPr>
      <w:r>
        <w:rPr>
          <w:rFonts w:eastAsia="Times New Roman"/>
          <w:color w:val="000000"/>
          <w:sz w:val="20"/>
          <w:szCs w:val="20"/>
        </w:rPr>
        <w:t>Liabilities for short-term and long-term debt are primarily carried at an amount equal to unpaid principal balance, net of unamortized discount or premium and debt issue costs. Original-issue discount or premium and debt-issue costs are recognized as a com</w:t>
      </w:r>
      <w:r>
        <w:rPr>
          <w:rFonts w:eastAsia="Times New Roman"/>
          <w:color w:val="000000"/>
          <w:sz w:val="20"/>
          <w:szCs w:val="20"/>
        </w:rPr>
        <w:t>ponent of interest expense over the period the debt is expected to be outstanding, using the interest method of amortization. Interest expense is generally presented within interest expense in the consolidated statements of income (loss). Short-term debt r</w:t>
      </w:r>
      <w:r>
        <w:rPr>
          <w:rFonts w:eastAsia="Times New Roman"/>
          <w:color w:val="000000"/>
          <w:sz w:val="20"/>
          <w:szCs w:val="20"/>
        </w:rPr>
        <w:t>epresents debt coming due in the next twelve months, including that portion of debt otherwise classified as long-term. See Note 12 of the Notes to these Consolidated Financial Statements for additional information regarding short-term and long-term debt.</w:t>
      </w:r>
    </w:p>
    <w:p w:rsidR="00000000" w:rsidRDefault="005B0BC3">
      <w:pPr>
        <w:divId w:val="1000086477"/>
        <w:rPr>
          <w:rFonts w:eastAsia="Times New Roman"/>
        </w:rPr>
      </w:pPr>
      <w:r>
        <w:rPr>
          <w:rFonts w:eastAsia="Times New Roman"/>
          <w:color w:val="000000"/>
          <w:sz w:val="20"/>
          <w:szCs w:val="20"/>
          <w:u w:val="single"/>
        </w:rPr>
        <w:t>I</w:t>
      </w:r>
      <w:r>
        <w:rPr>
          <w:rFonts w:eastAsia="Times New Roman"/>
          <w:color w:val="000000"/>
          <w:sz w:val="20"/>
          <w:szCs w:val="20"/>
          <w:u w:val="single"/>
        </w:rPr>
        <w:t>ncome Taxes</w:t>
      </w:r>
    </w:p>
    <w:p w:rsidR="00000000" w:rsidRDefault="005B0BC3">
      <w:pPr>
        <w:divId w:val="383062577"/>
        <w:rPr>
          <w:rFonts w:eastAsia="Times New Roman"/>
        </w:rPr>
      </w:pPr>
      <w:r>
        <w:rPr>
          <w:rFonts w:eastAsia="Times New Roman"/>
          <w:color w:val="000000"/>
          <w:sz w:val="20"/>
          <w:szCs w:val="20"/>
        </w:rPr>
        <w:t>The Company and certain of its consolidated subsidiaries and affiliates file a consolidated federal income tax return. The Company provides for federal and state income taxes currently payable, as well as those deferred due to temporary differe</w:t>
      </w:r>
      <w:r>
        <w:rPr>
          <w:rFonts w:eastAsia="Times New Roman"/>
          <w:color w:val="000000"/>
          <w:sz w:val="20"/>
          <w:szCs w:val="20"/>
        </w:rPr>
        <w:t>nces between the financial reporting and tax bases of assets and liabilities. Current federal income taxes are charged or credited to operations based upon amounts estimated to be payable or recoverable as a result of taxable operations for the current yea</w:t>
      </w:r>
      <w:r>
        <w:rPr>
          <w:rFonts w:eastAsia="Times New Roman"/>
          <w:color w:val="000000"/>
          <w:sz w:val="20"/>
          <w:szCs w:val="20"/>
        </w:rPr>
        <w:t>r. Deferred income tax assets and liabilities are recognized based on the difference between financial statement carrying amounts and income tax bases of assets and liabilities using enacted income tax rates and laws. Valuation allowances are established w</w:t>
      </w:r>
      <w:r>
        <w:rPr>
          <w:rFonts w:eastAsia="Times New Roman"/>
          <w:color w:val="000000"/>
          <w:sz w:val="20"/>
          <w:szCs w:val="20"/>
        </w:rPr>
        <w:t>hen management determines, based on available information, that it is more likely than not that deferred tax assets will not be realized.</w:t>
      </w:r>
    </w:p>
    <w:p w:rsidR="00000000" w:rsidRDefault="005B0BC3">
      <w:pPr>
        <w:divId w:val="1867936862"/>
        <w:rPr>
          <w:rFonts w:eastAsia="Times New Roman"/>
        </w:rPr>
      </w:pPr>
      <w:r>
        <w:rPr>
          <w:rFonts w:eastAsia="Times New Roman"/>
          <w:color w:val="000000"/>
          <w:sz w:val="20"/>
          <w:szCs w:val="20"/>
        </w:rPr>
        <w:t>Under accounting for uncertainty in income taxes guidance, the Company determines whether it is more likely than not t</w:t>
      </w:r>
      <w:r>
        <w:rPr>
          <w:rFonts w:eastAsia="Times New Roman"/>
          <w:color w:val="000000"/>
          <w:sz w:val="20"/>
          <w:szCs w:val="20"/>
        </w:rPr>
        <w:t>hat a tax position will be sustained upon examination by the appropriate taxing authorities before any part of the benefit can be recorded in the consolidated financial statements. Tax positions are then measured at the largest amount of benefit that is gr</w:t>
      </w:r>
      <w:r>
        <w:rPr>
          <w:rFonts w:eastAsia="Times New Roman"/>
          <w:color w:val="000000"/>
          <w:sz w:val="20"/>
          <w:szCs w:val="20"/>
        </w:rPr>
        <w:t>eater than 50% likely of being realized upon settlement.</w:t>
      </w:r>
    </w:p>
    <w:p w:rsidR="00000000" w:rsidRDefault="005B0BC3">
      <w:pPr>
        <w:divId w:val="1737391025"/>
        <w:rPr>
          <w:rFonts w:eastAsia="Times New Roman"/>
        </w:rPr>
      </w:pPr>
      <w:r>
        <w:rPr>
          <w:rFonts w:eastAsia="Times New Roman"/>
          <w:color w:val="000000"/>
          <w:sz w:val="20"/>
          <w:szCs w:val="20"/>
        </w:rPr>
        <w:t>ABLP is a private partnership for federal income tax purposes and, accordingly, is not subject to federal and state corporate income taxes. However, ABLP is subject to a 4.0% New York City unincorpor</w:t>
      </w:r>
      <w:r>
        <w:rPr>
          <w:rFonts w:eastAsia="Times New Roman"/>
          <w:color w:val="000000"/>
          <w:sz w:val="20"/>
          <w:szCs w:val="20"/>
        </w:rPr>
        <w:t>ated business tax. AB Holding is subject to a 3.5% federal tax on partnership gross income from the active conduct of a trade or business. Domestic corporate subsidiaries of AB are subject to federal, state and local income taxes. Foreign corporate subsidi</w:t>
      </w:r>
      <w:r>
        <w:rPr>
          <w:rFonts w:eastAsia="Times New Roman"/>
          <w:color w:val="000000"/>
          <w:sz w:val="20"/>
          <w:szCs w:val="20"/>
        </w:rPr>
        <w:t>aries are generally subject to taxes in the foreign jurisdictions where they are located.</w:t>
      </w:r>
    </w:p>
    <w:p w:rsidR="00000000" w:rsidRDefault="005B0BC3">
      <w:pPr>
        <w:jc w:val="center"/>
        <w:divId w:val="1405376975"/>
        <w:rPr>
          <w:rFonts w:eastAsia="Times New Roman"/>
        </w:rPr>
      </w:pPr>
      <w:r>
        <w:rPr>
          <w:rFonts w:eastAsia="Times New Roman"/>
          <w:color w:val="000000"/>
          <w:sz w:val="20"/>
          <w:szCs w:val="20"/>
        </w:rPr>
        <w:t>152</w:t>
      </w:r>
    </w:p>
    <w:p w:rsidR="00000000" w:rsidRDefault="005B0BC3">
      <w:pPr>
        <w:rPr>
          <w:rFonts w:eastAsia="Times New Roman"/>
        </w:rPr>
      </w:pPr>
      <w:r>
        <w:rPr>
          <w:rFonts w:eastAsia="Times New Roman"/>
        </w:rPr>
        <w:pict>
          <v:rect id="_x0000_i1190" style="width:0;height:1.5pt" o:hralign="center" o:hrstd="t" o:hr="t" fillcolor="#a0a0a0" stroked="f"/>
        </w:pict>
      </w:r>
    </w:p>
    <w:p w:rsidR="00000000" w:rsidRDefault="005B0BC3">
      <w:pPr>
        <w:jc w:val="center"/>
        <w:divId w:val="1594821289"/>
        <w:rPr>
          <w:rFonts w:eastAsia="Times New Roman"/>
        </w:rPr>
      </w:pPr>
      <w:r>
        <w:rPr>
          <w:rFonts w:eastAsia="Times New Roman"/>
          <w:b/>
          <w:bCs/>
          <w:color w:val="000000"/>
          <w:sz w:val="20"/>
          <w:szCs w:val="20"/>
        </w:rPr>
        <w:t>EQUITABLE HOLDINGS, INC.</w:t>
      </w:r>
    </w:p>
    <w:p w:rsidR="00000000" w:rsidRDefault="005B0BC3">
      <w:pPr>
        <w:jc w:val="center"/>
        <w:divId w:val="1594821289"/>
        <w:rPr>
          <w:rFonts w:eastAsia="Times New Roman"/>
        </w:rPr>
      </w:pPr>
      <w:r>
        <w:rPr>
          <w:rFonts w:eastAsia="Times New Roman"/>
          <w:b/>
          <w:bCs/>
          <w:color w:val="000000"/>
          <w:sz w:val="20"/>
          <w:szCs w:val="20"/>
        </w:rPr>
        <w:t>NOTES TO CONSOLIDATED FINANCIAL STATEMENTS, continued</w:t>
      </w:r>
    </w:p>
    <w:p w:rsidR="00000000" w:rsidRDefault="005B0BC3">
      <w:pPr>
        <w:divId w:val="315456320"/>
        <w:rPr>
          <w:rFonts w:eastAsia="Times New Roman"/>
        </w:rPr>
      </w:pPr>
      <w:r>
        <w:rPr>
          <w:rFonts w:eastAsia="Times New Roman"/>
          <w:color w:val="000000"/>
          <w:sz w:val="20"/>
          <w:szCs w:val="20"/>
          <w:u w:val="single"/>
        </w:rPr>
        <w:t>Recognition of Investment Management and Service Fees and Related Expenses</w:t>
      </w:r>
    </w:p>
    <w:p w:rsidR="00000000" w:rsidRDefault="005B0BC3">
      <w:pPr>
        <w:jc w:val="both"/>
        <w:divId w:val="2034794243"/>
        <w:rPr>
          <w:rFonts w:eastAsia="Times New Roman"/>
        </w:rPr>
      </w:pPr>
      <w:r>
        <w:rPr>
          <w:rFonts w:eastAsia="Times New Roman"/>
          <w:b/>
          <w:bCs/>
          <w:i/>
          <w:iCs/>
          <w:color w:val="000000"/>
          <w:sz w:val="20"/>
          <w:szCs w:val="20"/>
        </w:rPr>
        <w:t xml:space="preserve">Investment management, advisory and service fees </w:t>
      </w:r>
    </w:p>
    <w:p w:rsidR="00000000" w:rsidRDefault="005B0BC3">
      <w:pPr>
        <w:divId w:val="1433630511"/>
        <w:rPr>
          <w:rFonts w:eastAsia="Times New Roman"/>
        </w:rPr>
      </w:pPr>
      <w:r>
        <w:rPr>
          <w:rFonts w:eastAsia="Times New Roman"/>
          <w:color w:val="000000"/>
          <w:sz w:val="20"/>
          <w:szCs w:val="20"/>
        </w:rPr>
        <w:t>Investment manag</w:t>
      </w:r>
      <w:r>
        <w:rPr>
          <w:rFonts w:eastAsia="Times New Roman"/>
          <w:color w:val="000000"/>
          <w:sz w:val="20"/>
          <w:szCs w:val="20"/>
        </w:rPr>
        <w:t>ement and service fees principally include the Investment Management and Research segment’s investment advisory and service fees, distribution revenues and institutional research services revenue. Investment advisory and service base fees, generally calcul</w:t>
      </w:r>
      <w:r>
        <w:rPr>
          <w:rFonts w:eastAsia="Times New Roman"/>
          <w:color w:val="000000"/>
          <w:sz w:val="20"/>
          <w:szCs w:val="20"/>
        </w:rPr>
        <w:t>ated as a percentage, referred to as BPs, of assets under management, are recorded as revenue as the related services are performed. Certain investment advisory contracts, including those associated with hedge funds, provide for a performance-based fee, in</w:t>
      </w:r>
      <w:r>
        <w:rPr>
          <w:rFonts w:eastAsia="Times New Roman"/>
          <w:color w:val="000000"/>
          <w:sz w:val="20"/>
          <w:szCs w:val="20"/>
        </w:rPr>
        <w:t xml:space="preserve"> addition to or in lieu of a base fee which is calculated as either a percentage of absolute investment results or a percentage of the investment results in excess of a stated benchmark over a specified period of time. </w:t>
      </w:r>
    </w:p>
    <w:p w:rsidR="00000000" w:rsidRDefault="005B0BC3">
      <w:pPr>
        <w:divId w:val="1717122913"/>
        <w:rPr>
          <w:rFonts w:eastAsia="Times New Roman"/>
        </w:rPr>
      </w:pPr>
      <w:r>
        <w:rPr>
          <w:rFonts w:eastAsia="Times New Roman"/>
          <w:color w:val="000000"/>
          <w:sz w:val="20"/>
          <w:szCs w:val="20"/>
        </w:rPr>
        <w:t>Investment management and administra</w:t>
      </w:r>
      <w:r>
        <w:rPr>
          <w:rFonts w:eastAsia="Times New Roman"/>
          <w:color w:val="000000"/>
          <w:sz w:val="20"/>
          <w:szCs w:val="20"/>
        </w:rPr>
        <w:t>tive service fees are also earned by EIM and EIMG and reported in the Individual Retirement, Group Retirement and Protection Solutions segments as well as certain asset-based fees associated with insurance contracts.</w:t>
      </w:r>
    </w:p>
    <w:p w:rsidR="00000000" w:rsidRDefault="005B0BC3">
      <w:pPr>
        <w:divId w:val="565726185"/>
        <w:rPr>
          <w:rFonts w:eastAsia="Times New Roman"/>
        </w:rPr>
      </w:pPr>
      <w:r>
        <w:rPr>
          <w:rFonts w:eastAsia="Times New Roman"/>
          <w:color w:val="000000"/>
          <w:sz w:val="20"/>
          <w:szCs w:val="20"/>
        </w:rPr>
        <w:t>AB provides asset management services b</w:t>
      </w:r>
      <w:r>
        <w:rPr>
          <w:rFonts w:eastAsia="Times New Roman"/>
          <w:color w:val="000000"/>
          <w:sz w:val="20"/>
          <w:szCs w:val="20"/>
        </w:rPr>
        <w:t>y managing customer assets and seeking to deliver returns to investors. Similarly, EIM and EIMG provides investment management and administrative services, such as fund accounting and compliance services, to EQ Premier VIP Trust, EQAT and 1290 Funds as wel</w:t>
      </w:r>
      <w:r>
        <w:rPr>
          <w:rFonts w:eastAsia="Times New Roman"/>
          <w:color w:val="000000"/>
          <w:sz w:val="20"/>
          <w:szCs w:val="20"/>
        </w:rPr>
        <w:t xml:space="preserve">l as two private investment trusts established in the Cayman Islands, AXA Allocation Funds Trust and AXA Offshore Multimanager Funds Trust (collectively, the “Other AXA Trusts”). The contracts supporting these revenue streams create a distinct, separately </w:t>
      </w:r>
      <w:r>
        <w:rPr>
          <w:rFonts w:eastAsia="Times New Roman"/>
          <w:color w:val="000000"/>
          <w:sz w:val="20"/>
          <w:szCs w:val="20"/>
        </w:rPr>
        <w:t>identifiable performance obligation for each day the assets are managed for the performance of a series of services that are substantially the same and have the same pattern of transfer to the customer. Accordingly, these investment management, advisory, a</w:t>
      </w:r>
      <w:r>
        <w:rPr>
          <w:rFonts w:eastAsia="Times New Roman"/>
          <w:color w:val="000000"/>
          <w:sz w:val="20"/>
          <w:szCs w:val="20"/>
        </w:rPr>
        <w:t>nd administrative service base fees are recorded over time as services are performed and entitle the Company to variable consideration. Base fees, generally calculated as a percentage of AUM, are recognized as revenue at month-end when the transaction pric</w:t>
      </w:r>
      <w:r>
        <w:rPr>
          <w:rFonts w:eastAsia="Times New Roman"/>
          <w:color w:val="000000"/>
          <w:sz w:val="20"/>
          <w:szCs w:val="20"/>
        </w:rPr>
        <w:t>e no longer is variable and the value of the consideration is determined. These fees are not subject to claw back and there is minimal probability that a significant reversal of the revenue recorded will occur.</w:t>
      </w:r>
    </w:p>
    <w:p w:rsidR="00000000" w:rsidRDefault="005B0BC3">
      <w:pPr>
        <w:divId w:val="948707241"/>
        <w:rPr>
          <w:rFonts w:eastAsia="Times New Roman"/>
        </w:rPr>
      </w:pPr>
      <w:r>
        <w:rPr>
          <w:rFonts w:eastAsia="Times New Roman"/>
          <w:color w:val="000000"/>
          <w:sz w:val="20"/>
          <w:szCs w:val="20"/>
        </w:rPr>
        <w:t xml:space="preserve">Certain investment advisory contracts of AB, </w:t>
      </w:r>
      <w:r>
        <w:rPr>
          <w:rFonts w:eastAsia="Times New Roman"/>
          <w:color w:val="000000"/>
          <w:sz w:val="20"/>
          <w:szCs w:val="20"/>
        </w:rPr>
        <w:t>including those associated with hedge funds or other alternative investments, provide for a performance-based fee (including carried interest), in addition to a base advisory fee, calculated either as a percentage of absolute investment results or a percen</w:t>
      </w:r>
      <w:r>
        <w:rPr>
          <w:rFonts w:eastAsia="Times New Roman"/>
          <w:color w:val="000000"/>
          <w:sz w:val="20"/>
          <w:szCs w:val="20"/>
        </w:rPr>
        <w:t>tage of investment results in excess of a stated benchmark over a specified period of time. These performance-based fees are forms of variable consideration and, therefore, are excluded from the transaction price until it becomes probable there will not be</w:t>
      </w:r>
      <w:r>
        <w:rPr>
          <w:rFonts w:eastAsia="Times New Roman"/>
          <w:color w:val="000000"/>
          <w:sz w:val="20"/>
          <w:szCs w:val="20"/>
        </w:rPr>
        <w:t xml:space="preserve"> significant reversal of the cumulative revenue recognized. At each reporting date, the Company evaluates constraining factors surrounding the variable consideration to determine the extent to which, if any, revenues associated with the performance-based f</w:t>
      </w:r>
      <w:r>
        <w:rPr>
          <w:rFonts w:eastAsia="Times New Roman"/>
          <w:color w:val="000000"/>
          <w:sz w:val="20"/>
          <w:szCs w:val="20"/>
        </w:rPr>
        <w:t>ee can be recognized. Constraining factors impacting the amount of variable consideration included in the transaction price include contractual claw-back provisions, the length of time of the uncertainty, the number and range of possible amounts, the proba</w:t>
      </w:r>
      <w:r>
        <w:rPr>
          <w:rFonts w:eastAsia="Times New Roman"/>
          <w:color w:val="000000"/>
          <w:sz w:val="20"/>
          <w:szCs w:val="20"/>
        </w:rPr>
        <w:t xml:space="preserve">bility of significant fluctuations in the fund’s market value and the level in which the fund’s value exceeds the contractual threshold required to earn such a fee and the materiality of the amount being evaluated. </w:t>
      </w:r>
    </w:p>
    <w:p w:rsidR="00000000" w:rsidRDefault="005B0BC3">
      <w:pPr>
        <w:divId w:val="890656006"/>
        <w:rPr>
          <w:rFonts w:eastAsia="Times New Roman"/>
        </w:rPr>
      </w:pPr>
      <w:r>
        <w:rPr>
          <w:rFonts w:eastAsia="Times New Roman"/>
          <w:color w:val="000000"/>
          <w:sz w:val="20"/>
          <w:szCs w:val="20"/>
        </w:rPr>
        <w:t>Sub-advisory and sub-administrative expe</w:t>
      </w:r>
      <w:r>
        <w:rPr>
          <w:rFonts w:eastAsia="Times New Roman"/>
          <w:color w:val="000000"/>
          <w:sz w:val="20"/>
          <w:szCs w:val="20"/>
        </w:rPr>
        <w:t>nses associated with these services are calculated and recorded as the related services are performed in other operating costs and expense in the consolidated statements of income (loss) as the Company is acting in a principal capacity in these transaction</w:t>
      </w:r>
      <w:r>
        <w:rPr>
          <w:rFonts w:eastAsia="Times New Roman"/>
          <w:color w:val="000000"/>
          <w:sz w:val="20"/>
          <w:szCs w:val="20"/>
        </w:rPr>
        <w:t>s and, as such, reflects these revenues and expenses on a gross basis.</w:t>
      </w:r>
    </w:p>
    <w:p w:rsidR="00000000" w:rsidRDefault="005B0BC3">
      <w:pPr>
        <w:jc w:val="both"/>
        <w:divId w:val="2025399901"/>
        <w:rPr>
          <w:rFonts w:eastAsia="Times New Roman"/>
        </w:rPr>
      </w:pPr>
      <w:r>
        <w:rPr>
          <w:rFonts w:eastAsia="Times New Roman"/>
          <w:b/>
          <w:bCs/>
          <w:i/>
          <w:iCs/>
          <w:color w:val="000000"/>
          <w:sz w:val="20"/>
          <w:szCs w:val="20"/>
        </w:rPr>
        <w:t>Research services</w:t>
      </w:r>
    </w:p>
    <w:p w:rsidR="00000000" w:rsidRDefault="005B0BC3">
      <w:pPr>
        <w:divId w:val="1550023339"/>
        <w:rPr>
          <w:rFonts w:eastAsia="Times New Roman"/>
        </w:rPr>
      </w:pPr>
      <w:r>
        <w:rPr>
          <w:rFonts w:eastAsia="Times New Roman"/>
          <w:color w:val="000000"/>
          <w:sz w:val="20"/>
          <w:szCs w:val="20"/>
        </w:rPr>
        <w:t>Research services revenue principally consists of brokerage transaction charges received by SCB LLC, SCBL and AB’s other sell side subsidiaries for providing equity re</w:t>
      </w:r>
      <w:r>
        <w:rPr>
          <w:rFonts w:eastAsia="Times New Roman"/>
          <w:color w:val="000000"/>
          <w:sz w:val="20"/>
          <w:szCs w:val="20"/>
        </w:rPr>
        <w:t>search services to institutional clients. Brokerage commissions for trade execution services and related expenses are recorded on a trade-date basis when the performance obligations are satisfied. Generally, the transaction price is agreed upon at the poin</w:t>
      </w:r>
      <w:r>
        <w:rPr>
          <w:rFonts w:eastAsia="Times New Roman"/>
          <w:color w:val="000000"/>
          <w:sz w:val="20"/>
          <w:szCs w:val="20"/>
        </w:rPr>
        <w:t>t of each trade and based upon the number of shares traded or the value of the consideration traded. Research revenues are recognized when the transaction price is quantified, collectability is assured and significant reversal of such revenue is not probab</w:t>
      </w:r>
      <w:r>
        <w:rPr>
          <w:rFonts w:eastAsia="Times New Roman"/>
          <w:color w:val="000000"/>
          <w:sz w:val="20"/>
          <w:szCs w:val="20"/>
        </w:rPr>
        <w:t>le.</w:t>
      </w:r>
    </w:p>
    <w:p w:rsidR="00000000" w:rsidRDefault="005B0BC3">
      <w:pPr>
        <w:jc w:val="both"/>
        <w:divId w:val="445583927"/>
        <w:rPr>
          <w:rFonts w:eastAsia="Times New Roman"/>
        </w:rPr>
      </w:pPr>
      <w:r>
        <w:rPr>
          <w:rFonts w:eastAsia="Times New Roman"/>
          <w:b/>
          <w:bCs/>
          <w:i/>
          <w:iCs/>
          <w:color w:val="000000"/>
          <w:sz w:val="20"/>
          <w:szCs w:val="20"/>
        </w:rPr>
        <w:t>Distribution services</w:t>
      </w:r>
    </w:p>
    <w:p w:rsidR="00000000" w:rsidRDefault="005B0BC3">
      <w:pPr>
        <w:divId w:val="1232042242"/>
        <w:rPr>
          <w:rFonts w:eastAsia="Times New Roman"/>
        </w:rPr>
      </w:pPr>
      <w:r>
        <w:rPr>
          <w:rFonts w:eastAsia="Times New Roman"/>
          <w:color w:val="000000"/>
          <w:sz w:val="20"/>
          <w:szCs w:val="20"/>
        </w:rPr>
        <w:t>Revenues from distribution services include fees received as partial reimbursement of expenses incurred in connection with the sale of certain AB sponsored mutual funds and the 1290 Funds and for the distribution primarily of EQAT</w:t>
      </w:r>
      <w:r>
        <w:rPr>
          <w:rFonts w:eastAsia="Times New Roman"/>
          <w:color w:val="000000"/>
          <w:sz w:val="20"/>
          <w:szCs w:val="20"/>
        </w:rPr>
        <w:t xml:space="preserve"> and EQ Premier VIP Trust shares to separate accounts in connection with the sale of variable life and annuity contracts. The amount and timing of revenues recognized from performance of these distribution services often is </w:t>
      </w:r>
    </w:p>
    <w:p w:rsidR="00000000" w:rsidRDefault="005B0BC3">
      <w:pPr>
        <w:jc w:val="center"/>
        <w:divId w:val="1863586920"/>
        <w:rPr>
          <w:rFonts w:eastAsia="Times New Roman"/>
        </w:rPr>
      </w:pPr>
      <w:r>
        <w:rPr>
          <w:rFonts w:eastAsia="Times New Roman"/>
          <w:color w:val="000000"/>
          <w:sz w:val="20"/>
          <w:szCs w:val="20"/>
        </w:rPr>
        <w:t>153</w:t>
      </w:r>
    </w:p>
    <w:p w:rsidR="00000000" w:rsidRDefault="005B0BC3">
      <w:pPr>
        <w:rPr>
          <w:rFonts w:eastAsia="Times New Roman"/>
        </w:rPr>
      </w:pPr>
      <w:r>
        <w:rPr>
          <w:rFonts w:eastAsia="Times New Roman"/>
        </w:rPr>
        <w:pict>
          <v:rect id="_x0000_i1191" style="width:0;height:1.5pt" o:hralign="center" o:hrstd="t" o:hr="t" fillcolor="#a0a0a0" stroked="f"/>
        </w:pict>
      </w:r>
    </w:p>
    <w:p w:rsidR="00000000" w:rsidRDefault="005B0BC3">
      <w:pPr>
        <w:jc w:val="center"/>
        <w:divId w:val="874580753"/>
        <w:rPr>
          <w:rFonts w:eastAsia="Times New Roman"/>
        </w:rPr>
      </w:pPr>
      <w:r>
        <w:rPr>
          <w:rFonts w:eastAsia="Times New Roman"/>
          <w:b/>
          <w:bCs/>
          <w:color w:val="000000"/>
          <w:sz w:val="20"/>
          <w:szCs w:val="20"/>
        </w:rPr>
        <w:t>EQUITABLE HOLDINGS, INC.</w:t>
      </w:r>
    </w:p>
    <w:p w:rsidR="00000000" w:rsidRDefault="005B0BC3">
      <w:pPr>
        <w:jc w:val="center"/>
        <w:divId w:val="874580753"/>
        <w:rPr>
          <w:rFonts w:eastAsia="Times New Roman"/>
        </w:rPr>
      </w:pPr>
      <w:r>
        <w:rPr>
          <w:rFonts w:eastAsia="Times New Roman"/>
          <w:b/>
          <w:bCs/>
          <w:color w:val="000000"/>
          <w:sz w:val="20"/>
          <w:szCs w:val="20"/>
        </w:rPr>
        <w:t>NOTES TO CONSOLIDATED FINANCIAL STATEMENTS, continued</w:t>
      </w:r>
    </w:p>
    <w:p w:rsidR="00000000" w:rsidRDefault="005B0BC3">
      <w:pPr>
        <w:divId w:val="645742114"/>
        <w:rPr>
          <w:rFonts w:eastAsia="Times New Roman"/>
        </w:rPr>
      </w:pPr>
      <w:r>
        <w:rPr>
          <w:rFonts w:eastAsia="Times New Roman"/>
          <w:color w:val="000000"/>
          <w:sz w:val="20"/>
          <w:szCs w:val="20"/>
        </w:rPr>
        <w:t>dependent upon the contractual arrangements with the customer and the specific product sold as further described below.</w:t>
      </w:r>
    </w:p>
    <w:p w:rsidR="00000000" w:rsidRDefault="005B0BC3">
      <w:pPr>
        <w:divId w:val="1166478228"/>
        <w:rPr>
          <w:rFonts w:eastAsia="Times New Roman"/>
        </w:rPr>
      </w:pPr>
      <w:r>
        <w:rPr>
          <w:rFonts w:eastAsia="Times New Roman"/>
          <w:color w:val="000000"/>
          <w:sz w:val="20"/>
          <w:szCs w:val="20"/>
        </w:rPr>
        <w:t xml:space="preserve">Most open-end management investment companies, </w:t>
      </w:r>
      <w:r>
        <w:rPr>
          <w:rFonts w:eastAsia="Times New Roman"/>
          <w:color w:val="000000"/>
          <w:sz w:val="20"/>
          <w:szCs w:val="20"/>
        </w:rPr>
        <w:t xml:space="preserve">such as U.S. funds and the EQAT and EQ Premier VIP Trusts and the 1290 Funds, have adopted a plan under Rule 12b-1 of the Investment Company Act that allows for certain share classes to pay out of assets, distribution and service fees for the distribution </w:t>
      </w:r>
      <w:r>
        <w:rPr>
          <w:rFonts w:eastAsia="Times New Roman"/>
          <w:color w:val="000000"/>
          <w:sz w:val="20"/>
          <w:szCs w:val="20"/>
        </w:rPr>
        <w:t>and sale of its shares (“12b-1 Fees”). These open-end management investment companies have such agreements with the Company, and the Company has selling and distribution agreements pursuant to which it pays sales commissions to the financial intermediaries</w:t>
      </w:r>
      <w:r>
        <w:rPr>
          <w:rFonts w:eastAsia="Times New Roman"/>
          <w:color w:val="000000"/>
          <w:sz w:val="20"/>
          <w:szCs w:val="20"/>
        </w:rPr>
        <w:t xml:space="preserve"> that distribute the shares. These agreements may be terminated by either party upon notice (generally 30 days) and do not obligate the financial intermediary to sell any specific amount of shares.</w:t>
      </w:r>
    </w:p>
    <w:p w:rsidR="00000000" w:rsidRDefault="005B0BC3">
      <w:pPr>
        <w:divId w:val="1032343996"/>
        <w:rPr>
          <w:rFonts w:eastAsia="Times New Roman"/>
        </w:rPr>
      </w:pPr>
      <w:r>
        <w:rPr>
          <w:rFonts w:eastAsia="Times New Roman"/>
          <w:color w:val="000000"/>
          <w:sz w:val="20"/>
          <w:szCs w:val="20"/>
        </w:rPr>
        <w:t>The Company records 12b-1 fees monthly based upon a percentage of the NAV of the funds. At month-end, the variable consideration of the transaction price is no longer constrained as the NAV can be calculated and the value of consideration is determined. Th</w:t>
      </w:r>
      <w:r>
        <w:rPr>
          <w:rFonts w:eastAsia="Times New Roman"/>
          <w:color w:val="000000"/>
          <w:sz w:val="20"/>
          <w:szCs w:val="20"/>
        </w:rPr>
        <w:t>ese services are separate and distinct from other asset management services as the customer can benefit from these services independently of other services. The Company accrues the corresponding 12b-1 fees paid to sub-distributors monthly as the expenses a</w:t>
      </w:r>
      <w:r>
        <w:rPr>
          <w:rFonts w:eastAsia="Times New Roman"/>
          <w:color w:val="000000"/>
          <w:sz w:val="20"/>
          <w:szCs w:val="20"/>
        </w:rPr>
        <w:t>re incurred. The Company is acting in a principal capacity in these transactions; as such, these revenues and expenses are recorded on a gross basis in the consolidated statements of income (loss).</w:t>
      </w:r>
    </w:p>
    <w:p w:rsidR="00000000" w:rsidRDefault="005B0BC3">
      <w:pPr>
        <w:divId w:val="985354607"/>
        <w:rPr>
          <w:rFonts w:eastAsia="Times New Roman"/>
        </w:rPr>
      </w:pPr>
      <w:r>
        <w:rPr>
          <w:rFonts w:eastAsia="Times New Roman"/>
          <w:color w:val="000000"/>
          <w:sz w:val="20"/>
          <w:szCs w:val="20"/>
        </w:rPr>
        <w:t>AB sponsored mutual funds offer back-end load shares in li</w:t>
      </w:r>
      <w:r>
        <w:rPr>
          <w:rFonts w:eastAsia="Times New Roman"/>
          <w:color w:val="000000"/>
          <w:sz w:val="20"/>
          <w:szCs w:val="20"/>
        </w:rPr>
        <w:t>mited instances and charge the investor a CDSC if the investment is redeemed within a certain period. The variable consideration for these contracts is contingent upon the timing of the redemption by the investor and the value of the sales proceeds. Due to</w:t>
      </w:r>
      <w:r>
        <w:rPr>
          <w:rFonts w:eastAsia="Times New Roman"/>
          <w:color w:val="000000"/>
          <w:sz w:val="20"/>
          <w:szCs w:val="20"/>
        </w:rPr>
        <w:t xml:space="preserve"> these constraining factors, the Company excludes the CDSC fee from the transaction price until the investor redeems the investment. Upon redemption, the cash consideration received for these contractual arrangements is recorded as a reduction of unamortiz</w:t>
      </w:r>
      <w:r>
        <w:rPr>
          <w:rFonts w:eastAsia="Times New Roman"/>
          <w:color w:val="000000"/>
          <w:sz w:val="20"/>
          <w:szCs w:val="20"/>
        </w:rPr>
        <w:t>ed deferred sales commissions.</w:t>
      </w:r>
    </w:p>
    <w:p w:rsidR="00000000" w:rsidRDefault="005B0BC3">
      <w:pPr>
        <w:divId w:val="528564247"/>
        <w:rPr>
          <w:rFonts w:eastAsia="Times New Roman"/>
        </w:rPr>
      </w:pPr>
      <w:r>
        <w:rPr>
          <w:rFonts w:eastAsia="Times New Roman"/>
          <w:color w:val="000000"/>
          <w:sz w:val="20"/>
          <w:szCs w:val="20"/>
        </w:rPr>
        <w:t>AB’s Luxembourg subsidiary, the management company for most of its non-U.S. funds, earns a management fee which is accrued daily and paid monthly, at an annual rate, based on the average daily net assets of the fund. With res</w:t>
      </w:r>
      <w:r>
        <w:rPr>
          <w:rFonts w:eastAsia="Times New Roman"/>
          <w:color w:val="000000"/>
          <w:sz w:val="20"/>
          <w:szCs w:val="20"/>
        </w:rPr>
        <w:t>pect to certain share classes, the management fee also may contain a component paid to distributors and other financial intermediaries and service providers to cover shareholder servicing and other administrative expenses (also referred to as an “All-in-Fe</w:t>
      </w:r>
      <w:r>
        <w:rPr>
          <w:rFonts w:eastAsia="Times New Roman"/>
          <w:color w:val="000000"/>
          <w:sz w:val="20"/>
          <w:szCs w:val="20"/>
        </w:rPr>
        <w:t>e”). Based on the conclusion that asset management is distinct from distribution, the Company allocates a portion of the investment and advisory fee to distribution revenues for the servicing component based on standalone selling prices.</w:t>
      </w:r>
    </w:p>
    <w:p w:rsidR="00000000" w:rsidRDefault="005B0BC3">
      <w:pPr>
        <w:jc w:val="both"/>
        <w:divId w:val="1276134359"/>
        <w:rPr>
          <w:rFonts w:eastAsia="Times New Roman"/>
        </w:rPr>
      </w:pPr>
      <w:r>
        <w:rPr>
          <w:rFonts w:eastAsia="Times New Roman"/>
          <w:b/>
          <w:bCs/>
          <w:i/>
          <w:iCs/>
          <w:color w:val="000000"/>
          <w:sz w:val="20"/>
          <w:szCs w:val="20"/>
        </w:rPr>
        <w:t>Other revenues</w:t>
      </w:r>
    </w:p>
    <w:p w:rsidR="00000000" w:rsidRDefault="005B0BC3">
      <w:pPr>
        <w:divId w:val="611787145"/>
        <w:rPr>
          <w:rFonts w:eastAsia="Times New Roman"/>
        </w:rPr>
      </w:pPr>
      <w:r>
        <w:rPr>
          <w:rFonts w:eastAsia="Times New Roman"/>
          <w:color w:val="000000"/>
          <w:sz w:val="20"/>
          <w:szCs w:val="20"/>
        </w:rPr>
        <w:t>Als</w:t>
      </w:r>
      <w:r>
        <w:rPr>
          <w:rFonts w:eastAsia="Times New Roman"/>
          <w:color w:val="000000"/>
          <w:sz w:val="20"/>
          <w:szCs w:val="20"/>
        </w:rPr>
        <w:t>o reported as investment management and service fees in the Company’s consolidated statements of income (loss) are other revenues from contracts with customers, primarily consisting of shareholder servicing fees, mutual fund reimbursements and other broker</w:t>
      </w:r>
      <w:r>
        <w:rPr>
          <w:rFonts w:eastAsia="Times New Roman"/>
          <w:color w:val="000000"/>
          <w:sz w:val="20"/>
          <w:szCs w:val="20"/>
        </w:rPr>
        <w:t>age income.</w:t>
      </w:r>
    </w:p>
    <w:p w:rsidR="00000000" w:rsidRDefault="005B0BC3">
      <w:pPr>
        <w:divId w:val="580069374"/>
        <w:rPr>
          <w:rFonts w:eastAsia="Times New Roman"/>
        </w:rPr>
      </w:pPr>
      <w:r>
        <w:rPr>
          <w:rFonts w:eastAsia="Times New Roman"/>
          <w:color w:val="000000"/>
          <w:sz w:val="20"/>
          <w:szCs w:val="20"/>
        </w:rPr>
        <w:t>Shareholder services, including transfer agency, administration and record-keeping are provided by AB to company-sponsored mutual funds. The consideration for these services is based on a percentage of the NAV of the fund or a fixed-fee based o</w:t>
      </w:r>
      <w:r>
        <w:rPr>
          <w:rFonts w:eastAsia="Times New Roman"/>
          <w:color w:val="000000"/>
          <w:sz w:val="20"/>
          <w:szCs w:val="20"/>
        </w:rPr>
        <w:t>n the number of shareholder accounts being serviced. The revenues are recorded at month-end when the constraining factors involved with determining NAV or the numbers of shareholders’ accounts are resolved.</w:t>
      </w:r>
    </w:p>
    <w:p w:rsidR="00000000" w:rsidRDefault="005B0BC3">
      <w:pPr>
        <w:jc w:val="both"/>
        <w:divId w:val="1176262885"/>
        <w:rPr>
          <w:rFonts w:eastAsia="Times New Roman"/>
        </w:rPr>
      </w:pPr>
      <w:r>
        <w:rPr>
          <w:rFonts w:eastAsia="Times New Roman"/>
          <w:b/>
          <w:bCs/>
          <w:i/>
          <w:iCs/>
          <w:color w:val="000000"/>
          <w:sz w:val="20"/>
          <w:szCs w:val="20"/>
        </w:rPr>
        <w:t>Other income</w:t>
      </w:r>
    </w:p>
    <w:p w:rsidR="00000000" w:rsidRDefault="005B0BC3">
      <w:pPr>
        <w:divId w:val="1929150167"/>
        <w:rPr>
          <w:rFonts w:eastAsia="Times New Roman"/>
        </w:rPr>
      </w:pPr>
      <w:r>
        <w:rPr>
          <w:rFonts w:eastAsia="Times New Roman"/>
          <w:color w:val="000000"/>
          <w:sz w:val="20"/>
          <w:szCs w:val="20"/>
        </w:rPr>
        <w:t>Revenues from contracts with custome</w:t>
      </w:r>
      <w:r>
        <w:rPr>
          <w:rFonts w:eastAsia="Times New Roman"/>
          <w:color w:val="000000"/>
          <w:sz w:val="20"/>
          <w:szCs w:val="20"/>
        </w:rPr>
        <w:t>rs reported as other income in the Company’s consolidated statements of income (loss) primarily consist of advisory account fees and brokerage commissions from the Company’s broker-dealer operations and sales commissions from the Company’s general agents f</w:t>
      </w:r>
      <w:r>
        <w:rPr>
          <w:rFonts w:eastAsia="Times New Roman"/>
          <w:color w:val="000000"/>
          <w:sz w:val="20"/>
          <w:szCs w:val="20"/>
        </w:rPr>
        <w:t xml:space="preserve">or the distribution of non-affiliate insurers’ life insurance and annuity products. These revenues are recognized at month-end when constraining factors, such as AUM and product mix, are resolved and the transaction pricing no longer is variable such that </w:t>
      </w:r>
      <w:r>
        <w:rPr>
          <w:rFonts w:eastAsia="Times New Roman"/>
          <w:color w:val="000000"/>
          <w:sz w:val="20"/>
          <w:szCs w:val="20"/>
        </w:rPr>
        <w:t>the value of consideration can be determined.</w:t>
      </w:r>
    </w:p>
    <w:p w:rsidR="00000000" w:rsidRDefault="005B0BC3">
      <w:pPr>
        <w:divId w:val="754202635"/>
        <w:rPr>
          <w:rFonts w:eastAsia="Times New Roman"/>
        </w:rPr>
      </w:pPr>
      <w:r>
        <w:rPr>
          <w:rFonts w:eastAsia="Times New Roman"/>
          <w:color w:val="000000"/>
          <w:sz w:val="20"/>
          <w:szCs w:val="20"/>
          <w:u w:val="single"/>
        </w:rPr>
        <w:t>Accounting and Consolidation of VIEs</w:t>
      </w:r>
    </w:p>
    <w:p w:rsidR="00000000" w:rsidRDefault="005B0BC3">
      <w:pPr>
        <w:divId w:val="119811515"/>
        <w:rPr>
          <w:rFonts w:eastAsia="Times New Roman"/>
        </w:rPr>
      </w:pPr>
      <w:r>
        <w:rPr>
          <w:rFonts w:eastAsia="Times New Roman"/>
          <w:color w:val="000000"/>
          <w:sz w:val="20"/>
          <w:szCs w:val="20"/>
        </w:rPr>
        <w:t xml:space="preserve">For all new investment products and entities developed by the Company, the Company first determines whether the entity is a VIE, which involves determining an entity’s variability and variable interests, identifying the holders of the equity investment at </w:t>
      </w:r>
      <w:r>
        <w:rPr>
          <w:rFonts w:eastAsia="Times New Roman"/>
          <w:color w:val="000000"/>
          <w:sz w:val="20"/>
          <w:szCs w:val="20"/>
        </w:rPr>
        <w:t>risk and assessing the five characteristics of a VIE. Once an entity has been determined to be a VIE, the Company then determines whether it is the primary beneficiary of the VIE based on its beneficial interests. If the Company is deemed to be the primary</w:t>
      </w:r>
      <w:r>
        <w:rPr>
          <w:rFonts w:eastAsia="Times New Roman"/>
          <w:color w:val="000000"/>
          <w:sz w:val="20"/>
          <w:szCs w:val="20"/>
        </w:rPr>
        <w:t xml:space="preserve"> beneficiary of the VIE, then the Company consolidates the entity.</w:t>
      </w:r>
    </w:p>
    <w:p w:rsidR="00000000" w:rsidRDefault="005B0BC3">
      <w:pPr>
        <w:jc w:val="center"/>
        <w:divId w:val="2138913930"/>
        <w:rPr>
          <w:rFonts w:eastAsia="Times New Roman"/>
        </w:rPr>
      </w:pPr>
      <w:r>
        <w:rPr>
          <w:rFonts w:eastAsia="Times New Roman"/>
          <w:color w:val="000000"/>
          <w:sz w:val="20"/>
          <w:szCs w:val="20"/>
        </w:rPr>
        <w:t>154</w:t>
      </w:r>
    </w:p>
    <w:p w:rsidR="00000000" w:rsidRDefault="005B0BC3">
      <w:pPr>
        <w:rPr>
          <w:rFonts w:eastAsia="Times New Roman"/>
        </w:rPr>
      </w:pPr>
      <w:r>
        <w:rPr>
          <w:rFonts w:eastAsia="Times New Roman"/>
        </w:rPr>
        <w:pict>
          <v:rect id="_x0000_i1192" style="width:0;height:1.5pt" o:hralign="center" o:hrstd="t" o:hr="t" fillcolor="#a0a0a0" stroked="f"/>
        </w:pict>
      </w:r>
    </w:p>
    <w:p w:rsidR="00000000" w:rsidRDefault="005B0BC3">
      <w:pPr>
        <w:jc w:val="center"/>
        <w:divId w:val="993803369"/>
        <w:rPr>
          <w:rFonts w:eastAsia="Times New Roman"/>
        </w:rPr>
      </w:pPr>
      <w:r>
        <w:rPr>
          <w:rFonts w:eastAsia="Times New Roman"/>
          <w:b/>
          <w:bCs/>
          <w:color w:val="000000"/>
          <w:sz w:val="20"/>
          <w:szCs w:val="20"/>
        </w:rPr>
        <w:t>EQUITABLE HOLDINGS, INC.</w:t>
      </w:r>
    </w:p>
    <w:p w:rsidR="00000000" w:rsidRDefault="005B0BC3">
      <w:pPr>
        <w:jc w:val="center"/>
        <w:divId w:val="993803369"/>
        <w:rPr>
          <w:rFonts w:eastAsia="Times New Roman"/>
        </w:rPr>
      </w:pPr>
      <w:r>
        <w:rPr>
          <w:rFonts w:eastAsia="Times New Roman"/>
          <w:b/>
          <w:bCs/>
          <w:color w:val="000000"/>
          <w:sz w:val="20"/>
          <w:szCs w:val="20"/>
        </w:rPr>
        <w:t>NOTES TO CONSOLIDATED FINANCIAL STATEMENTS, continued</w:t>
      </w:r>
    </w:p>
    <w:p w:rsidR="00000000" w:rsidRDefault="005B0BC3">
      <w:pPr>
        <w:divId w:val="772287129"/>
        <w:rPr>
          <w:rFonts w:eastAsia="Times New Roman"/>
        </w:rPr>
      </w:pPr>
      <w:r>
        <w:rPr>
          <w:rFonts w:eastAsia="Times New Roman"/>
          <w:color w:val="000000"/>
          <w:sz w:val="20"/>
          <w:szCs w:val="20"/>
        </w:rPr>
        <w:t>Management of the Company reviews quarterly its investment management</w:t>
      </w:r>
      <w:r>
        <w:rPr>
          <w:rFonts w:eastAsia="Times New Roman"/>
          <w:color w:val="000000"/>
          <w:sz w:val="20"/>
          <w:szCs w:val="20"/>
        </w:rPr>
        <w:t xml:space="preserve"> agreements and its investments in, and other financial arrangements with, certain entities that hold client AUM to determine the entities that the Company is required to consolidate under this guidance. These entities include certain mutual fund products,</w:t>
      </w:r>
      <w:r>
        <w:rPr>
          <w:rFonts w:eastAsia="Times New Roman"/>
          <w:color w:val="000000"/>
          <w:sz w:val="20"/>
          <w:szCs w:val="20"/>
        </w:rPr>
        <w:t xml:space="preserve"> hedge funds, structured products, group trusts, collective investment trusts and limited partnerships.</w:t>
      </w:r>
    </w:p>
    <w:p w:rsidR="00000000" w:rsidRDefault="005B0BC3">
      <w:pPr>
        <w:divId w:val="1228566041"/>
        <w:rPr>
          <w:rFonts w:eastAsia="Times New Roman"/>
        </w:rPr>
      </w:pPr>
      <w:r>
        <w:rPr>
          <w:rFonts w:eastAsia="Times New Roman"/>
          <w:color w:val="000000"/>
          <w:sz w:val="20"/>
          <w:szCs w:val="20"/>
        </w:rPr>
        <w:t>The analysis performed to identify variable interests held, determine whether entities are VIEs or VOEs, and evaluate whether the Company has a controll</w:t>
      </w:r>
      <w:r>
        <w:rPr>
          <w:rFonts w:eastAsia="Times New Roman"/>
          <w:color w:val="000000"/>
          <w:sz w:val="20"/>
          <w:szCs w:val="20"/>
        </w:rPr>
        <w:t>ing financial interest in such entities requires the exercise of judgment and is updated on a continuous basis as circumstances change or new entities are developed. The primary beneficiary evaluation generally is performed qualitatively based on all facts</w:t>
      </w:r>
      <w:r>
        <w:rPr>
          <w:rFonts w:eastAsia="Times New Roman"/>
          <w:color w:val="000000"/>
          <w:sz w:val="20"/>
          <w:szCs w:val="20"/>
        </w:rPr>
        <w:t xml:space="preserve"> and circumstances, including consideration of economic interests in the VIE held directly and indirectly through related parties and entities under common control, as well as quantitatively, as appropriate.</w:t>
      </w:r>
    </w:p>
    <w:p w:rsidR="00000000" w:rsidRDefault="005B0BC3">
      <w:pPr>
        <w:jc w:val="both"/>
        <w:divId w:val="1613047422"/>
        <w:rPr>
          <w:rFonts w:eastAsia="Times New Roman"/>
        </w:rPr>
      </w:pPr>
      <w:r>
        <w:rPr>
          <w:rFonts w:eastAsia="Times New Roman"/>
          <w:b/>
          <w:bCs/>
          <w:i/>
          <w:iCs/>
          <w:color w:val="000000"/>
          <w:sz w:val="20"/>
          <w:szCs w:val="20"/>
        </w:rPr>
        <w:t>Consolidated VIEs</w:t>
      </w:r>
    </w:p>
    <w:p w:rsidR="00000000" w:rsidRDefault="005B0BC3">
      <w:pPr>
        <w:jc w:val="both"/>
        <w:divId w:val="1138642086"/>
        <w:rPr>
          <w:rFonts w:eastAsia="Times New Roman"/>
        </w:rPr>
      </w:pPr>
      <w:r>
        <w:rPr>
          <w:rFonts w:eastAsia="Times New Roman"/>
          <w:color w:val="000000"/>
          <w:sz w:val="20"/>
          <w:szCs w:val="20"/>
          <w:u w:val="single"/>
        </w:rPr>
        <w:t>Consolidated CLOs</w:t>
      </w:r>
    </w:p>
    <w:p w:rsidR="00000000" w:rsidRDefault="005B0BC3">
      <w:pPr>
        <w:divId w:val="551425398"/>
        <w:rPr>
          <w:rFonts w:eastAsia="Times New Roman"/>
        </w:rPr>
      </w:pPr>
      <w:r>
        <w:rPr>
          <w:rFonts w:eastAsia="Times New Roman"/>
          <w:color w:val="000000"/>
          <w:sz w:val="20"/>
          <w:szCs w:val="20"/>
        </w:rPr>
        <w:t xml:space="preserve">The Company </w:t>
      </w:r>
      <w:r>
        <w:rPr>
          <w:rFonts w:eastAsia="Times New Roman"/>
          <w:color w:val="000000"/>
          <w:sz w:val="20"/>
          <w:szCs w:val="20"/>
        </w:rPr>
        <w:t>is the investment manager of certain asset-backed investment vehicles, commonly referred to as CLOs, and certain other vehicles for which the Company earns fee income for investment management services. The Company may sell or syndicate investments through</w:t>
      </w:r>
      <w:r>
        <w:rPr>
          <w:rFonts w:eastAsia="Times New Roman"/>
          <w:color w:val="000000"/>
          <w:sz w:val="20"/>
          <w:szCs w:val="20"/>
        </w:rPr>
        <w:t xml:space="preserve"> these vehicles, principally as part of the strategic investing activity as part of its investment management businesses. Additionally, the Company may invest in securities issued by these vehicles which are eliminated in consolidation of the CLOs. </w:t>
      </w:r>
    </w:p>
    <w:p w:rsidR="00000000" w:rsidRDefault="005B0BC3">
      <w:pPr>
        <w:divId w:val="1285500796"/>
        <w:rPr>
          <w:rFonts w:eastAsia="Times New Roman"/>
        </w:rPr>
      </w:pPr>
      <w:r>
        <w:rPr>
          <w:rFonts w:eastAsia="Times New Roman"/>
          <w:color w:val="000000"/>
          <w:sz w:val="20"/>
          <w:szCs w:val="20"/>
        </w:rPr>
        <w:t xml:space="preserve">As of </w:t>
      </w:r>
      <w:r>
        <w:rPr>
          <w:rFonts w:eastAsia="Times New Roman"/>
          <w:color w:val="000000"/>
          <w:sz w:val="20"/>
          <w:szCs w:val="20"/>
        </w:rPr>
        <w:t xml:space="preserve">December 31, 2021 and December 31, 2020, respectively, Equitable Financial holds $109 million and $38 million of equity interests in the CLOs. The Company consolidated the CLOs as of December 31, 2021 and December 31, 2020 as it is the primary beneficiary </w:t>
      </w:r>
      <w:r>
        <w:rPr>
          <w:rFonts w:eastAsia="Times New Roman"/>
          <w:color w:val="000000"/>
          <w:sz w:val="20"/>
          <w:szCs w:val="20"/>
        </w:rPr>
        <w:t>due to the combination of both its equity interest held by Equitable Financial and the majority ownership of AB, which functions as the CLOs loan manager. The assets of the CLOs are legally isolated from the Company’s creditors and can only be used to sett</w:t>
      </w:r>
      <w:r>
        <w:rPr>
          <w:rFonts w:eastAsia="Times New Roman"/>
          <w:color w:val="000000"/>
          <w:sz w:val="20"/>
          <w:szCs w:val="20"/>
        </w:rPr>
        <w:t xml:space="preserve">le obligations of the CLOs. The liabilities of the CLOs are non-recourse to the Company and the Company has no obligation to satisfy the liabilities of the CLOs. As of December 31, 2021, Equitable Financial holds $58 million of equity interests in a newly </w:t>
      </w:r>
      <w:r>
        <w:rPr>
          <w:rFonts w:eastAsia="Times New Roman"/>
          <w:color w:val="000000"/>
          <w:sz w:val="20"/>
          <w:szCs w:val="20"/>
        </w:rPr>
        <w:t>formed SPE established to purchase loans from the market in anticipation of a new CLO transaction. The Company consolidated the SPE as of December 31, 2021 as it is the primary beneficiary due to the combination of both its equity interest held by Equitabl</w:t>
      </w:r>
      <w:r>
        <w:rPr>
          <w:rFonts w:eastAsia="Times New Roman"/>
          <w:color w:val="000000"/>
          <w:sz w:val="20"/>
          <w:szCs w:val="20"/>
        </w:rPr>
        <w:t>e Financial and the majority ownership of AB, which functions as the SPE loan manager.</w:t>
      </w:r>
    </w:p>
    <w:p w:rsidR="00000000" w:rsidRDefault="005B0BC3">
      <w:pPr>
        <w:divId w:val="1066226725"/>
        <w:rPr>
          <w:rFonts w:eastAsia="Times New Roman"/>
        </w:rPr>
      </w:pPr>
      <w:r>
        <w:rPr>
          <w:rFonts w:eastAsia="Times New Roman"/>
          <w:color w:val="000000"/>
          <w:sz w:val="20"/>
          <w:szCs w:val="20"/>
        </w:rPr>
        <w:t>Resulting from this consolidation in the Company’s consolidated balance sheets are fixed maturities, at fair value using the fair value option with total assets of $1,64</w:t>
      </w:r>
      <w:r>
        <w:rPr>
          <w:rFonts w:eastAsia="Times New Roman"/>
          <w:color w:val="000000"/>
          <w:sz w:val="20"/>
          <w:szCs w:val="20"/>
        </w:rPr>
        <w:t>1 million and $389 million notes issued by consolidated variable interest entities, at fair value using the fair value option with total liabilities of $1,191 million and $313 million at December 31, 2021 and December 31, 2020, respectively</w:t>
      </w:r>
      <w:r>
        <w:rPr>
          <w:rFonts w:eastAsia="Times New Roman"/>
          <w:color w:val="FF0000"/>
          <w:sz w:val="20"/>
          <w:szCs w:val="20"/>
        </w:rPr>
        <w:t>.</w:t>
      </w:r>
      <w:r>
        <w:rPr>
          <w:rFonts w:eastAsia="Times New Roman"/>
          <w:color w:val="000000"/>
          <w:sz w:val="20"/>
          <w:szCs w:val="20"/>
        </w:rPr>
        <w:t xml:space="preserve"> The unpaid out</w:t>
      </w:r>
      <w:r>
        <w:rPr>
          <w:rFonts w:eastAsia="Times New Roman"/>
          <w:color w:val="000000"/>
          <w:sz w:val="20"/>
          <w:szCs w:val="20"/>
        </w:rPr>
        <w:t>standing principal balance of the notes and short-term borrowing is $1.3 billion and $362 million at December 31, 2021 and December 31, 2020.</w:t>
      </w:r>
    </w:p>
    <w:p w:rsidR="00000000" w:rsidRDefault="005B0BC3">
      <w:pPr>
        <w:jc w:val="both"/>
        <w:divId w:val="914241200"/>
        <w:rPr>
          <w:rFonts w:eastAsia="Times New Roman"/>
        </w:rPr>
      </w:pPr>
      <w:r>
        <w:rPr>
          <w:rFonts w:eastAsia="Times New Roman"/>
          <w:color w:val="000000"/>
          <w:sz w:val="20"/>
          <w:szCs w:val="20"/>
          <w:u w:val="single"/>
        </w:rPr>
        <w:t>Consolidated Limited Partnerships and LLCs</w:t>
      </w:r>
    </w:p>
    <w:p w:rsidR="00000000" w:rsidRDefault="005B0BC3">
      <w:pPr>
        <w:divId w:val="243339726"/>
        <w:rPr>
          <w:rFonts w:eastAsia="Times New Roman"/>
        </w:rPr>
      </w:pPr>
      <w:r>
        <w:rPr>
          <w:rFonts w:eastAsia="Times New Roman"/>
          <w:color w:val="000000"/>
          <w:sz w:val="20"/>
          <w:szCs w:val="20"/>
        </w:rPr>
        <w:t xml:space="preserve">As of December 31, 2021 and December 31, 2020 the Company consolidated </w:t>
      </w:r>
      <w:r>
        <w:rPr>
          <w:rFonts w:eastAsia="Times New Roman"/>
          <w:color w:val="000000"/>
          <w:sz w:val="20"/>
          <w:szCs w:val="20"/>
        </w:rPr>
        <w:t>limited partnerships and LLCs for which it was identified as the primary beneficiary under the VIE model. Included in Other invested assets, Mortgage loans on real estate and Other equity investments in the Company’s consolidated balance sheets at December</w:t>
      </w:r>
      <w:r>
        <w:rPr>
          <w:rFonts w:eastAsia="Times New Roman"/>
          <w:color w:val="000000"/>
          <w:sz w:val="20"/>
          <w:szCs w:val="20"/>
        </w:rPr>
        <w:t> 31, 2021 and December 31, 2020 are total assets of $219 million and $12 million, respectively related to these VIEs.</w:t>
      </w:r>
    </w:p>
    <w:p w:rsidR="00000000" w:rsidRDefault="005B0BC3">
      <w:pPr>
        <w:divId w:val="668025793"/>
        <w:rPr>
          <w:rFonts w:eastAsia="Times New Roman"/>
        </w:rPr>
      </w:pPr>
    </w:p>
    <w:p w:rsidR="00000000" w:rsidRDefault="005B0BC3">
      <w:pPr>
        <w:jc w:val="both"/>
        <w:divId w:val="1567766875"/>
        <w:rPr>
          <w:rFonts w:eastAsia="Times New Roman"/>
        </w:rPr>
      </w:pPr>
      <w:r>
        <w:rPr>
          <w:rFonts w:eastAsia="Times New Roman"/>
          <w:b/>
          <w:bCs/>
          <w:i/>
          <w:iCs/>
          <w:color w:val="000000"/>
          <w:sz w:val="20"/>
          <w:szCs w:val="20"/>
        </w:rPr>
        <w:t>Consolidated AB-Sponsored Investment Funds</w:t>
      </w:r>
    </w:p>
    <w:p w:rsidR="00000000" w:rsidRDefault="005B0BC3">
      <w:pPr>
        <w:divId w:val="2057587021"/>
        <w:rPr>
          <w:rFonts w:eastAsia="Times New Roman"/>
        </w:rPr>
      </w:pPr>
      <w:r>
        <w:rPr>
          <w:rFonts w:eastAsia="Times New Roman"/>
          <w:color w:val="000000"/>
          <w:sz w:val="20"/>
          <w:szCs w:val="20"/>
        </w:rPr>
        <w:t>Included in the Company’s consolidated balance sheet as of December 31, 2021 and December 31,</w:t>
      </w:r>
      <w:r>
        <w:rPr>
          <w:rFonts w:eastAsia="Times New Roman"/>
          <w:color w:val="000000"/>
          <w:sz w:val="20"/>
          <w:szCs w:val="20"/>
        </w:rPr>
        <w:t xml:space="preserve"> 2020 are assets of $734 million and $284 million, liabilities of $87 million and $8 million, and redeemable noncontrolling interests of $421 million and $83 million, respectively, associated with the consolidation of AB-sponsored investment funds under th</w:t>
      </w:r>
      <w:r>
        <w:rPr>
          <w:rFonts w:eastAsia="Times New Roman"/>
          <w:color w:val="000000"/>
          <w:sz w:val="20"/>
          <w:szCs w:val="20"/>
        </w:rPr>
        <w:t>e VIE model. Also included in the Company’s consolidated balance sheets as of December 31, 2021 and December 31, 2020 are assets of $0 million and $68 million, liabilities of $0 million and $23 million, and redeemable noncontrolling interests of $0 million</w:t>
      </w:r>
      <w:r>
        <w:rPr>
          <w:rFonts w:eastAsia="Times New Roman"/>
          <w:color w:val="000000"/>
          <w:sz w:val="20"/>
          <w:szCs w:val="20"/>
        </w:rPr>
        <w:t xml:space="preserve"> and $20 million, respectively, from consolidation of AB-sponsored investment funds under the VOE model. The assets of these consolidated funds are presented within other invested assets and cash and cash equivalents, and liabilities of these consolidated </w:t>
      </w:r>
      <w:r>
        <w:rPr>
          <w:rFonts w:eastAsia="Times New Roman"/>
          <w:color w:val="000000"/>
          <w:sz w:val="20"/>
          <w:szCs w:val="20"/>
        </w:rPr>
        <w:t>funds are presented with other liabilities in the Company’s consolidated balance sheets; ownership interests not held by the Company relating to consolidated VIEs and VOEs are presented either as redeemable or non-redeemable noncontrolling interests, as ap</w:t>
      </w:r>
      <w:r>
        <w:rPr>
          <w:rFonts w:eastAsia="Times New Roman"/>
          <w:color w:val="000000"/>
          <w:sz w:val="20"/>
          <w:szCs w:val="20"/>
        </w:rPr>
        <w:t xml:space="preserve">propriate. Redeemable noncontrolling interests are presented in mezzanine equity and non-redeemable noncontrolling interests are presented within </w:t>
      </w:r>
    </w:p>
    <w:p w:rsidR="00000000" w:rsidRDefault="005B0BC3">
      <w:pPr>
        <w:jc w:val="center"/>
        <w:divId w:val="865480791"/>
        <w:rPr>
          <w:rFonts w:eastAsia="Times New Roman"/>
        </w:rPr>
      </w:pPr>
      <w:r>
        <w:rPr>
          <w:rFonts w:eastAsia="Times New Roman"/>
          <w:color w:val="000000"/>
          <w:sz w:val="20"/>
          <w:szCs w:val="20"/>
        </w:rPr>
        <w:t>155</w:t>
      </w:r>
    </w:p>
    <w:p w:rsidR="00000000" w:rsidRDefault="005B0BC3">
      <w:pPr>
        <w:rPr>
          <w:rFonts w:eastAsia="Times New Roman"/>
        </w:rPr>
      </w:pPr>
      <w:r>
        <w:rPr>
          <w:rFonts w:eastAsia="Times New Roman"/>
        </w:rPr>
        <w:pict>
          <v:rect id="_x0000_i1193" style="width:0;height:1.5pt" o:hralign="center" o:hrstd="t" o:hr="t" fillcolor="#a0a0a0" stroked="f"/>
        </w:pict>
      </w:r>
    </w:p>
    <w:p w:rsidR="00000000" w:rsidRDefault="005B0BC3">
      <w:pPr>
        <w:jc w:val="center"/>
        <w:divId w:val="1143734501"/>
        <w:rPr>
          <w:rFonts w:eastAsia="Times New Roman"/>
        </w:rPr>
      </w:pPr>
      <w:r>
        <w:rPr>
          <w:rFonts w:eastAsia="Times New Roman"/>
          <w:b/>
          <w:bCs/>
          <w:color w:val="000000"/>
          <w:sz w:val="20"/>
          <w:szCs w:val="20"/>
        </w:rPr>
        <w:t>EQUITABLE HOLDINGS, INC.</w:t>
      </w:r>
    </w:p>
    <w:p w:rsidR="00000000" w:rsidRDefault="005B0BC3">
      <w:pPr>
        <w:jc w:val="center"/>
        <w:divId w:val="1143734501"/>
        <w:rPr>
          <w:rFonts w:eastAsia="Times New Roman"/>
        </w:rPr>
      </w:pPr>
      <w:r>
        <w:rPr>
          <w:rFonts w:eastAsia="Times New Roman"/>
          <w:b/>
          <w:bCs/>
          <w:color w:val="000000"/>
          <w:sz w:val="20"/>
          <w:szCs w:val="20"/>
        </w:rPr>
        <w:t>NOTES TO CONSOLIDATED FINANCIAL STATEMENTS,</w:t>
      </w:r>
      <w:r>
        <w:rPr>
          <w:rFonts w:eastAsia="Times New Roman"/>
          <w:b/>
          <w:bCs/>
          <w:color w:val="000000"/>
          <w:sz w:val="20"/>
          <w:szCs w:val="20"/>
        </w:rPr>
        <w:t xml:space="preserve"> continued</w:t>
      </w:r>
    </w:p>
    <w:p w:rsidR="00000000" w:rsidRDefault="005B0BC3">
      <w:pPr>
        <w:divId w:val="1715229618"/>
        <w:rPr>
          <w:rFonts w:eastAsia="Times New Roman"/>
        </w:rPr>
      </w:pPr>
      <w:r>
        <w:rPr>
          <w:rFonts w:eastAsia="Times New Roman"/>
          <w:color w:val="000000"/>
          <w:sz w:val="20"/>
          <w:szCs w:val="20"/>
        </w:rPr>
        <w:t>permanent equity. The Company is not required to provide financial support to these AB-sponsored investment funds, and only the assets of such funds are available to settle each fund’s own liabilities.</w:t>
      </w:r>
    </w:p>
    <w:p w:rsidR="00000000" w:rsidRDefault="005B0BC3">
      <w:pPr>
        <w:jc w:val="both"/>
        <w:divId w:val="1648897241"/>
        <w:rPr>
          <w:rFonts w:eastAsia="Times New Roman"/>
        </w:rPr>
      </w:pPr>
      <w:r>
        <w:rPr>
          <w:rFonts w:eastAsia="Times New Roman"/>
          <w:b/>
          <w:bCs/>
          <w:i/>
          <w:iCs/>
          <w:color w:val="000000"/>
          <w:sz w:val="20"/>
          <w:szCs w:val="20"/>
        </w:rPr>
        <w:t>Non-Consolidated VIEs</w:t>
      </w:r>
    </w:p>
    <w:p w:rsidR="00000000" w:rsidRDefault="005B0BC3">
      <w:pPr>
        <w:divId w:val="163782298"/>
        <w:rPr>
          <w:rFonts w:eastAsia="Times New Roman"/>
        </w:rPr>
      </w:pPr>
      <w:r>
        <w:rPr>
          <w:rFonts w:eastAsia="Times New Roman"/>
          <w:color w:val="000000"/>
          <w:sz w:val="20"/>
          <w:szCs w:val="20"/>
        </w:rPr>
        <w:t>As of December 31, 20</w:t>
      </w:r>
      <w:r>
        <w:rPr>
          <w:rFonts w:eastAsia="Times New Roman"/>
          <w:color w:val="000000"/>
          <w:sz w:val="20"/>
          <w:szCs w:val="20"/>
        </w:rPr>
        <w:t>21 and December 31, 2020 respectively, the Company held approximately $2.1 billion and $1.4 billion of investment assets in the form of equity interests issued by non-corporate legal entities determined under the guidance to be VIEs, such as limited partne</w:t>
      </w:r>
      <w:r>
        <w:rPr>
          <w:rFonts w:eastAsia="Times New Roman"/>
          <w:color w:val="000000"/>
          <w:sz w:val="20"/>
          <w:szCs w:val="20"/>
        </w:rPr>
        <w:t xml:space="preserve">rships and limited liability companies, including CLOs, hedge funds, private equity funds and real estate-related funds. As an equity investor, the Company is considered to have a variable interest in each of these VIEs as a result of its participation in </w:t>
      </w:r>
      <w:r>
        <w:rPr>
          <w:rFonts w:eastAsia="Times New Roman"/>
          <w:color w:val="000000"/>
          <w:sz w:val="20"/>
          <w:szCs w:val="20"/>
        </w:rPr>
        <w:t>the risks and/or rewards these funds were designed to create by their defined portfolio objectives and strategies. Primarily through qualitative assessment, including consideration of related party interests or other financial arrangements, if any, the Com</w:t>
      </w:r>
      <w:r>
        <w:rPr>
          <w:rFonts w:eastAsia="Times New Roman"/>
          <w:color w:val="000000"/>
          <w:sz w:val="20"/>
          <w:szCs w:val="20"/>
        </w:rPr>
        <w:t>pany was not identified as primary beneficiary of any of these VIEs, largely due to its inability to direct the activities that most significantly impact their economic performance. Consequently, the Company continues to reflect these equity interests in t</w:t>
      </w:r>
      <w:r>
        <w:rPr>
          <w:rFonts w:eastAsia="Times New Roman"/>
          <w:color w:val="000000"/>
          <w:sz w:val="20"/>
          <w:szCs w:val="20"/>
        </w:rPr>
        <w:t>he consolidated balance sheets as other equity investments and applies the equity method of accounting for these positions. The net assets of these non-consolidated VIEs are approximately $245.6 billion and $165.9 billion as of December 31, 2021 and Decemb</w:t>
      </w:r>
      <w:r>
        <w:rPr>
          <w:rFonts w:eastAsia="Times New Roman"/>
          <w:color w:val="000000"/>
          <w:sz w:val="20"/>
          <w:szCs w:val="20"/>
        </w:rPr>
        <w:t>er 31, 2020 respectively. The Company’s maximum exposure to loss from its direct involvement with these VIEs is the carrying value of its investment of $2.1 billion and $1.4 billion and approximately $1.2 billion and $1.2 billion of unfunded commitments as</w:t>
      </w:r>
      <w:r>
        <w:rPr>
          <w:rFonts w:eastAsia="Times New Roman"/>
          <w:color w:val="000000"/>
          <w:sz w:val="20"/>
          <w:szCs w:val="20"/>
        </w:rPr>
        <w:t xml:space="preserve"> of December 31, 2021 and December 31, 2020, respectively. The Company has no further economic interest in these VIEs in the form of guarantees, derivatives, credit enhancements or similar instruments and obligations.</w:t>
      </w:r>
    </w:p>
    <w:p w:rsidR="00000000" w:rsidRDefault="005B0BC3">
      <w:pPr>
        <w:jc w:val="both"/>
        <w:divId w:val="431515921"/>
        <w:rPr>
          <w:rFonts w:eastAsia="Times New Roman"/>
        </w:rPr>
      </w:pPr>
      <w:r>
        <w:rPr>
          <w:rFonts w:eastAsia="Times New Roman"/>
          <w:b/>
          <w:bCs/>
          <w:i/>
          <w:iCs/>
          <w:color w:val="000000"/>
          <w:sz w:val="20"/>
          <w:szCs w:val="20"/>
        </w:rPr>
        <w:t>Non-Consolidated AB-Sponsored Investme</w:t>
      </w:r>
      <w:r>
        <w:rPr>
          <w:rFonts w:eastAsia="Times New Roman"/>
          <w:b/>
          <w:bCs/>
          <w:i/>
          <w:iCs/>
          <w:color w:val="000000"/>
          <w:sz w:val="20"/>
          <w:szCs w:val="20"/>
        </w:rPr>
        <w:t>nt Products</w:t>
      </w:r>
    </w:p>
    <w:p w:rsidR="00000000" w:rsidRDefault="005B0BC3">
      <w:pPr>
        <w:divId w:val="1788547988"/>
        <w:rPr>
          <w:rFonts w:eastAsia="Times New Roman"/>
        </w:rPr>
      </w:pPr>
      <w:r>
        <w:rPr>
          <w:rFonts w:eastAsia="Times New Roman"/>
          <w:color w:val="000000"/>
          <w:sz w:val="20"/>
          <w:szCs w:val="20"/>
        </w:rPr>
        <w:t>As of December 31, 2021 and December </w:t>
      </w:r>
      <w:r>
        <w:rPr>
          <w:rFonts w:eastAsia="Times New Roman"/>
          <w:color w:val="000000"/>
          <w:sz w:val="20"/>
          <w:szCs w:val="20"/>
        </w:rPr>
        <w:t>31, 2020, the net assets of investment products sponsored by AB that are non-consolidated VIEs are approximately $68.9 billion and $73.4 billion, respectively. The Company’s maximum exposure to loss from its direct involvement with these VIEs is its invest</w:t>
      </w:r>
      <w:r>
        <w:rPr>
          <w:rFonts w:eastAsia="Times New Roman"/>
          <w:color w:val="000000"/>
          <w:sz w:val="20"/>
          <w:szCs w:val="20"/>
        </w:rPr>
        <w:t>ment of $9 million and $7 million as of December 31, 2021 and December 31, 2020. The Company has no further commitments to or economic interest in these VIEs.</w:t>
      </w:r>
    </w:p>
    <w:p w:rsidR="00000000" w:rsidRDefault="005B0BC3">
      <w:pPr>
        <w:divId w:val="295795907"/>
        <w:rPr>
          <w:rFonts w:eastAsia="Times New Roman"/>
        </w:rPr>
      </w:pPr>
      <w:r>
        <w:rPr>
          <w:rFonts w:eastAsia="Times New Roman"/>
          <w:color w:val="000000"/>
          <w:sz w:val="20"/>
          <w:szCs w:val="20"/>
          <w:u w:val="single"/>
        </w:rPr>
        <w:t>Assumption Updates and Model Changes</w:t>
      </w:r>
    </w:p>
    <w:p w:rsidR="00000000" w:rsidRDefault="005B0BC3">
      <w:pPr>
        <w:divId w:val="1814525323"/>
        <w:rPr>
          <w:rFonts w:eastAsia="Times New Roman"/>
        </w:rPr>
      </w:pPr>
      <w:r>
        <w:rPr>
          <w:rFonts w:eastAsia="Times New Roman"/>
          <w:color w:val="000000"/>
          <w:sz w:val="20"/>
          <w:szCs w:val="20"/>
        </w:rPr>
        <w:t>The Company conducts its annual review of its assumptions and models during the third quarter of each year. The annual review encompasses assumptions underlying the valuation of unearned revenue liabilities, embedded derivatives for our insurance business,</w:t>
      </w:r>
      <w:r>
        <w:rPr>
          <w:rFonts w:eastAsia="Times New Roman"/>
          <w:color w:val="000000"/>
          <w:sz w:val="20"/>
          <w:szCs w:val="20"/>
        </w:rPr>
        <w:t xml:space="preserve"> liabilities for future policyholder benefits, DAC and DSI assets.</w:t>
      </w:r>
    </w:p>
    <w:p w:rsidR="00000000" w:rsidRDefault="005B0BC3">
      <w:pPr>
        <w:divId w:val="13968540"/>
        <w:rPr>
          <w:rFonts w:eastAsia="Times New Roman"/>
        </w:rPr>
      </w:pPr>
      <w:r>
        <w:rPr>
          <w:rFonts w:eastAsia="Times New Roman"/>
          <w:color w:val="000000"/>
          <w:sz w:val="20"/>
          <w:szCs w:val="20"/>
        </w:rPr>
        <w:t xml:space="preserve">However, the Company updates its assumptions as needed in the event it becomes aware of economic conditions or events that could require a change in assumptions that it believes may have a </w:t>
      </w:r>
      <w:r>
        <w:rPr>
          <w:rFonts w:eastAsia="Times New Roman"/>
          <w:color w:val="000000"/>
          <w:sz w:val="20"/>
          <w:szCs w:val="20"/>
        </w:rPr>
        <w:t>significant impact to the carrying value of product liabilities and assets and consequently materially impact its earnings in the period of the change.</w:t>
      </w:r>
    </w:p>
    <w:p w:rsidR="00000000" w:rsidRDefault="005B0BC3">
      <w:pPr>
        <w:divId w:val="315839573"/>
        <w:rPr>
          <w:rFonts w:eastAsia="Times New Roman"/>
        </w:rPr>
      </w:pPr>
      <w:r>
        <w:rPr>
          <w:rFonts w:eastAsia="Times New Roman"/>
          <w:color w:val="000000"/>
          <w:sz w:val="20"/>
          <w:szCs w:val="20"/>
        </w:rPr>
        <w:t>Due to the extraordinary economic conditions driven by the COVID-19 pandemic in the first quarter of 202</w:t>
      </w:r>
      <w:r>
        <w:rPr>
          <w:rFonts w:eastAsia="Times New Roman"/>
          <w:color w:val="000000"/>
          <w:sz w:val="20"/>
          <w:szCs w:val="20"/>
        </w:rPr>
        <w:t>0, the Company updated its interest rate assumption to grade from the current interest rate environment to an ultimate five-year historical average over a 10-year period. As such, the 10-year U.S. Treasury yield grades from the current level to an ultimate</w:t>
      </w:r>
      <w:r>
        <w:rPr>
          <w:rFonts w:eastAsia="Times New Roman"/>
          <w:color w:val="000000"/>
          <w:sz w:val="20"/>
          <w:szCs w:val="20"/>
        </w:rPr>
        <w:t xml:space="preserve"> 5-year average of 2.25%.</w:t>
      </w:r>
    </w:p>
    <w:p w:rsidR="00000000" w:rsidRDefault="005B0BC3">
      <w:pPr>
        <w:divId w:val="1603026271"/>
        <w:rPr>
          <w:rFonts w:eastAsia="Times New Roman"/>
        </w:rPr>
      </w:pPr>
      <w:r>
        <w:rPr>
          <w:rFonts w:eastAsia="Times New Roman"/>
          <w:color w:val="000000"/>
          <w:sz w:val="20"/>
          <w:szCs w:val="20"/>
        </w:rPr>
        <w:t>The low interest rate environment and update to the interest rate assumption caused a loss recognition event for the Company’s life interest-sensitive products, as well as to certain run-off business. This loss recognition event c</w:t>
      </w:r>
      <w:r>
        <w:rPr>
          <w:rFonts w:eastAsia="Times New Roman"/>
          <w:color w:val="000000"/>
          <w:sz w:val="20"/>
          <w:szCs w:val="20"/>
        </w:rPr>
        <w:t xml:space="preserve">aused an acceleration of DAC amortization on the life interest-sensitive products and an increase in the premium deficiency reserve on the run-off business in the first quarter of 2020. </w:t>
      </w:r>
    </w:p>
    <w:p w:rsidR="00000000" w:rsidRDefault="005B0BC3">
      <w:pPr>
        <w:jc w:val="both"/>
        <w:divId w:val="98304772"/>
        <w:rPr>
          <w:rFonts w:eastAsia="Times New Roman"/>
        </w:rPr>
      </w:pPr>
      <w:r>
        <w:rPr>
          <w:rFonts w:eastAsia="Times New Roman"/>
          <w:b/>
          <w:bCs/>
          <w:i/>
          <w:iCs/>
          <w:color w:val="000000"/>
          <w:sz w:val="20"/>
          <w:szCs w:val="20"/>
        </w:rPr>
        <w:t>Impact of Assumption Updates</w:t>
      </w:r>
    </w:p>
    <w:p w:rsidR="00000000" w:rsidRDefault="005B0BC3">
      <w:pPr>
        <w:divId w:val="1116486721"/>
        <w:rPr>
          <w:rFonts w:eastAsia="Times New Roman"/>
        </w:rPr>
      </w:pPr>
      <w:r>
        <w:rPr>
          <w:rFonts w:eastAsia="Times New Roman"/>
          <w:color w:val="000000"/>
          <w:sz w:val="20"/>
          <w:szCs w:val="20"/>
        </w:rPr>
        <w:t>The net impact of assumption changes dur</w:t>
      </w:r>
      <w:r>
        <w:rPr>
          <w:rFonts w:eastAsia="Times New Roman"/>
          <w:color w:val="000000"/>
          <w:sz w:val="20"/>
          <w:szCs w:val="20"/>
        </w:rPr>
        <w:t>ing 2021 decreased policy charges and fee income by $28 million, decreased policyholders’ benefits by $62 million, increased net derivative losses by $200 million and decreased amortization of DAC by $58 million. This resulted in a decrease in income (loss</w:t>
      </w:r>
      <w:r>
        <w:rPr>
          <w:rFonts w:eastAsia="Times New Roman"/>
          <w:color w:val="000000"/>
          <w:sz w:val="20"/>
          <w:szCs w:val="20"/>
        </w:rPr>
        <w:t>) from operations, before income taxes of $108 million and decreased net income (loss) by $85 million. As part of this annual update completed as of September 30, 2021, the reference interest rate utilized in our GAAP fair value calculations was updated fr</w:t>
      </w:r>
      <w:r>
        <w:rPr>
          <w:rFonts w:eastAsia="Times New Roman"/>
          <w:color w:val="000000"/>
          <w:sz w:val="20"/>
          <w:szCs w:val="20"/>
        </w:rPr>
        <w:t>om the LIBOR swap curve to the US Treasury curve, which represents a reasonable proxy of the cost of funding the derivative positions backing our GMxB liabilities. Concurrently, our GAAP fair value liability risk margins were increased. which when consider</w:t>
      </w:r>
      <w:r>
        <w:rPr>
          <w:rFonts w:eastAsia="Times New Roman"/>
          <w:color w:val="000000"/>
          <w:sz w:val="20"/>
          <w:szCs w:val="20"/>
        </w:rPr>
        <w:t xml:space="preserve">ed with the change from LIBOR, resulted in an immaterial impact to overall valuation as our view regarding market participant pricing of our guarantees has not changed at the time of this update. </w:t>
      </w:r>
    </w:p>
    <w:p w:rsidR="00000000" w:rsidRDefault="005B0BC3">
      <w:pPr>
        <w:jc w:val="center"/>
        <w:divId w:val="663432137"/>
        <w:rPr>
          <w:rFonts w:eastAsia="Times New Roman"/>
        </w:rPr>
      </w:pPr>
      <w:r>
        <w:rPr>
          <w:rFonts w:eastAsia="Times New Roman"/>
          <w:color w:val="000000"/>
          <w:sz w:val="20"/>
          <w:szCs w:val="20"/>
        </w:rPr>
        <w:t>156</w:t>
      </w:r>
    </w:p>
    <w:p w:rsidR="00000000" w:rsidRDefault="005B0BC3">
      <w:pPr>
        <w:rPr>
          <w:rFonts w:eastAsia="Times New Roman"/>
        </w:rPr>
      </w:pPr>
      <w:r>
        <w:rPr>
          <w:rFonts w:eastAsia="Times New Roman"/>
        </w:rPr>
        <w:pict>
          <v:rect id="_x0000_i1194" style="width:0;height:1.5pt" o:hralign="center" o:hrstd="t" o:hr="t" fillcolor="#a0a0a0" stroked="f"/>
        </w:pict>
      </w:r>
    </w:p>
    <w:p w:rsidR="00000000" w:rsidRDefault="005B0BC3">
      <w:pPr>
        <w:jc w:val="center"/>
        <w:divId w:val="1896625272"/>
        <w:rPr>
          <w:rFonts w:eastAsia="Times New Roman"/>
        </w:rPr>
      </w:pPr>
      <w:r>
        <w:rPr>
          <w:rFonts w:eastAsia="Times New Roman"/>
          <w:b/>
          <w:bCs/>
          <w:color w:val="000000"/>
          <w:sz w:val="20"/>
          <w:szCs w:val="20"/>
        </w:rPr>
        <w:t>EQUITABLE HOLDINGS</w:t>
      </w:r>
      <w:r>
        <w:rPr>
          <w:rFonts w:eastAsia="Times New Roman"/>
          <w:b/>
          <w:bCs/>
          <w:color w:val="000000"/>
          <w:sz w:val="20"/>
          <w:szCs w:val="20"/>
        </w:rPr>
        <w:t>, INC.</w:t>
      </w:r>
    </w:p>
    <w:p w:rsidR="00000000" w:rsidRDefault="005B0BC3">
      <w:pPr>
        <w:jc w:val="center"/>
        <w:divId w:val="1896625272"/>
        <w:rPr>
          <w:rFonts w:eastAsia="Times New Roman"/>
        </w:rPr>
      </w:pPr>
      <w:r>
        <w:rPr>
          <w:rFonts w:eastAsia="Times New Roman"/>
          <w:b/>
          <w:bCs/>
          <w:color w:val="000000"/>
          <w:sz w:val="20"/>
          <w:szCs w:val="20"/>
        </w:rPr>
        <w:t>NOTES TO CONSOLIDATED FINANCIAL STATEMENTS, continued</w:t>
      </w:r>
    </w:p>
    <w:p w:rsidR="00000000" w:rsidRDefault="005B0BC3">
      <w:pPr>
        <w:divId w:val="1698778101"/>
        <w:rPr>
          <w:rFonts w:eastAsia="Times New Roman"/>
        </w:rPr>
      </w:pPr>
      <w:r>
        <w:rPr>
          <w:rFonts w:eastAsia="Times New Roman"/>
          <w:color w:val="000000"/>
          <w:sz w:val="20"/>
          <w:szCs w:val="20"/>
        </w:rPr>
        <w:t>The net impact of assumption changes during 2020 was an increase in policy charges and fee income of $23 million, an increased policyholders’ benefits by $1.6 billion, decreased interest credited</w:t>
      </w:r>
      <w:r>
        <w:rPr>
          <w:rFonts w:eastAsia="Times New Roman"/>
          <w:color w:val="000000"/>
          <w:sz w:val="20"/>
          <w:szCs w:val="20"/>
        </w:rPr>
        <w:t xml:space="preserve"> to policyholders’ account balances by $1 million, increased net derivative gains by $112 million and increased amortization of DAC by $1.1 billion. This resulted in a decrease in income (loss) from operations, before income taxes of $2.6 billion and decre</w:t>
      </w:r>
      <w:r>
        <w:rPr>
          <w:rFonts w:eastAsia="Times New Roman"/>
          <w:color w:val="000000"/>
          <w:sz w:val="20"/>
          <w:szCs w:val="20"/>
        </w:rPr>
        <w:t xml:space="preserve">ased net income (loss) by $2.0 billion. </w:t>
      </w:r>
    </w:p>
    <w:p w:rsidR="00000000" w:rsidRDefault="005B0BC3">
      <w:pPr>
        <w:divId w:val="563223240"/>
        <w:rPr>
          <w:rFonts w:eastAsia="Times New Roman"/>
        </w:rPr>
      </w:pPr>
      <w:r>
        <w:rPr>
          <w:rFonts w:eastAsia="Times New Roman"/>
          <w:color w:val="000000"/>
          <w:sz w:val="20"/>
          <w:szCs w:val="20"/>
        </w:rPr>
        <w:t>The 2020 impacts related to assumption updates were primarily driven by the first quarter updates. The updates in the first quarter resulted in an increase in policy charges and fee income of $46 million, an increas</w:t>
      </w:r>
      <w:r>
        <w:rPr>
          <w:rFonts w:eastAsia="Times New Roman"/>
          <w:color w:val="000000"/>
          <w:sz w:val="20"/>
          <w:szCs w:val="20"/>
        </w:rPr>
        <w:t>e in policyholders’ benefits of $1.4 billion, a decrease in interest credited to policyholders’ account balances of $6 million, and an increase of $1.1 billion in DAC amortization.</w:t>
      </w:r>
    </w:p>
    <w:p w:rsidR="00000000" w:rsidRDefault="005B0BC3">
      <w:pPr>
        <w:divId w:val="1978604636"/>
        <w:rPr>
          <w:rFonts w:eastAsia="Times New Roman"/>
        </w:rPr>
      </w:pPr>
      <w:r>
        <w:rPr>
          <w:rFonts w:eastAsia="Times New Roman"/>
          <w:color w:val="000000"/>
          <w:sz w:val="20"/>
          <w:szCs w:val="20"/>
        </w:rPr>
        <w:t xml:space="preserve">The net impact of assumption changes during 2019 was an increase in policy </w:t>
      </w:r>
      <w:r>
        <w:rPr>
          <w:rFonts w:eastAsia="Times New Roman"/>
          <w:color w:val="000000"/>
          <w:sz w:val="20"/>
          <w:szCs w:val="20"/>
        </w:rPr>
        <w:t>charges and fee income by $3 million, increased policyholders’ benefits by $875 million, decreased interest credited to policyholders’ account balances by $13 million, decreased net derivative gains (losses) by $578 million and decreased amortization of DA</w:t>
      </w:r>
      <w:r>
        <w:rPr>
          <w:rFonts w:eastAsia="Times New Roman"/>
          <w:color w:val="000000"/>
          <w:sz w:val="20"/>
          <w:szCs w:val="20"/>
        </w:rPr>
        <w:t>C by $46 million. This resulted in a decrease in income (loss) from operations, before income taxes of $1.4 billion and decreased net income (loss) by $1.1 billion.</w:t>
      </w:r>
    </w:p>
    <w:p w:rsidR="00000000" w:rsidRDefault="005B0BC3">
      <w:pPr>
        <w:jc w:val="both"/>
        <w:divId w:val="144854869"/>
        <w:rPr>
          <w:rFonts w:eastAsia="Times New Roman"/>
        </w:rPr>
      </w:pPr>
      <w:r>
        <w:rPr>
          <w:rFonts w:eastAsia="Times New Roman"/>
          <w:b/>
          <w:bCs/>
          <w:i/>
          <w:iCs/>
          <w:color w:val="000000"/>
          <w:sz w:val="20"/>
          <w:szCs w:val="20"/>
        </w:rPr>
        <w:t>Model Changes</w:t>
      </w:r>
    </w:p>
    <w:p w:rsidR="00000000" w:rsidRDefault="005B0BC3">
      <w:pPr>
        <w:divId w:val="145515677"/>
        <w:rPr>
          <w:rFonts w:eastAsia="Times New Roman"/>
        </w:rPr>
      </w:pPr>
      <w:r>
        <w:rPr>
          <w:rFonts w:eastAsia="Times New Roman"/>
          <w:color w:val="000000"/>
          <w:sz w:val="20"/>
          <w:szCs w:val="20"/>
        </w:rPr>
        <w:t>There were no material model changes in 2021 and 2019.</w:t>
      </w:r>
    </w:p>
    <w:p w:rsidR="00000000" w:rsidRDefault="005B0BC3">
      <w:pPr>
        <w:divId w:val="7369715"/>
        <w:rPr>
          <w:rFonts w:eastAsia="Times New Roman"/>
        </w:rPr>
      </w:pPr>
    </w:p>
    <w:p w:rsidR="00000000" w:rsidRDefault="005B0BC3">
      <w:pPr>
        <w:divId w:val="1277910275"/>
        <w:rPr>
          <w:rFonts w:eastAsia="Times New Roman"/>
        </w:rPr>
      </w:pPr>
      <w:r>
        <w:rPr>
          <w:rFonts w:eastAsia="Times New Roman"/>
          <w:color w:val="000000"/>
          <w:sz w:val="20"/>
          <w:szCs w:val="20"/>
        </w:rPr>
        <w:t>In the first quarter</w:t>
      </w:r>
      <w:r>
        <w:rPr>
          <w:rFonts w:eastAsia="Times New Roman"/>
          <w:color w:val="000000"/>
          <w:sz w:val="20"/>
          <w:szCs w:val="20"/>
        </w:rPr>
        <w:t xml:space="preserve"> of 2020, the Company adopted a new economic scenario generator to calculate the fair value of the GMIB reinsurance contract asset and GMxB derivative features liability, eliminating reliance on AXA for scenario production. The new economic scenario genera</w:t>
      </w:r>
      <w:r>
        <w:rPr>
          <w:rFonts w:eastAsia="Times New Roman"/>
          <w:color w:val="000000"/>
          <w:sz w:val="20"/>
          <w:szCs w:val="20"/>
        </w:rPr>
        <w:t>tor allows for a tighter calibration of U.S. indices, better reflecting the Company’s actual portfolio. The net impact of the new economic scenario generator resulted in an increase in income (loss) from continuing operations, before income taxes of $201 m</w:t>
      </w:r>
      <w:r>
        <w:rPr>
          <w:rFonts w:eastAsia="Times New Roman"/>
          <w:color w:val="000000"/>
          <w:sz w:val="20"/>
          <w:szCs w:val="20"/>
        </w:rPr>
        <w:t>illion, and an increase to net income (loss) of $159 million during 2020.</w:t>
      </w:r>
    </w:p>
    <w:p w:rsidR="00000000" w:rsidRDefault="005B0BC3">
      <w:pPr>
        <w:divId w:val="1345595478"/>
        <w:rPr>
          <w:rFonts w:eastAsia="Times New Roman"/>
        </w:rPr>
      </w:pPr>
    </w:p>
    <w:p w:rsidR="00000000" w:rsidRDefault="005B0BC3">
      <w:pPr>
        <w:divId w:val="1827164812"/>
        <w:rPr>
          <w:rFonts w:eastAsia="Times New Roman"/>
        </w:rPr>
      </w:pPr>
      <w:r>
        <w:rPr>
          <w:rFonts w:eastAsia="Times New Roman"/>
          <w:b/>
          <w:bCs/>
          <w:color w:val="000000"/>
          <w:sz w:val="20"/>
          <w:szCs w:val="20"/>
        </w:rPr>
        <w:t>3)    INVESTMENTS</w:t>
      </w:r>
    </w:p>
    <w:p w:rsidR="00000000" w:rsidRDefault="005B0BC3">
      <w:pPr>
        <w:divId w:val="1446391363"/>
        <w:rPr>
          <w:rFonts w:eastAsia="Times New Roman"/>
        </w:rPr>
      </w:pPr>
      <w:r>
        <w:rPr>
          <w:rFonts w:eastAsia="Times New Roman"/>
          <w:color w:val="000000"/>
          <w:sz w:val="20"/>
          <w:szCs w:val="20"/>
          <w:u w:val="single"/>
        </w:rPr>
        <w:t>Fixed Maturities AFS</w:t>
      </w:r>
    </w:p>
    <w:p w:rsidR="00000000" w:rsidRDefault="005B0BC3">
      <w:pPr>
        <w:divId w:val="1203857977"/>
        <w:rPr>
          <w:rFonts w:eastAsia="Times New Roman"/>
        </w:rPr>
      </w:pPr>
      <w:r>
        <w:rPr>
          <w:rFonts w:eastAsia="Times New Roman"/>
          <w:color w:val="000000"/>
          <w:sz w:val="20"/>
          <w:szCs w:val="20"/>
        </w:rPr>
        <w:t>The components of fair value and amortized cost for fixed maturities classified as AFS on the consolidated balance sheets excludes accrued in</w:t>
      </w:r>
      <w:r>
        <w:rPr>
          <w:rFonts w:eastAsia="Times New Roman"/>
          <w:color w:val="000000"/>
          <w:sz w:val="20"/>
          <w:szCs w:val="20"/>
        </w:rPr>
        <w:t>terest receivable because the Company elected to present accrued interest receivable within other assets. Accrued interest receivable on AFS fixed maturities as of December 31, 2021 and 2020 was $506 million and $538 million, respectively. There was no acc</w:t>
      </w:r>
      <w:r>
        <w:rPr>
          <w:rFonts w:eastAsia="Times New Roman"/>
          <w:color w:val="000000"/>
          <w:sz w:val="20"/>
          <w:szCs w:val="20"/>
        </w:rPr>
        <w:t>rued interest written off for AFS fixed maturities for the years ended December 31, 2021 and 2020.</w:t>
      </w:r>
    </w:p>
    <w:p w:rsidR="00000000" w:rsidRDefault="005B0BC3">
      <w:pPr>
        <w:divId w:val="576210103"/>
        <w:rPr>
          <w:rFonts w:eastAsia="Times New Roman"/>
        </w:rPr>
      </w:pPr>
      <w:r>
        <w:rPr>
          <w:rFonts w:eastAsia="Times New Roman"/>
          <w:color w:val="000000"/>
          <w:sz w:val="20"/>
          <w:szCs w:val="20"/>
        </w:rPr>
        <w:t xml:space="preserve">The following tables provide information relating to the Company’s fixed maturities classified as AFS. </w:t>
      </w:r>
    </w:p>
    <w:p w:rsidR="00000000" w:rsidRDefault="005B0BC3">
      <w:pPr>
        <w:jc w:val="center"/>
        <w:rPr>
          <w:rFonts w:eastAsia="Times New Roman"/>
        </w:rPr>
      </w:pPr>
      <w:r>
        <w:rPr>
          <w:rFonts w:eastAsia="Times New Roman"/>
          <w:b/>
          <w:bCs/>
          <w:color w:val="000000"/>
          <w:sz w:val="20"/>
          <w:szCs w:val="20"/>
        </w:rPr>
        <w:t>AFS Fixed Maturities by Classification</w:t>
      </w:r>
    </w:p>
    <w:tbl>
      <w:tblPr>
        <w:tblW w:w="4956" w:type="pct"/>
        <w:jc w:val="center"/>
        <w:tblCellMar>
          <w:top w:w="15" w:type="dxa"/>
          <w:left w:w="15" w:type="dxa"/>
          <w:bottom w:w="15" w:type="dxa"/>
          <w:right w:w="15" w:type="dxa"/>
        </w:tblCellMar>
        <w:tblLook w:val="04A0" w:firstRow="1" w:lastRow="0" w:firstColumn="1" w:lastColumn="0" w:noHBand="0" w:noVBand="1"/>
      </w:tblPr>
      <w:tblGrid>
        <w:gridCol w:w="39"/>
        <w:gridCol w:w="3588"/>
        <w:gridCol w:w="38"/>
        <w:gridCol w:w="121"/>
        <w:gridCol w:w="684"/>
        <w:gridCol w:w="36"/>
        <w:gridCol w:w="36"/>
        <w:gridCol w:w="36"/>
        <w:gridCol w:w="36"/>
        <w:gridCol w:w="121"/>
        <w:gridCol w:w="668"/>
        <w:gridCol w:w="36"/>
        <w:gridCol w:w="36"/>
        <w:gridCol w:w="36"/>
        <w:gridCol w:w="36"/>
        <w:gridCol w:w="121"/>
        <w:gridCol w:w="700"/>
        <w:gridCol w:w="36"/>
        <w:gridCol w:w="36"/>
        <w:gridCol w:w="36"/>
        <w:gridCol w:w="36"/>
        <w:gridCol w:w="121"/>
        <w:gridCol w:w="700"/>
        <w:gridCol w:w="36"/>
        <w:gridCol w:w="36"/>
        <w:gridCol w:w="36"/>
        <w:gridCol w:w="36"/>
        <w:gridCol w:w="120"/>
        <w:gridCol w:w="600"/>
        <w:gridCol w:w="36"/>
      </w:tblGrid>
      <w:tr w:rsidR="00000000">
        <w:trPr>
          <w:jc w:val="center"/>
        </w:trPr>
        <w:tc>
          <w:tcPr>
            <w:tcW w:w="50" w:type="pct"/>
            <w:vAlign w:val="center"/>
            <w:hideMark/>
          </w:tcPr>
          <w:p w:rsidR="00000000" w:rsidRDefault="005B0BC3">
            <w:pPr>
              <w:jc w:val="center"/>
              <w:rPr>
                <w:rFonts w:eastAsia="Times New Roman"/>
              </w:rPr>
            </w:pPr>
          </w:p>
        </w:tc>
        <w:tc>
          <w:tcPr>
            <w:tcW w:w="232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5B0BC3">
            <w:pPr>
              <w:spacing w:after="100"/>
              <w:divId w:val="944924977"/>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Amortized Cost</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 xml:space="preserve">Allowance for Credit Losses </w:t>
            </w: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Gross Unrealized Gains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Gross Unrealized Losses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 xml:space="preserve">Fair Value </w:t>
            </w:r>
          </w:p>
        </w:tc>
      </w:tr>
      <w:tr w:rsidR="00000000">
        <w:trPr>
          <w:jc w:val="center"/>
        </w:trPr>
        <w:tc>
          <w:tcPr>
            <w:tcW w:w="0" w:type="auto"/>
            <w:gridSpan w:val="3"/>
            <w:tcMar>
              <w:top w:w="30" w:type="dxa"/>
              <w:left w:w="20" w:type="dxa"/>
              <w:bottom w:w="30" w:type="dxa"/>
              <w:right w:w="20" w:type="dxa"/>
            </w:tcMar>
            <w:vAlign w:val="bottom"/>
            <w:hideMark/>
          </w:tcPr>
          <w:p w:rsidR="00000000" w:rsidRDefault="005B0BC3">
            <w:pPr>
              <w:spacing w:after="100"/>
              <w:divId w:val="809202527"/>
              <w:rPr>
                <w:rFonts w:eastAsia="Times New Roman"/>
              </w:rPr>
            </w:pPr>
            <w:r>
              <w:rPr>
                <w:rFonts w:eastAsia="Times New Roman"/>
                <w:b/>
                <w:bCs/>
                <w:color w:val="000000"/>
                <w:sz w:val="16"/>
                <w:szCs w:val="16"/>
              </w:rPr>
              <w:t> </w:t>
            </w:r>
          </w:p>
        </w:tc>
        <w:tc>
          <w:tcPr>
            <w:tcW w:w="0" w:type="auto"/>
            <w:gridSpan w:val="27"/>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 (in millions)</w:t>
            </w:r>
          </w:p>
        </w:tc>
      </w:tr>
      <w:tr w:rsidR="00000000">
        <w:trPr>
          <w:jc w:val="center"/>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December 31, 2021</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divId w:val="458885490"/>
              <w:rPr>
                <w:rFonts w:eastAsia="Times New Roman"/>
              </w:rPr>
            </w:pPr>
            <w:r>
              <w:rPr>
                <w:rFonts w:eastAsia="Times New Roman"/>
                <w:color w:val="000000"/>
                <w:sz w:val="20"/>
                <w:szCs w:val="20"/>
              </w:rPr>
              <w:t>Fixed Maturities:</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shd w:val="clear" w:color="auto" w:fill="CCEEFF"/>
            <w:tcMar>
              <w:top w:w="30" w:type="dxa"/>
              <w:left w:w="14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Corporate (1)</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50,172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2,601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52,511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B0BC3">
            <w:pPr>
              <w:spacing w:after="100"/>
              <w:divId w:val="1694071919"/>
              <w:rPr>
                <w:rFonts w:eastAsia="Times New Roman"/>
              </w:rPr>
            </w:pPr>
            <w:r>
              <w:rPr>
                <w:rFonts w:eastAsia="Times New Roman"/>
                <w:color w:val="000000"/>
                <w:sz w:val="20"/>
                <w:szCs w:val="20"/>
              </w:rPr>
              <w:t>U.S. Treasury, government and agency</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13,056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2,344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15,385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hideMark/>
          </w:tcPr>
          <w:p w:rsidR="00000000" w:rsidRDefault="005B0BC3">
            <w:pPr>
              <w:spacing w:after="100"/>
              <w:rPr>
                <w:rFonts w:eastAsia="Times New Roman"/>
              </w:rPr>
            </w:pPr>
            <w:r>
              <w:rPr>
                <w:rFonts w:eastAsia="Times New Roman"/>
                <w:color w:val="000000"/>
                <w:sz w:val="20"/>
                <w:szCs w:val="20"/>
              </w:rPr>
              <w:t>States and political subdivisions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B0BC3">
            <w:pPr>
              <w:spacing w:after="100"/>
              <w:divId w:val="1809475313"/>
              <w:rPr>
                <w:rFonts w:eastAsia="Times New Roman"/>
              </w:rPr>
            </w:pPr>
            <w:r>
              <w:rPr>
                <w:rFonts w:eastAsia="Times New Roman"/>
                <w:color w:val="000000"/>
                <w:sz w:val="20"/>
                <w:szCs w:val="20"/>
              </w:rPr>
              <w:t>Foreign governments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hideMark/>
          </w:tcPr>
          <w:p w:rsidR="00000000" w:rsidRDefault="005B0BC3">
            <w:pPr>
              <w:spacing w:after="100"/>
              <w:rPr>
                <w:rFonts w:eastAsia="Times New Roman"/>
              </w:rPr>
            </w:pPr>
            <w:r>
              <w:rPr>
                <w:rFonts w:eastAsia="Times New Roman"/>
                <w:color w:val="000000"/>
                <w:sz w:val="20"/>
                <w:szCs w:val="20"/>
              </w:rPr>
              <w:t>Residential mortgage-backed (2)</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Asset-backed (3)</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5,933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5,934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Commercial mortgage-backed</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2,427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2,421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140" w:type="dxa"/>
              <w:bottom w:w="30" w:type="dxa"/>
              <w:right w:w="20" w:type="dxa"/>
            </w:tcMar>
            <w:hideMark/>
          </w:tcPr>
          <w:p w:rsidR="00000000" w:rsidRDefault="005B0BC3">
            <w:pPr>
              <w:spacing w:after="100"/>
              <w:rPr>
                <w:rFonts w:eastAsia="Times New Roman"/>
              </w:rPr>
            </w:pPr>
            <w:r>
              <w:rPr>
                <w:rFonts w:eastAsia="Times New Roman"/>
                <w:color w:val="000000"/>
                <w:sz w:val="20"/>
                <w:szCs w:val="20"/>
              </w:rPr>
              <w:t>Redeemable preferred stock (5)</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Total at December 31, 2021</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73,429</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5,125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316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78,216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bl>
    <w:p w:rsidR="00000000" w:rsidRDefault="005B0BC3">
      <w:pPr>
        <w:jc w:val="center"/>
        <w:divId w:val="1118380054"/>
        <w:rPr>
          <w:rFonts w:eastAsia="Times New Roman"/>
        </w:rPr>
      </w:pPr>
      <w:r>
        <w:rPr>
          <w:rFonts w:eastAsia="Times New Roman"/>
          <w:color w:val="000000"/>
          <w:sz w:val="20"/>
          <w:szCs w:val="20"/>
        </w:rPr>
        <w:t>157</w:t>
      </w:r>
    </w:p>
    <w:p w:rsidR="00000000" w:rsidRDefault="005B0BC3">
      <w:pPr>
        <w:rPr>
          <w:rFonts w:eastAsia="Times New Roman"/>
        </w:rPr>
      </w:pPr>
      <w:r>
        <w:rPr>
          <w:rFonts w:eastAsia="Times New Roman"/>
        </w:rPr>
        <w:pict>
          <v:rect id="_x0000_i1195" style="width:0;height:1.5pt" o:hralign="center" o:hrstd="t" o:hr="t" fillcolor="#a0a0a0" stroked="f"/>
        </w:pict>
      </w:r>
    </w:p>
    <w:p w:rsidR="00000000" w:rsidRDefault="005B0BC3">
      <w:pPr>
        <w:jc w:val="center"/>
        <w:divId w:val="2097509890"/>
        <w:rPr>
          <w:rFonts w:eastAsia="Times New Roman"/>
        </w:rPr>
      </w:pPr>
      <w:r>
        <w:rPr>
          <w:rFonts w:eastAsia="Times New Roman"/>
          <w:b/>
          <w:bCs/>
          <w:color w:val="000000"/>
          <w:sz w:val="20"/>
          <w:szCs w:val="20"/>
        </w:rPr>
        <w:t>EQUITABLE HOLDINGS, INC.</w:t>
      </w:r>
    </w:p>
    <w:p w:rsidR="00000000" w:rsidRDefault="005B0BC3">
      <w:pPr>
        <w:jc w:val="center"/>
        <w:divId w:val="2097509890"/>
        <w:rPr>
          <w:rFonts w:eastAsia="Times New Roman"/>
        </w:rPr>
      </w:pPr>
      <w:r>
        <w:rPr>
          <w:rFonts w:eastAsia="Times New Roman"/>
          <w:b/>
          <w:bCs/>
          <w:color w:val="000000"/>
          <w:sz w:val="20"/>
          <w:szCs w:val="20"/>
        </w:rPr>
        <w:t>NOTES TO CONSOLIDATED FINANCIAL STATEMENTS, continued</w:t>
      </w:r>
    </w:p>
    <w:tbl>
      <w:tblPr>
        <w:tblW w:w="4956" w:type="pct"/>
        <w:jc w:val="center"/>
        <w:tblCellMar>
          <w:top w:w="15" w:type="dxa"/>
          <w:left w:w="15" w:type="dxa"/>
          <w:bottom w:w="15" w:type="dxa"/>
          <w:right w:w="15" w:type="dxa"/>
        </w:tblCellMar>
        <w:tblLook w:val="04A0" w:firstRow="1" w:lastRow="0" w:firstColumn="1" w:lastColumn="0" w:noHBand="0" w:noVBand="1"/>
      </w:tblPr>
      <w:tblGrid>
        <w:gridCol w:w="41"/>
        <w:gridCol w:w="3584"/>
        <w:gridCol w:w="40"/>
        <w:gridCol w:w="121"/>
        <w:gridCol w:w="684"/>
        <w:gridCol w:w="36"/>
        <w:gridCol w:w="36"/>
        <w:gridCol w:w="36"/>
        <w:gridCol w:w="36"/>
        <w:gridCol w:w="121"/>
        <w:gridCol w:w="668"/>
        <w:gridCol w:w="36"/>
        <w:gridCol w:w="36"/>
        <w:gridCol w:w="36"/>
        <w:gridCol w:w="36"/>
        <w:gridCol w:w="121"/>
        <w:gridCol w:w="700"/>
        <w:gridCol w:w="36"/>
        <w:gridCol w:w="36"/>
        <w:gridCol w:w="36"/>
        <w:gridCol w:w="36"/>
        <w:gridCol w:w="121"/>
        <w:gridCol w:w="700"/>
        <w:gridCol w:w="36"/>
        <w:gridCol w:w="36"/>
        <w:gridCol w:w="36"/>
        <w:gridCol w:w="36"/>
        <w:gridCol w:w="120"/>
        <w:gridCol w:w="600"/>
        <w:gridCol w:w="36"/>
      </w:tblGrid>
      <w:tr w:rsidR="00000000">
        <w:trPr>
          <w:jc w:val="center"/>
        </w:trPr>
        <w:tc>
          <w:tcPr>
            <w:tcW w:w="50" w:type="pct"/>
            <w:vAlign w:val="center"/>
            <w:hideMark/>
          </w:tcPr>
          <w:p w:rsidR="00000000" w:rsidRDefault="005B0BC3">
            <w:pPr>
              <w:jc w:val="center"/>
              <w:rPr>
                <w:rFonts w:eastAsia="Times New Roman"/>
              </w:rPr>
            </w:pPr>
          </w:p>
        </w:tc>
        <w:tc>
          <w:tcPr>
            <w:tcW w:w="232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5B0BC3">
            <w:pPr>
              <w:spacing w:after="100"/>
              <w:divId w:val="1291860954"/>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Amortized Cost</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 xml:space="preserve">Allowance for Credit Losses </w:t>
            </w:r>
          </w:p>
        </w:tc>
        <w:tc>
          <w:tcPr>
            <w:tcW w:w="0" w:type="auto"/>
            <w:gridSpan w:val="3"/>
            <w:tcBorders>
              <w:bottom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Gross Unrealized Gains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Gross Unrealized Losses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 xml:space="preserve">Fair Value </w:t>
            </w:r>
          </w:p>
        </w:tc>
      </w:tr>
      <w:tr w:rsidR="00000000">
        <w:trPr>
          <w:jc w:val="center"/>
        </w:trPr>
        <w:tc>
          <w:tcPr>
            <w:tcW w:w="0" w:type="auto"/>
            <w:gridSpan w:val="3"/>
            <w:tcMar>
              <w:top w:w="30" w:type="dxa"/>
              <w:left w:w="20" w:type="dxa"/>
              <w:bottom w:w="30" w:type="dxa"/>
              <w:right w:w="20" w:type="dxa"/>
            </w:tcMar>
            <w:vAlign w:val="bottom"/>
            <w:hideMark/>
          </w:tcPr>
          <w:p w:rsidR="00000000" w:rsidRDefault="005B0BC3">
            <w:pPr>
              <w:spacing w:after="100"/>
              <w:divId w:val="865749495"/>
              <w:rPr>
                <w:rFonts w:eastAsia="Times New Roman"/>
              </w:rPr>
            </w:pPr>
            <w:r>
              <w:rPr>
                <w:rFonts w:eastAsia="Times New Roman"/>
                <w:b/>
                <w:bCs/>
                <w:color w:val="000000"/>
                <w:sz w:val="16"/>
                <w:szCs w:val="16"/>
              </w:rPr>
              <w:t> </w:t>
            </w:r>
          </w:p>
        </w:tc>
        <w:tc>
          <w:tcPr>
            <w:tcW w:w="0" w:type="auto"/>
            <w:gridSpan w:val="27"/>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 (in millions)</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December 31, 2020: (4)</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divId w:val="589629394"/>
              <w:rPr>
                <w:rFonts w:eastAsia="Times New Roman"/>
              </w:rPr>
            </w:pPr>
            <w:r>
              <w:rPr>
                <w:rFonts w:eastAsia="Times New Roman"/>
                <w:color w:val="000000"/>
                <w:sz w:val="20"/>
                <w:szCs w:val="20"/>
              </w:rPr>
              <w:t>Fixed Maturities:</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B0BC3">
            <w:pPr>
              <w:spacing w:after="100"/>
              <w:divId w:val="136261896"/>
              <w:rPr>
                <w:rFonts w:eastAsia="Times New Roman"/>
              </w:rPr>
            </w:pPr>
            <w:r>
              <w:rPr>
                <w:rFonts w:eastAsia="Times New Roman"/>
                <w:color w:val="000000"/>
                <w:sz w:val="20"/>
                <w:szCs w:val="20"/>
              </w:rPr>
              <w:t>Corporate (1)</w:t>
            </w: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53,160 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5,104 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58,159 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divId w:val="328024316"/>
              <w:rPr>
                <w:rFonts w:eastAsia="Times New Roman"/>
              </w:rPr>
            </w:pPr>
            <w:r>
              <w:rPr>
                <w:rFonts w:eastAsia="Times New Roman"/>
                <w:color w:val="000000"/>
                <w:sz w:val="20"/>
                <w:szCs w:val="20"/>
              </w:rPr>
              <w:t>U.S. Treasury, government and agency</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12,675 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3,448 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16,118 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B0BC3">
            <w:pPr>
              <w:spacing w:after="100"/>
              <w:divId w:val="280572009"/>
              <w:rPr>
                <w:rFonts w:eastAsia="Times New Roman"/>
              </w:rPr>
            </w:pPr>
            <w:r>
              <w:rPr>
                <w:rFonts w:eastAsia="Times New Roman"/>
                <w:color w:val="000000"/>
                <w:sz w:val="20"/>
                <w:szCs w:val="20"/>
              </w:rPr>
              <w:t>States and political subdivisions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535 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635 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divId w:val="825361455"/>
              <w:rPr>
                <w:rFonts w:eastAsia="Times New Roman"/>
              </w:rPr>
            </w:pPr>
            <w:r>
              <w:rPr>
                <w:rFonts w:eastAsia="Times New Roman"/>
                <w:color w:val="000000"/>
                <w:sz w:val="20"/>
                <w:szCs w:val="20"/>
              </w:rPr>
              <w:t>Foreign governments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1,011 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1,103 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140" w:type="dxa"/>
              <w:bottom w:w="30" w:type="dxa"/>
              <w:right w:w="20" w:type="dxa"/>
            </w:tcMar>
            <w:hideMark/>
          </w:tcPr>
          <w:p w:rsidR="00000000" w:rsidRDefault="005B0BC3">
            <w:pPr>
              <w:spacing w:after="100"/>
              <w:rPr>
                <w:rFonts w:eastAsia="Times New Roman"/>
              </w:rPr>
            </w:pPr>
            <w:r>
              <w:rPr>
                <w:rFonts w:eastAsia="Times New Roman"/>
                <w:color w:val="000000"/>
                <w:sz w:val="20"/>
                <w:szCs w:val="20"/>
              </w:rPr>
              <w:t>Residential mortgage-backed (2)</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Asset-backed (3)</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3,587 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3,611 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Commercial mortgage-backed</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1,148 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1,203 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xml:space="preserve">Redeemable preferred stock </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621 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666 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Total at December 31, 2020</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72,867 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Borders>
              <w:top w:val="single" w:sz="4" w:space="0" w:color="000000"/>
              <w:bottom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8,895 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111 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81,638 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ind w:hanging="270"/>
        <w:divId w:val="1392995824"/>
        <w:rPr>
          <w:rFonts w:eastAsia="Times New Roman"/>
        </w:rPr>
      </w:pPr>
      <w:r>
        <w:rPr>
          <w:rFonts w:eastAsia="Times New Roman"/>
          <w:color w:val="000000"/>
          <w:sz w:val="18"/>
          <w:szCs w:val="18"/>
        </w:rPr>
        <w:t>___</w:t>
      </w:r>
      <w:r>
        <w:rPr>
          <w:rFonts w:eastAsia="Times New Roman"/>
          <w:color w:val="000000"/>
          <w:sz w:val="18"/>
          <w:szCs w:val="18"/>
        </w:rPr>
        <w:t>___________</w:t>
      </w:r>
    </w:p>
    <w:p w:rsidR="00000000" w:rsidRDefault="005B0BC3">
      <w:pPr>
        <w:ind w:hanging="270"/>
        <w:divId w:val="815336256"/>
        <w:rPr>
          <w:rFonts w:eastAsia="Times New Roman"/>
        </w:rPr>
      </w:pPr>
      <w:r>
        <w:rPr>
          <w:rFonts w:eastAsia="Times New Roman"/>
          <w:color w:val="000000"/>
          <w:sz w:val="18"/>
          <w:szCs w:val="18"/>
        </w:rPr>
        <w:t>(1)Corporate fixed maturities include both public and private issues.</w:t>
      </w:r>
    </w:p>
    <w:p w:rsidR="00000000" w:rsidRDefault="005B0BC3">
      <w:pPr>
        <w:ind w:hanging="270"/>
        <w:divId w:val="721099023"/>
        <w:rPr>
          <w:rFonts w:eastAsia="Times New Roman"/>
        </w:rPr>
      </w:pPr>
      <w:r>
        <w:rPr>
          <w:rFonts w:eastAsia="Times New Roman"/>
          <w:color w:val="000000"/>
          <w:sz w:val="18"/>
          <w:szCs w:val="18"/>
        </w:rPr>
        <w:t>(2)Includes publicly traded agency pass-through securities and collateralized obligations.</w:t>
      </w:r>
    </w:p>
    <w:p w:rsidR="00000000" w:rsidRDefault="005B0BC3">
      <w:pPr>
        <w:ind w:hanging="270"/>
        <w:divId w:val="1556237913"/>
        <w:rPr>
          <w:rFonts w:eastAsia="Times New Roman"/>
        </w:rPr>
      </w:pPr>
      <w:r>
        <w:rPr>
          <w:rFonts w:eastAsia="Times New Roman"/>
          <w:color w:val="000000"/>
          <w:sz w:val="18"/>
          <w:szCs w:val="18"/>
        </w:rPr>
        <w:t>(3)Includes credit-tranched securities collateralized by sub-prime mortgages, credi</w:t>
      </w:r>
      <w:r>
        <w:rPr>
          <w:rFonts w:eastAsia="Times New Roman"/>
          <w:color w:val="000000"/>
          <w:sz w:val="18"/>
          <w:szCs w:val="18"/>
        </w:rPr>
        <w:t>t risk transfer securities and other asset types.</w:t>
      </w:r>
    </w:p>
    <w:p w:rsidR="00000000" w:rsidRDefault="005B0BC3">
      <w:pPr>
        <w:ind w:hanging="270"/>
        <w:divId w:val="1156996809"/>
        <w:rPr>
          <w:rFonts w:eastAsia="Times New Roman"/>
        </w:rPr>
      </w:pPr>
      <w:r>
        <w:rPr>
          <w:rFonts w:eastAsia="Times New Roman"/>
          <w:color w:val="000000"/>
          <w:sz w:val="18"/>
          <w:szCs w:val="18"/>
        </w:rPr>
        <w:t>(4)Excludes amounts reclassified as HFS.</w:t>
      </w:r>
    </w:p>
    <w:p w:rsidR="00000000" w:rsidRDefault="005B0BC3">
      <w:pPr>
        <w:ind w:hanging="270"/>
        <w:divId w:val="1990674224"/>
        <w:rPr>
          <w:rFonts w:eastAsia="Times New Roman"/>
        </w:rPr>
      </w:pPr>
      <w:r>
        <w:rPr>
          <w:rFonts w:eastAsia="Times New Roman"/>
          <w:color w:val="000000"/>
          <w:sz w:val="18"/>
          <w:szCs w:val="18"/>
        </w:rPr>
        <w:t>(5)Effective January 1, 2021, certain preferred stock have been reclassified to other equity investments (see Note 2 of the Notes to these Consolidated Financial Sta</w:t>
      </w:r>
      <w:r>
        <w:rPr>
          <w:rFonts w:eastAsia="Times New Roman"/>
          <w:color w:val="000000"/>
          <w:sz w:val="18"/>
          <w:szCs w:val="18"/>
        </w:rPr>
        <w:t>tements- Investments).</w:t>
      </w:r>
    </w:p>
    <w:p w:rsidR="00000000" w:rsidRDefault="005B0BC3">
      <w:pPr>
        <w:ind w:hanging="360"/>
        <w:divId w:val="582950863"/>
        <w:rPr>
          <w:rFonts w:eastAsia="Times New Roman"/>
        </w:rPr>
      </w:pPr>
    </w:p>
    <w:p w:rsidR="00000000" w:rsidRDefault="005B0BC3">
      <w:pPr>
        <w:divId w:val="1203589082"/>
        <w:rPr>
          <w:rFonts w:eastAsia="Times New Roman"/>
        </w:rPr>
      </w:pPr>
      <w:r>
        <w:rPr>
          <w:rFonts w:eastAsia="Times New Roman"/>
          <w:color w:val="000000"/>
          <w:sz w:val="20"/>
          <w:szCs w:val="20"/>
        </w:rPr>
        <w:t>The contractual maturities of AFS fixed maturities as of December 31, 2021 are shown in the table below. Bonds not due at a single maturity date have been included in the table in the final year of maturity. Actual maturities may d</w:t>
      </w:r>
      <w:r>
        <w:rPr>
          <w:rFonts w:eastAsia="Times New Roman"/>
          <w:color w:val="000000"/>
          <w:sz w:val="20"/>
          <w:szCs w:val="20"/>
        </w:rPr>
        <w:t>iffer from contractual maturities because borrowers may have the right to call or prepay obligations with or without call or prepayment penalties.</w:t>
      </w:r>
    </w:p>
    <w:p w:rsidR="00000000" w:rsidRDefault="005B0BC3">
      <w:pPr>
        <w:jc w:val="center"/>
        <w:rPr>
          <w:rFonts w:eastAsia="Times New Roman"/>
        </w:rPr>
      </w:pPr>
      <w:r>
        <w:rPr>
          <w:rFonts w:eastAsia="Times New Roman"/>
          <w:b/>
          <w:bCs/>
          <w:color w:val="000000"/>
          <w:sz w:val="20"/>
          <w:szCs w:val="20"/>
        </w:rPr>
        <w:t>Contractual Maturities of AFS Fixed Maturities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853"/>
        <w:gridCol w:w="39"/>
        <w:gridCol w:w="121"/>
        <w:gridCol w:w="994"/>
        <w:gridCol w:w="36"/>
        <w:gridCol w:w="36"/>
        <w:gridCol w:w="36"/>
        <w:gridCol w:w="36"/>
        <w:gridCol w:w="121"/>
        <w:gridCol w:w="958"/>
        <w:gridCol w:w="36"/>
      </w:tblGrid>
      <w:tr w:rsidR="00000000">
        <w:trPr>
          <w:divId w:val="175386342"/>
          <w:jc w:val="center"/>
        </w:trPr>
        <w:tc>
          <w:tcPr>
            <w:tcW w:w="50" w:type="pct"/>
            <w:vAlign w:val="center"/>
            <w:hideMark/>
          </w:tcPr>
          <w:p w:rsidR="00000000" w:rsidRDefault="005B0BC3">
            <w:pPr>
              <w:jc w:val="center"/>
              <w:rPr>
                <w:rFonts w:eastAsia="Times New Roman"/>
              </w:rPr>
            </w:pPr>
          </w:p>
        </w:tc>
        <w:tc>
          <w:tcPr>
            <w:tcW w:w="354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75386342"/>
          <w:jc w:val="center"/>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Amortized Cost (Less Allowance for Credit Losses)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Fair Value</w:t>
            </w:r>
          </w:p>
        </w:tc>
      </w:tr>
      <w:tr w:rsidR="00000000">
        <w:trPr>
          <w:divId w:val="175386342"/>
          <w:jc w:val="center"/>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16"/>
                <w:szCs w:val="16"/>
              </w:rPr>
              <w:t> </w:t>
            </w: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175386342"/>
          <w:jc w:val="center"/>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December 31, 2021</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75386342"/>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Contractual maturities:</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75386342"/>
          <w:jc w:val="center"/>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Due in one year or less</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5386342"/>
          <w:jc w:val="center"/>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Due in years two through five</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15,452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16,002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5386342"/>
          <w:jc w:val="center"/>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Due in years six through ten</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18,189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19,104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5386342"/>
          <w:jc w:val="center"/>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Due after ten years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30,158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33,484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5386342"/>
          <w:jc w:val="center"/>
        </w:trPr>
        <w:tc>
          <w:tcPr>
            <w:tcW w:w="0" w:type="auto"/>
            <w:gridSpan w:val="3"/>
            <w:shd w:val="clear" w:color="auto" w:fill="CCEE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Subtotal</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64,916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69,710</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5386342"/>
          <w:jc w:val="center"/>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Residential mortgage-backed</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5386342"/>
          <w:jc w:val="center"/>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Asset-backed</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5,933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5,934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5386342"/>
          <w:jc w:val="center"/>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Commercial mortgage-backed</w:t>
            </w: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2,427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2,421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5386342"/>
          <w:jc w:val="center"/>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 xml:space="preserve">Redeemable preferred stock </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5386342"/>
          <w:jc w:val="center"/>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Total at December 31, 2021</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73,407</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78,216</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ind w:hanging="270"/>
        <w:divId w:val="974605324"/>
        <w:rPr>
          <w:rFonts w:eastAsia="Times New Roman"/>
        </w:rPr>
      </w:pPr>
    </w:p>
    <w:p w:rsidR="00000000" w:rsidRDefault="005B0BC3">
      <w:pPr>
        <w:divId w:val="1981378126"/>
        <w:rPr>
          <w:rFonts w:eastAsia="Times New Roman"/>
        </w:rPr>
      </w:pPr>
      <w:r>
        <w:rPr>
          <w:rFonts w:eastAsia="Times New Roman"/>
          <w:color w:val="000000"/>
          <w:sz w:val="20"/>
          <w:szCs w:val="20"/>
        </w:rPr>
        <w:t>The following table shows proceeds from sales, gross gains (losses) from sales and credit losses for AFS fixed maturities for the years ended December 31, 2021, 2020 and 2019:</w:t>
      </w:r>
    </w:p>
    <w:p w:rsidR="00000000" w:rsidRDefault="005B0BC3">
      <w:pPr>
        <w:jc w:val="center"/>
        <w:divId w:val="1333533870"/>
        <w:rPr>
          <w:rFonts w:eastAsia="Times New Roman"/>
        </w:rPr>
      </w:pPr>
    </w:p>
    <w:p w:rsidR="00000000" w:rsidRDefault="005B0BC3">
      <w:pPr>
        <w:jc w:val="center"/>
        <w:divId w:val="1333533870"/>
        <w:rPr>
          <w:rFonts w:eastAsia="Times New Roman"/>
        </w:rPr>
      </w:pPr>
      <w:r>
        <w:rPr>
          <w:rFonts w:eastAsia="Times New Roman"/>
          <w:color w:val="000000"/>
          <w:sz w:val="20"/>
          <w:szCs w:val="20"/>
        </w:rPr>
        <w:t>158</w:t>
      </w:r>
    </w:p>
    <w:p w:rsidR="00000000" w:rsidRDefault="005B0BC3">
      <w:pPr>
        <w:rPr>
          <w:rFonts w:eastAsia="Times New Roman"/>
        </w:rPr>
      </w:pPr>
      <w:r>
        <w:rPr>
          <w:rFonts w:eastAsia="Times New Roman"/>
        </w:rPr>
        <w:pict>
          <v:rect id="_x0000_i1196" style="width:0;height:1.5pt" o:hralign="center" o:hrstd="t" o:hr="t" fillcolor="#a0a0a0" stroked="f"/>
        </w:pict>
      </w:r>
    </w:p>
    <w:p w:rsidR="00000000" w:rsidRDefault="005B0BC3">
      <w:pPr>
        <w:jc w:val="center"/>
        <w:divId w:val="2042850737"/>
        <w:rPr>
          <w:rFonts w:eastAsia="Times New Roman"/>
        </w:rPr>
      </w:pPr>
      <w:r>
        <w:rPr>
          <w:rFonts w:eastAsia="Times New Roman"/>
          <w:b/>
          <w:bCs/>
          <w:color w:val="000000"/>
          <w:sz w:val="20"/>
          <w:szCs w:val="20"/>
        </w:rPr>
        <w:t>EQUITABLE HOLDINGS, INC.</w:t>
      </w:r>
    </w:p>
    <w:p w:rsidR="00000000" w:rsidRDefault="005B0BC3">
      <w:pPr>
        <w:jc w:val="center"/>
        <w:divId w:val="2042850737"/>
        <w:rPr>
          <w:rFonts w:eastAsia="Times New Roman"/>
        </w:rPr>
      </w:pPr>
      <w:r>
        <w:rPr>
          <w:rFonts w:eastAsia="Times New Roman"/>
          <w:b/>
          <w:bCs/>
          <w:color w:val="000000"/>
          <w:sz w:val="20"/>
          <w:szCs w:val="20"/>
        </w:rPr>
        <w:t>NOTES TO CONS</w:t>
      </w:r>
      <w:r>
        <w:rPr>
          <w:rFonts w:eastAsia="Times New Roman"/>
          <w:b/>
          <w:bCs/>
          <w:color w:val="000000"/>
          <w:sz w:val="20"/>
          <w:szCs w:val="20"/>
        </w:rPr>
        <w:t>OLIDATED FINANCIAL STATEMENTS, continued</w:t>
      </w:r>
    </w:p>
    <w:p w:rsidR="00000000" w:rsidRDefault="005B0BC3">
      <w:pPr>
        <w:jc w:val="center"/>
        <w:rPr>
          <w:rFonts w:eastAsia="Times New Roman"/>
        </w:rPr>
      </w:pPr>
      <w:r>
        <w:rPr>
          <w:rFonts w:eastAsia="Times New Roman"/>
          <w:b/>
          <w:bCs/>
          <w:color w:val="000000"/>
          <w:sz w:val="20"/>
          <w:szCs w:val="20"/>
          <w:shd w:val="clear" w:color="auto" w:fill="FFFFFF"/>
        </w:rPr>
        <w:t>Proceeds from Sales, Gross Gains (Losses) from Sales and Credit Losses for AFS Fixed Maturities</w:t>
      </w:r>
    </w:p>
    <w:p w:rsidR="00000000" w:rsidRDefault="005B0BC3">
      <w:pPr>
        <w:divId w:val="107813815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4790"/>
        <w:gridCol w:w="36"/>
        <w:gridCol w:w="120"/>
        <w:gridCol w:w="868"/>
        <w:gridCol w:w="36"/>
        <w:gridCol w:w="36"/>
        <w:gridCol w:w="36"/>
        <w:gridCol w:w="36"/>
        <w:gridCol w:w="120"/>
        <w:gridCol w:w="825"/>
        <w:gridCol w:w="36"/>
        <w:gridCol w:w="36"/>
        <w:gridCol w:w="36"/>
        <w:gridCol w:w="36"/>
        <w:gridCol w:w="120"/>
        <w:gridCol w:w="850"/>
        <w:gridCol w:w="36"/>
        <w:gridCol w:w="36"/>
        <w:gridCol w:w="36"/>
        <w:gridCol w:w="36"/>
        <w:gridCol w:w="36"/>
        <w:gridCol w:w="36"/>
        <w:gridCol w:w="36"/>
      </w:tblGrid>
      <w:tr w:rsidR="00000000">
        <w:trPr>
          <w:divId w:val="959381613"/>
        </w:trPr>
        <w:tc>
          <w:tcPr>
            <w:tcW w:w="50" w:type="pct"/>
            <w:vAlign w:val="center"/>
            <w:hideMark/>
          </w:tcPr>
          <w:p w:rsidR="00000000" w:rsidRDefault="005B0BC3">
            <w:pPr>
              <w:rPr>
                <w:rFonts w:eastAsia="Times New Roman"/>
              </w:rPr>
            </w:pPr>
          </w:p>
        </w:tc>
        <w:tc>
          <w:tcPr>
            <w:tcW w:w="299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6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6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8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959381613"/>
        </w:trPr>
        <w:tc>
          <w:tcPr>
            <w:tcW w:w="0" w:type="auto"/>
            <w:gridSpan w:val="3"/>
            <w:tcMar>
              <w:top w:w="30" w:type="dxa"/>
              <w:left w:w="20" w:type="dxa"/>
              <w:bottom w:w="30" w:type="dxa"/>
              <w:right w:w="20" w:type="dxa"/>
            </w:tcMar>
            <w:vAlign w:val="bottom"/>
            <w:hideMark/>
          </w:tcPr>
          <w:p w:rsidR="00000000" w:rsidRDefault="005B0BC3">
            <w:pPr>
              <w:spacing w:after="100"/>
              <w:divId w:val="1647734176"/>
              <w:rPr>
                <w:rFonts w:eastAsia="Times New Roman"/>
              </w:rPr>
            </w:pPr>
            <w:r>
              <w:rPr>
                <w:rFonts w:eastAsia="Times New Roman"/>
                <w:b/>
                <w:bCs/>
                <w:color w:val="000000"/>
                <w:sz w:val="16"/>
                <w:szCs w:val="16"/>
              </w:rPr>
              <w:t> </w:t>
            </w:r>
          </w:p>
        </w:tc>
        <w:tc>
          <w:tcPr>
            <w:tcW w:w="0" w:type="auto"/>
            <w:gridSpan w:val="15"/>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959381613"/>
        </w:trPr>
        <w:tc>
          <w:tcPr>
            <w:tcW w:w="0" w:type="auto"/>
            <w:gridSpan w:val="3"/>
            <w:tcMar>
              <w:top w:w="30" w:type="dxa"/>
              <w:left w:w="20" w:type="dxa"/>
              <w:bottom w:w="30" w:type="dxa"/>
              <w:right w:w="20" w:type="dxa"/>
            </w:tcMar>
            <w:vAlign w:val="bottom"/>
            <w:hideMark/>
          </w:tcPr>
          <w:p w:rsidR="00000000" w:rsidRDefault="005B0BC3">
            <w:pPr>
              <w:spacing w:after="100"/>
              <w:divId w:val="795679246"/>
              <w:rPr>
                <w:rFonts w:eastAsia="Times New Roman"/>
              </w:rPr>
            </w:pPr>
            <w:r>
              <w:rPr>
                <w:rFonts w:eastAsia="Times New Roman"/>
                <w:b/>
                <w:bCs/>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c>
          <w:tcPr>
            <w:tcW w:w="0" w:type="auto"/>
            <w:gridSpan w:val="3"/>
            <w:vAlign w:val="center"/>
            <w:hideMark/>
          </w:tcPr>
          <w:p w:rsidR="00000000" w:rsidRDefault="005B0BC3">
            <w:pPr>
              <w:spacing w:after="100"/>
              <w:jc w:val="center"/>
              <w:rPr>
                <w:rFonts w:eastAsia="Times New Roman"/>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959381613"/>
        </w:trPr>
        <w:tc>
          <w:tcPr>
            <w:tcW w:w="0" w:type="auto"/>
            <w:gridSpan w:val="3"/>
            <w:tcMar>
              <w:top w:w="30" w:type="dxa"/>
              <w:left w:w="20" w:type="dxa"/>
              <w:bottom w:w="30" w:type="dxa"/>
              <w:right w:w="20" w:type="dxa"/>
            </w:tcMar>
            <w:vAlign w:val="bottom"/>
            <w:hideMark/>
          </w:tcPr>
          <w:p w:rsidR="00000000" w:rsidRDefault="005B0BC3">
            <w:pPr>
              <w:spacing w:after="100"/>
              <w:divId w:val="743573550"/>
              <w:rPr>
                <w:rFonts w:eastAsia="Times New Roman"/>
              </w:rPr>
            </w:pPr>
            <w:r>
              <w:rPr>
                <w:rFonts w:eastAsia="Times New Roman"/>
                <w:b/>
                <w:bCs/>
                <w:color w:val="000000"/>
                <w:sz w:val="16"/>
                <w:szCs w:val="16"/>
              </w:rPr>
              <w:t> </w:t>
            </w: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959381613"/>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Proceeds from sales</w:t>
            </w:r>
          </w:p>
        </w:tc>
        <w:tc>
          <w:tcPr>
            <w:tcW w:w="0" w:type="auto"/>
            <w:tcBorders>
              <w:top w:val="double" w:sz="6" w:space="0" w:color="000000"/>
            </w:tcBorders>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double" w:sz="6" w:space="0" w:color="000000"/>
            </w:tcBorders>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27,363</w:t>
            </w:r>
            <w:r>
              <w:rPr>
                <w:rFonts w:eastAsia="Times New Roman"/>
                <w:color w:val="000000"/>
                <w:sz w:val="20"/>
                <w:szCs w:val="20"/>
              </w:rPr>
              <w:t> </w:t>
            </w:r>
          </w:p>
        </w:tc>
        <w:tc>
          <w:tcPr>
            <w:tcW w:w="0" w:type="auto"/>
            <w:tcBorders>
              <w:top w:val="double" w:sz="6" w:space="0" w:color="000000"/>
            </w:tcBorders>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tcBorders>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double" w:sz="6" w:space="0" w:color="000000"/>
            </w:tcBorders>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12,903 </w:t>
            </w:r>
          </w:p>
        </w:tc>
        <w:tc>
          <w:tcPr>
            <w:tcW w:w="0" w:type="auto"/>
            <w:tcBorders>
              <w:top w:val="double" w:sz="6" w:space="0" w:color="000000"/>
            </w:tcBorders>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tcBorders>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double" w:sz="6" w:space="0" w:color="000000"/>
            </w:tcBorders>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8,972 </w:t>
            </w:r>
          </w:p>
        </w:tc>
        <w:tc>
          <w:tcPr>
            <w:tcW w:w="0" w:type="auto"/>
            <w:tcBorders>
              <w:top w:val="double" w:sz="6" w:space="0" w:color="000000"/>
            </w:tcBorders>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959381613"/>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Gross gains on sales</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1,152</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862 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234 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959381613"/>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Gross losses on sales</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(195)</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(41)</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(32)</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959381613"/>
          <w:trHeight w:val="280"/>
        </w:trPr>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959381613"/>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Credit losses</w:t>
            </w: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(16)</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bl>
    <w:p w:rsidR="00000000" w:rsidRDefault="005B0BC3">
      <w:pPr>
        <w:divId w:val="1293825717"/>
        <w:rPr>
          <w:rFonts w:eastAsia="Times New Roman"/>
        </w:rPr>
      </w:pPr>
    </w:p>
    <w:p w:rsidR="00000000" w:rsidRDefault="005B0BC3">
      <w:pPr>
        <w:divId w:val="1189023499"/>
        <w:rPr>
          <w:rFonts w:eastAsia="Times New Roman"/>
        </w:rPr>
      </w:pPr>
    </w:p>
    <w:p w:rsidR="00000000" w:rsidRDefault="005B0BC3">
      <w:pPr>
        <w:divId w:val="836775574"/>
        <w:rPr>
          <w:rFonts w:eastAsia="Times New Roman"/>
        </w:rPr>
      </w:pPr>
      <w:r>
        <w:rPr>
          <w:rFonts w:eastAsia="Times New Roman"/>
          <w:color w:val="000000"/>
          <w:sz w:val="20"/>
          <w:szCs w:val="20"/>
        </w:rPr>
        <w:t>The following table sets forth the amount of credit loss impairments on AFS fixed maturities held by the Company at the dates indica</w:t>
      </w:r>
      <w:r>
        <w:rPr>
          <w:rFonts w:eastAsia="Times New Roman"/>
          <w:color w:val="000000"/>
          <w:sz w:val="20"/>
          <w:szCs w:val="20"/>
        </w:rPr>
        <w:t>ted and the corresponding changes in such amounts.</w:t>
      </w:r>
    </w:p>
    <w:p w:rsidR="00000000" w:rsidRDefault="005B0BC3">
      <w:pPr>
        <w:jc w:val="center"/>
        <w:rPr>
          <w:rFonts w:eastAsia="Times New Roman"/>
        </w:rPr>
      </w:pPr>
      <w:r>
        <w:rPr>
          <w:rFonts w:eastAsia="Times New Roman"/>
          <w:b/>
          <w:bCs/>
          <w:color w:val="000000"/>
          <w:sz w:val="20"/>
          <w:szCs w:val="20"/>
        </w:rPr>
        <w:t>AFS Fixed Maturities - Credit Loss Impairments</w:t>
      </w:r>
    </w:p>
    <w:tbl>
      <w:tblPr>
        <w:tblW w:w="5000" w:type="pct"/>
        <w:tblCellMar>
          <w:top w:w="15" w:type="dxa"/>
          <w:left w:w="15" w:type="dxa"/>
          <w:bottom w:w="15" w:type="dxa"/>
          <w:right w:w="15" w:type="dxa"/>
        </w:tblCellMar>
        <w:tblLook w:val="04A0" w:firstRow="1" w:lastRow="0" w:firstColumn="1" w:lastColumn="0" w:noHBand="0" w:noVBand="1"/>
      </w:tblPr>
      <w:tblGrid>
        <w:gridCol w:w="38"/>
        <w:gridCol w:w="4938"/>
        <w:gridCol w:w="37"/>
        <w:gridCol w:w="36"/>
        <w:gridCol w:w="120"/>
        <w:gridCol w:w="874"/>
        <w:gridCol w:w="36"/>
        <w:gridCol w:w="36"/>
        <w:gridCol w:w="36"/>
        <w:gridCol w:w="36"/>
        <w:gridCol w:w="120"/>
        <w:gridCol w:w="825"/>
        <w:gridCol w:w="36"/>
        <w:gridCol w:w="36"/>
        <w:gridCol w:w="36"/>
        <w:gridCol w:w="36"/>
        <w:gridCol w:w="120"/>
        <w:gridCol w:w="874"/>
        <w:gridCol w:w="36"/>
      </w:tblGrid>
      <w:tr w:rsidR="00000000">
        <w:trPr>
          <w:divId w:val="155347972"/>
        </w:trPr>
        <w:tc>
          <w:tcPr>
            <w:tcW w:w="50" w:type="pct"/>
            <w:vAlign w:val="center"/>
            <w:hideMark/>
          </w:tcPr>
          <w:p w:rsidR="00000000" w:rsidRDefault="005B0BC3">
            <w:pPr>
              <w:jc w:val="center"/>
              <w:rPr>
                <w:rFonts w:eastAsia="Times New Roman"/>
              </w:rPr>
            </w:pPr>
          </w:p>
        </w:tc>
        <w:tc>
          <w:tcPr>
            <w:tcW w:w="30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6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6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6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55347972"/>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r>
      <w:tr w:rsidR="00000000">
        <w:trPr>
          <w:divId w:val="155347972"/>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155347972"/>
          <w:trHeight w:val="240"/>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55347972"/>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Balance, beginning of period</w:t>
            </w:r>
          </w:p>
        </w:tc>
        <w:tc>
          <w:tcPr>
            <w:tcW w:w="0" w:type="auto"/>
            <w:vAlign w:val="center"/>
            <w:hideMark/>
          </w:tcPr>
          <w:p w:rsidR="00000000" w:rsidRDefault="005B0BC3">
            <w:pPr>
              <w:spacing w:after="100"/>
              <w:rPr>
                <w:rFonts w:eastAsia="Times New Roman"/>
              </w:rPr>
            </w:pPr>
          </w:p>
        </w:tc>
        <w:tc>
          <w:tcPr>
            <w:tcW w:w="0" w:type="auto"/>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32</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21 </w:t>
            </w:r>
          </w:p>
        </w:tc>
        <w:tc>
          <w:tcPr>
            <w:tcW w:w="0" w:type="auto"/>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58 </w:t>
            </w:r>
          </w:p>
        </w:tc>
        <w:tc>
          <w:tcPr>
            <w:tcW w:w="0" w:type="auto"/>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55347972"/>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Previously recognized impairments on securities that matured, paid, prepaid or sold</w:t>
            </w:r>
          </w:p>
        </w:tc>
        <w:tc>
          <w:tcPr>
            <w:tcW w:w="0" w:type="auto"/>
            <w:vAlign w:val="center"/>
            <w:hideMark/>
          </w:tcPr>
          <w:p w:rsidR="00000000" w:rsidRDefault="005B0BC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(37)</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55347972"/>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Recognized impairments on securities impaired to fair value this period (1)</w:t>
            </w:r>
          </w:p>
        </w:tc>
        <w:tc>
          <w:tcPr>
            <w:tcW w:w="0" w:type="auto"/>
            <w:vAlign w:val="center"/>
            <w:hideMark/>
          </w:tcPr>
          <w:p w:rsidR="00000000" w:rsidRDefault="005B0BC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55347972"/>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Credit losses recognized this period on securities for which credit losses were not previously recognized</w:t>
            </w:r>
          </w:p>
        </w:tc>
        <w:tc>
          <w:tcPr>
            <w:tcW w:w="0" w:type="auto"/>
            <w:vAlign w:val="center"/>
            <w:hideMark/>
          </w:tcPr>
          <w:p w:rsidR="00000000" w:rsidRDefault="005B0BC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55347972"/>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Additional credit losses this period on securities previously impaired</w:t>
            </w:r>
          </w:p>
        </w:tc>
        <w:tc>
          <w:tcPr>
            <w:tcW w:w="0" w:type="auto"/>
            <w:vAlign w:val="center"/>
            <w:hideMark/>
          </w:tcPr>
          <w:p w:rsidR="00000000" w:rsidRDefault="005B0BC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55347972"/>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Increases due to passage of time on previously recorded credit losses</w:t>
            </w:r>
          </w:p>
        </w:tc>
        <w:tc>
          <w:tcPr>
            <w:tcW w:w="0" w:type="auto"/>
            <w:vAlign w:val="center"/>
            <w:hideMark/>
          </w:tcPr>
          <w:p w:rsidR="00000000" w:rsidRDefault="005B0BC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55347972"/>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Accretion of previously recognized impairments due to increases in expected cash flows (for OTTI securities 2019 and prior)</w:t>
            </w:r>
          </w:p>
        </w:tc>
        <w:tc>
          <w:tcPr>
            <w:tcW w:w="0" w:type="auto"/>
            <w:vAlign w:val="center"/>
            <w:hideMark/>
          </w:tcPr>
          <w:p w:rsidR="00000000" w:rsidRDefault="005B0BC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55347972"/>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Balance at December 31,</w:t>
            </w:r>
          </w:p>
        </w:tc>
        <w:tc>
          <w:tcPr>
            <w:tcW w:w="0" w:type="auto"/>
            <w:vAlign w:val="center"/>
            <w:hideMark/>
          </w:tcPr>
          <w:p w:rsidR="00000000" w:rsidRDefault="005B0BC3">
            <w:pPr>
              <w:spacing w:after="100"/>
              <w:rPr>
                <w:rFonts w:eastAsia="Times New Roman"/>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44</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32 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ind w:hanging="540"/>
        <w:divId w:val="1850100444"/>
        <w:rPr>
          <w:rFonts w:eastAsia="Times New Roman"/>
        </w:rPr>
      </w:pPr>
      <w:r>
        <w:rPr>
          <w:rFonts w:eastAsia="Times New Roman"/>
          <w:color w:val="000000"/>
          <w:sz w:val="18"/>
          <w:szCs w:val="18"/>
        </w:rPr>
        <w:t>______________</w:t>
      </w:r>
    </w:p>
    <w:p w:rsidR="00000000" w:rsidRDefault="005B0BC3">
      <w:pPr>
        <w:ind w:hanging="270"/>
        <w:divId w:val="98109850"/>
        <w:rPr>
          <w:rFonts w:eastAsia="Times New Roman"/>
        </w:rPr>
      </w:pPr>
      <w:r>
        <w:rPr>
          <w:rFonts w:eastAsia="Times New Roman"/>
          <w:color w:val="000000"/>
          <w:sz w:val="18"/>
          <w:szCs w:val="18"/>
        </w:rPr>
        <w:t>(1)Represents circumstances where the Company determined in the current period that it intends to sell the security, or it is more likely than not that it will be required to sell the security before</w:t>
      </w:r>
      <w:r>
        <w:rPr>
          <w:rFonts w:eastAsia="Times New Roman"/>
          <w:color w:val="000000"/>
          <w:sz w:val="18"/>
          <w:szCs w:val="18"/>
        </w:rPr>
        <w:t xml:space="preserve"> recovery of the security’s amortized cost.</w:t>
      </w:r>
    </w:p>
    <w:p w:rsidR="00000000" w:rsidRDefault="005B0BC3">
      <w:pPr>
        <w:divId w:val="1431856708"/>
        <w:rPr>
          <w:rFonts w:eastAsia="Times New Roman"/>
        </w:rPr>
      </w:pPr>
      <w:r>
        <w:rPr>
          <w:rFonts w:eastAsia="Times New Roman"/>
          <w:color w:val="000000"/>
          <w:sz w:val="20"/>
          <w:szCs w:val="20"/>
        </w:rPr>
        <w:t>The tables that follow below present a roll-forward of net unrealized investment gains (losses) recognized in AOCI.</w:t>
      </w:r>
    </w:p>
    <w:p w:rsidR="00000000" w:rsidRDefault="005B0BC3">
      <w:pPr>
        <w:jc w:val="center"/>
        <w:divId w:val="1909611849"/>
        <w:rPr>
          <w:rFonts w:eastAsia="Times New Roman"/>
        </w:rPr>
      </w:pPr>
      <w:r>
        <w:rPr>
          <w:rFonts w:eastAsia="Times New Roman"/>
          <w:b/>
          <w:bCs/>
          <w:color w:val="000000"/>
          <w:sz w:val="20"/>
          <w:szCs w:val="20"/>
        </w:rPr>
        <w:t>Net Unrealized Gains (Losses) on AFS Fixed Maturities</w:t>
      </w:r>
    </w:p>
    <w:p w:rsidR="00000000" w:rsidRDefault="005B0BC3">
      <w:pPr>
        <w:divId w:val="1749418489"/>
        <w:rPr>
          <w:rFonts w:eastAsia="Times New Roman"/>
        </w:rPr>
      </w:pPr>
    </w:p>
    <w:p w:rsidR="00000000" w:rsidRDefault="005B0BC3">
      <w:pPr>
        <w:divId w:val="692419563"/>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3142"/>
        <w:gridCol w:w="38"/>
        <w:gridCol w:w="121"/>
        <w:gridCol w:w="785"/>
        <w:gridCol w:w="36"/>
        <w:gridCol w:w="36"/>
        <w:gridCol w:w="36"/>
        <w:gridCol w:w="36"/>
        <w:gridCol w:w="120"/>
        <w:gridCol w:w="650"/>
        <w:gridCol w:w="36"/>
        <w:gridCol w:w="36"/>
        <w:gridCol w:w="36"/>
        <w:gridCol w:w="36"/>
        <w:gridCol w:w="121"/>
        <w:gridCol w:w="918"/>
        <w:gridCol w:w="36"/>
        <w:gridCol w:w="36"/>
        <w:gridCol w:w="36"/>
        <w:gridCol w:w="36"/>
        <w:gridCol w:w="120"/>
        <w:gridCol w:w="584"/>
        <w:gridCol w:w="36"/>
        <w:gridCol w:w="36"/>
        <w:gridCol w:w="36"/>
        <w:gridCol w:w="36"/>
        <w:gridCol w:w="121"/>
        <w:gridCol w:w="935"/>
        <w:gridCol w:w="36"/>
      </w:tblGrid>
      <w:tr w:rsidR="00000000">
        <w:trPr>
          <w:divId w:val="1831555574"/>
        </w:trPr>
        <w:tc>
          <w:tcPr>
            <w:tcW w:w="50" w:type="pct"/>
            <w:vAlign w:val="center"/>
            <w:hideMark/>
          </w:tcPr>
          <w:p w:rsidR="00000000" w:rsidRDefault="005B0BC3">
            <w:pPr>
              <w:rPr>
                <w:rFonts w:eastAsia="Times New Roman"/>
              </w:rPr>
            </w:pPr>
          </w:p>
        </w:tc>
        <w:tc>
          <w:tcPr>
            <w:tcW w:w="196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2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9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0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9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3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831555574"/>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Net Unrealized Gains (Losses) on Investments</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DAC</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Policyholders’ Liabilities</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Deferred Income Tax Asset (Liability)</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AOCI Gain (Loss) Related to Net Unrealized Investment Gains (Losses)</w:t>
            </w:r>
          </w:p>
        </w:tc>
      </w:tr>
      <w:tr w:rsidR="00000000">
        <w:trPr>
          <w:divId w:val="1831555574"/>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27"/>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1831555574"/>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Balance, January 1, 2021</w:t>
            </w: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8,811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(1,548)</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(1,065)</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(1,302)</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4,896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831555574"/>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Net investment gains (losses) arising during the period</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(3,122)</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(3,122)</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831555574"/>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Reclassification adjustment:</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831555574"/>
        </w:trPr>
        <w:tc>
          <w:tcPr>
            <w:tcW w:w="0" w:type="auto"/>
            <w:gridSpan w:val="3"/>
            <w:shd w:val="clear" w:color="auto" w:fill="CCEE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Included in net income (loss)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(846)</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(846)</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831555574"/>
        </w:trPr>
        <w:tc>
          <w:tcPr>
            <w:tcW w:w="0" w:type="auto"/>
            <w:gridSpan w:val="3"/>
            <w:shd w:val="clear" w:color="auto" w:fill="FFFF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Excluded from net income (loss)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831555574"/>
        </w:trPr>
        <w:tc>
          <w:tcPr>
            <w:tcW w:w="0" w:type="auto"/>
            <w:gridSpan w:val="3"/>
            <w:shd w:val="clear" w:color="auto" w:fill="CCEE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Other (1)</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(33)</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(33)</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831555574"/>
        </w:trPr>
        <w:tc>
          <w:tcPr>
            <w:tcW w:w="0" w:type="auto"/>
            <w:gridSpan w:val="3"/>
            <w:shd w:val="clear" w:color="auto" w:fill="FFFF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Impact of net unrealized investment gains (losses)</w:t>
            </w:r>
          </w:p>
        </w:tc>
        <w:tc>
          <w:tcPr>
            <w:tcW w:w="0" w:type="auto"/>
            <w:gridSpan w:val="2"/>
            <w:tcBorders>
              <w:bottom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bottom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bottom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767</w:t>
            </w:r>
            <w:r>
              <w:rPr>
                <w:rFonts w:eastAsia="Times New Roman"/>
                <w:color w:val="000000"/>
                <w:sz w:val="20"/>
                <w:szCs w:val="20"/>
              </w:rPr>
              <w:t> </w:t>
            </w:r>
          </w:p>
        </w:tc>
        <w:tc>
          <w:tcPr>
            <w:tcW w:w="0" w:type="auto"/>
            <w:tcBorders>
              <w:bottom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bottom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648</w:t>
            </w:r>
            <w:r>
              <w:rPr>
                <w:rFonts w:eastAsia="Times New Roman"/>
                <w:color w:val="000000"/>
                <w:sz w:val="20"/>
                <w:szCs w:val="20"/>
              </w:rPr>
              <w:t> </w:t>
            </w:r>
          </w:p>
        </w:tc>
        <w:tc>
          <w:tcPr>
            <w:tcW w:w="0" w:type="auto"/>
            <w:tcBorders>
              <w:bottom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bottom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544</w:t>
            </w:r>
            <w:r>
              <w:rPr>
                <w:rFonts w:eastAsia="Times New Roman"/>
                <w:color w:val="000000"/>
                <w:sz w:val="20"/>
                <w:szCs w:val="20"/>
              </w:rPr>
              <w:t> </w:t>
            </w:r>
          </w:p>
        </w:tc>
        <w:tc>
          <w:tcPr>
            <w:tcW w:w="0" w:type="auto"/>
            <w:tcBorders>
              <w:bottom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bottom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1,959</w:t>
            </w:r>
            <w:r>
              <w:rPr>
                <w:rFonts w:eastAsia="Times New Roman"/>
                <w:color w:val="000000"/>
                <w:sz w:val="20"/>
                <w:szCs w:val="20"/>
              </w:rPr>
              <w:t> </w:t>
            </w:r>
          </w:p>
        </w:tc>
        <w:tc>
          <w:tcPr>
            <w:tcW w:w="0" w:type="auto"/>
            <w:tcBorders>
              <w:bottom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jc w:val="center"/>
        <w:divId w:val="1594049443"/>
        <w:rPr>
          <w:rFonts w:eastAsia="Times New Roman"/>
        </w:rPr>
      </w:pPr>
    </w:p>
    <w:p w:rsidR="00000000" w:rsidRDefault="005B0BC3">
      <w:pPr>
        <w:jc w:val="center"/>
        <w:divId w:val="1594049443"/>
        <w:rPr>
          <w:rFonts w:eastAsia="Times New Roman"/>
        </w:rPr>
      </w:pPr>
      <w:r>
        <w:rPr>
          <w:rFonts w:eastAsia="Times New Roman"/>
          <w:color w:val="000000"/>
          <w:sz w:val="20"/>
          <w:szCs w:val="20"/>
        </w:rPr>
        <w:t>159</w:t>
      </w:r>
    </w:p>
    <w:p w:rsidR="00000000" w:rsidRDefault="005B0BC3">
      <w:pPr>
        <w:rPr>
          <w:rFonts w:eastAsia="Times New Roman"/>
        </w:rPr>
      </w:pPr>
      <w:r>
        <w:rPr>
          <w:rFonts w:eastAsia="Times New Roman"/>
        </w:rPr>
        <w:pict>
          <v:rect id="_x0000_i1197" style="width:0;height:1.5pt" o:hralign="center" o:hrstd="t" o:hr="t" fillcolor="#a0a0a0" stroked="f"/>
        </w:pict>
      </w:r>
    </w:p>
    <w:p w:rsidR="00000000" w:rsidRDefault="005B0BC3">
      <w:pPr>
        <w:jc w:val="center"/>
        <w:divId w:val="420688159"/>
        <w:rPr>
          <w:rFonts w:eastAsia="Times New Roman"/>
        </w:rPr>
      </w:pPr>
      <w:r>
        <w:rPr>
          <w:rFonts w:eastAsia="Times New Roman"/>
          <w:b/>
          <w:bCs/>
          <w:color w:val="000000"/>
          <w:sz w:val="20"/>
          <w:szCs w:val="20"/>
        </w:rPr>
        <w:t>EQUITABLE HOLDINGS, INC.</w:t>
      </w:r>
    </w:p>
    <w:p w:rsidR="00000000" w:rsidRDefault="005B0BC3">
      <w:pPr>
        <w:jc w:val="center"/>
        <w:divId w:val="420688159"/>
        <w:rPr>
          <w:rFonts w:eastAsia="Times New Roman"/>
        </w:rPr>
      </w:pPr>
      <w:r>
        <w:rPr>
          <w:rFonts w:eastAsia="Times New Roman"/>
          <w:b/>
          <w:bCs/>
          <w:color w:val="000000"/>
          <w:sz w:val="20"/>
          <w:szCs w:val="20"/>
        </w:rPr>
        <w:t>NOTES TO CONSOLIDATED FINANCIAL STATEMENTS, continued</w:t>
      </w:r>
    </w:p>
    <w:tbl>
      <w:tblPr>
        <w:tblW w:w="5000" w:type="pct"/>
        <w:tblCellMar>
          <w:top w:w="15" w:type="dxa"/>
          <w:left w:w="15" w:type="dxa"/>
          <w:bottom w:w="15" w:type="dxa"/>
          <w:right w:w="15" w:type="dxa"/>
        </w:tblCellMar>
        <w:tblLook w:val="04A0" w:firstRow="1" w:lastRow="0" w:firstColumn="1" w:lastColumn="0" w:noHBand="0" w:noVBand="1"/>
      </w:tblPr>
      <w:tblGrid>
        <w:gridCol w:w="38"/>
        <w:gridCol w:w="3215"/>
        <w:gridCol w:w="37"/>
        <w:gridCol w:w="120"/>
        <w:gridCol w:w="828"/>
        <w:gridCol w:w="36"/>
        <w:gridCol w:w="36"/>
        <w:gridCol w:w="36"/>
        <w:gridCol w:w="36"/>
        <w:gridCol w:w="120"/>
        <w:gridCol w:w="722"/>
        <w:gridCol w:w="36"/>
        <w:gridCol w:w="36"/>
        <w:gridCol w:w="36"/>
        <w:gridCol w:w="36"/>
        <w:gridCol w:w="120"/>
        <w:gridCol w:w="747"/>
        <w:gridCol w:w="36"/>
        <w:gridCol w:w="36"/>
        <w:gridCol w:w="36"/>
        <w:gridCol w:w="36"/>
        <w:gridCol w:w="120"/>
        <w:gridCol w:w="722"/>
        <w:gridCol w:w="36"/>
        <w:gridCol w:w="36"/>
        <w:gridCol w:w="36"/>
        <w:gridCol w:w="36"/>
        <w:gridCol w:w="120"/>
        <w:gridCol w:w="785"/>
        <w:gridCol w:w="36"/>
      </w:tblGrid>
      <w:tr w:rsidR="00000000">
        <w:trPr>
          <w:divId w:val="1871258629"/>
        </w:trPr>
        <w:tc>
          <w:tcPr>
            <w:tcW w:w="50" w:type="pct"/>
            <w:vAlign w:val="center"/>
            <w:hideMark/>
          </w:tcPr>
          <w:p w:rsidR="00000000" w:rsidRDefault="005B0BC3">
            <w:pPr>
              <w:jc w:val="center"/>
              <w:rPr>
                <w:rFonts w:eastAsia="Times New Roman"/>
              </w:rPr>
            </w:pPr>
          </w:p>
        </w:tc>
        <w:tc>
          <w:tcPr>
            <w:tcW w:w="196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2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9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0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9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3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871258629"/>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Net unrealized investment gains (losses) excluding credit losses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4,810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(781)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(417)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(758)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2,854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871258629"/>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Net unrealized investment gains (losses) with credit losses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871258629"/>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Balance, December 31, 2021</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4,809</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(782)</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(418)</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(757)</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2,852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871258629"/>
          <w:trHeight w:val="300"/>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871258629"/>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Balance, January 1, 2020</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3,453 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(894)</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(189)</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(497)</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1,873 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871258629"/>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Net investment gains (losses) arising during the period</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6,192 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6,192 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871258629"/>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Reclassification adjustment:</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871258629"/>
        </w:trPr>
        <w:tc>
          <w:tcPr>
            <w:tcW w:w="0" w:type="auto"/>
            <w:gridSpan w:val="3"/>
            <w:shd w:val="clear" w:color="auto" w:fill="FFFF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Included in net income (loss)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(828)</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(828)</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871258629"/>
        </w:trPr>
        <w:tc>
          <w:tcPr>
            <w:tcW w:w="0" w:type="auto"/>
            <w:gridSpan w:val="3"/>
            <w:shd w:val="clear" w:color="auto" w:fill="CCEE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Excluded from net income (loss)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871258629"/>
        </w:trPr>
        <w:tc>
          <w:tcPr>
            <w:tcW w:w="0" w:type="auto"/>
            <w:gridSpan w:val="3"/>
            <w:shd w:val="clear" w:color="auto" w:fill="FFFF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Impact of net unrealized investment gains (losses)</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(655)</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(877)</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(806)</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(2,338)</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871258629"/>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Net unrealized investment gains (losses) excluding credit losses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8,817 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(1,549)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(1,066)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(1,303)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4,899 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871258629"/>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Net unrealized investment gains (losses) with credit losses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871258629"/>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Balance, December 31, 2020</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8,811 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(1,548)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(1,065)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(1,302)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4,896 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871258629"/>
          <w:trHeight w:val="300"/>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871258629"/>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Balance, January 1, 2019</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(522)</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(88)</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(406)</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871258629"/>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Net investment gains (losses) arising during the period</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4,188 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4,188 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871258629"/>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Reclassification adjustment:</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871258629"/>
        </w:trPr>
        <w:tc>
          <w:tcPr>
            <w:tcW w:w="0" w:type="auto"/>
            <w:gridSpan w:val="3"/>
            <w:shd w:val="clear" w:color="auto" w:fill="FFFF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Included in net income (loss)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(213)</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(213)</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871258629"/>
        </w:trPr>
        <w:tc>
          <w:tcPr>
            <w:tcW w:w="0" w:type="auto"/>
            <w:gridSpan w:val="3"/>
            <w:shd w:val="clear" w:color="auto" w:fill="CCEE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Excluded from net income (loss)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871258629"/>
        </w:trPr>
        <w:tc>
          <w:tcPr>
            <w:tcW w:w="0" w:type="auto"/>
            <w:gridSpan w:val="3"/>
            <w:shd w:val="clear" w:color="auto" w:fill="FFFF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Impact of net unrealized investment gains (losses)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(994)</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(101)</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(601)</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(1,696)</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871258629"/>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Net unrealized investment gains (losses) excluding credit losses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3,453 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(894)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(189)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(497)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1,873 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871258629"/>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Net unrealized investment gains (losses) with credit losses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871258629"/>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Balance, December 31, 2019</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3,453 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(894)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(189)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(497)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1,873 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ind w:hanging="360"/>
        <w:divId w:val="1881671248"/>
        <w:rPr>
          <w:rFonts w:eastAsia="Times New Roman"/>
        </w:rPr>
      </w:pPr>
      <w:r>
        <w:rPr>
          <w:rFonts w:eastAsia="Times New Roman"/>
          <w:color w:val="000000"/>
          <w:sz w:val="18"/>
          <w:szCs w:val="18"/>
        </w:rPr>
        <w:t>______________</w:t>
      </w:r>
    </w:p>
    <w:p w:rsidR="00000000" w:rsidRDefault="005B0BC3">
      <w:pPr>
        <w:ind w:hanging="270"/>
        <w:divId w:val="1048917737"/>
        <w:rPr>
          <w:rFonts w:eastAsia="Times New Roman"/>
        </w:rPr>
      </w:pPr>
      <w:r>
        <w:rPr>
          <w:rFonts w:eastAsia="Times New Roman"/>
          <w:color w:val="000000"/>
          <w:sz w:val="18"/>
          <w:szCs w:val="18"/>
        </w:rPr>
        <w:t>(1)Effective January 1, 2021, certain preferred stock have been reclassified to other equity investments (see Note 2 of the Notes to these Consolidated Financial Statements- Investments).</w:t>
      </w:r>
    </w:p>
    <w:p w:rsidR="00000000" w:rsidRDefault="005B0BC3">
      <w:pPr>
        <w:divId w:val="707412740"/>
        <w:rPr>
          <w:rFonts w:eastAsia="Times New Roman"/>
        </w:rPr>
      </w:pPr>
      <w:r>
        <w:rPr>
          <w:rFonts w:eastAsia="Times New Roman"/>
          <w:color w:val="000000"/>
          <w:sz w:val="20"/>
          <w:szCs w:val="20"/>
        </w:rPr>
        <w:t>The following tables disclose the fair valu</w:t>
      </w:r>
      <w:r>
        <w:rPr>
          <w:rFonts w:eastAsia="Times New Roman"/>
          <w:color w:val="000000"/>
          <w:sz w:val="20"/>
          <w:szCs w:val="20"/>
        </w:rPr>
        <w:t xml:space="preserve">es and gross unrealized losses of the 2,060 issues as of December 31, 2021 and the 565 issues as of December 31, 2020 that are not deemed to have credit losses, aggregated by investment category and length of time that individual securities have been in a </w:t>
      </w:r>
      <w:r>
        <w:rPr>
          <w:rFonts w:eastAsia="Times New Roman"/>
          <w:color w:val="000000"/>
          <w:sz w:val="20"/>
          <w:szCs w:val="20"/>
        </w:rPr>
        <w:t xml:space="preserve">continuous unrealized loss position for the specified periods at the dates indicated. </w:t>
      </w:r>
    </w:p>
    <w:p w:rsidR="00000000" w:rsidRDefault="005B0BC3">
      <w:pPr>
        <w:jc w:val="center"/>
        <w:rPr>
          <w:rFonts w:eastAsia="Times New Roman"/>
        </w:rPr>
      </w:pPr>
      <w:r>
        <w:rPr>
          <w:rFonts w:eastAsia="Times New Roman"/>
          <w:b/>
          <w:bCs/>
          <w:color w:val="000000"/>
          <w:sz w:val="20"/>
          <w:szCs w:val="20"/>
        </w:rPr>
        <w:t>AFS Fixed Maturities in an Unrealized Loss Position for Which No Allowance Is Recorded</w:t>
      </w:r>
    </w:p>
    <w:tbl>
      <w:tblPr>
        <w:tblW w:w="5000" w:type="pct"/>
        <w:tblCellMar>
          <w:top w:w="15" w:type="dxa"/>
          <w:left w:w="15" w:type="dxa"/>
          <w:bottom w:w="15" w:type="dxa"/>
          <w:right w:w="15" w:type="dxa"/>
        </w:tblCellMar>
        <w:tblLook w:val="04A0" w:firstRow="1" w:lastRow="0" w:firstColumn="1" w:lastColumn="0" w:noHBand="0" w:noVBand="1"/>
      </w:tblPr>
      <w:tblGrid>
        <w:gridCol w:w="40"/>
        <w:gridCol w:w="2868"/>
        <w:gridCol w:w="39"/>
        <w:gridCol w:w="121"/>
        <w:gridCol w:w="648"/>
        <w:gridCol w:w="37"/>
        <w:gridCol w:w="37"/>
        <w:gridCol w:w="38"/>
        <w:gridCol w:w="36"/>
        <w:gridCol w:w="120"/>
        <w:gridCol w:w="647"/>
        <w:gridCol w:w="36"/>
        <w:gridCol w:w="36"/>
        <w:gridCol w:w="36"/>
        <w:gridCol w:w="36"/>
        <w:gridCol w:w="121"/>
        <w:gridCol w:w="640"/>
        <w:gridCol w:w="37"/>
        <w:gridCol w:w="37"/>
        <w:gridCol w:w="38"/>
        <w:gridCol w:w="36"/>
        <w:gridCol w:w="120"/>
        <w:gridCol w:w="639"/>
        <w:gridCol w:w="36"/>
        <w:gridCol w:w="36"/>
        <w:gridCol w:w="36"/>
        <w:gridCol w:w="36"/>
        <w:gridCol w:w="120"/>
        <w:gridCol w:w="600"/>
        <w:gridCol w:w="36"/>
        <w:gridCol w:w="36"/>
        <w:gridCol w:w="36"/>
        <w:gridCol w:w="36"/>
        <w:gridCol w:w="121"/>
        <w:gridCol w:w="698"/>
        <w:gridCol w:w="36"/>
      </w:tblGrid>
      <w:tr w:rsidR="00000000">
        <w:trPr>
          <w:divId w:val="439647604"/>
        </w:trPr>
        <w:tc>
          <w:tcPr>
            <w:tcW w:w="50" w:type="pct"/>
            <w:vAlign w:val="center"/>
            <w:hideMark/>
          </w:tcPr>
          <w:p w:rsidR="00000000" w:rsidRDefault="005B0BC3">
            <w:pPr>
              <w:jc w:val="center"/>
              <w:rPr>
                <w:rFonts w:eastAsia="Times New Roman"/>
              </w:rPr>
            </w:pPr>
          </w:p>
        </w:tc>
        <w:tc>
          <w:tcPr>
            <w:tcW w:w="182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439647604"/>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Less Than 12 Months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12 </w:t>
            </w:r>
            <w:r>
              <w:rPr>
                <w:rFonts w:eastAsia="Times New Roman"/>
                <w:b/>
                <w:bCs/>
                <w:color w:val="000000"/>
                <w:sz w:val="16"/>
                <w:szCs w:val="16"/>
              </w:rPr>
              <w:t>Months or Longer</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Total</w:t>
            </w:r>
          </w:p>
        </w:tc>
      </w:tr>
      <w:tr w:rsidR="00000000">
        <w:trPr>
          <w:divId w:val="439647604"/>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Gross Unrealized Losses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Gross Unrealized Losses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Gross Unrealized Losses</w:t>
            </w:r>
          </w:p>
        </w:tc>
      </w:tr>
      <w:tr w:rsidR="00000000">
        <w:trPr>
          <w:divId w:val="439647604"/>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439647604"/>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December 31, 2021</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439647604"/>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Fixed Maturities:</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439647604"/>
        </w:trPr>
        <w:tc>
          <w:tcPr>
            <w:tcW w:w="0" w:type="auto"/>
            <w:gridSpan w:val="3"/>
            <w:shd w:val="clear" w:color="auto" w:fill="CCEE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Corporate</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10,571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163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1,633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12,204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439647604"/>
        </w:trPr>
        <w:tc>
          <w:tcPr>
            <w:tcW w:w="0" w:type="auto"/>
            <w:gridSpan w:val="3"/>
            <w:shd w:val="clear" w:color="auto" w:fill="FFFF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U.S. Treasury, government and agency</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105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1,098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439647604"/>
        </w:trPr>
        <w:tc>
          <w:tcPr>
            <w:tcW w:w="0" w:type="auto"/>
            <w:gridSpan w:val="3"/>
            <w:shd w:val="clear" w:color="auto" w:fill="CCEE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States and political subdivisions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439647604"/>
        </w:trPr>
        <w:tc>
          <w:tcPr>
            <w:tcW w:w="0" w:type="auto"/>
            <w:gridSpan w:val="3"/>
            <w:shd w:val="clear" w:color="auto" w:fill="FFFF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Foreign governments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349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439647604"/>
        </w:trPr>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bl>
    <w:p w:rsidR="00000000" w:rsidRDefault="005B0BC3">
      <w:pPr>
        <w:jc w:val="center"/>
        <w:divId w:val="1737893038"/>
        <w:rPr>
          <w:rFonts w:eastAsia="Times New Roman"/>
        </w:rPr>
      </w:pPr>
    </w:p>
    <w:p w:rsidR="00000000" w:rsidRDefault="005B0BC3">
      <w:pPr>
        <w:jc w:val="center"/>
        <w:divId w:val="1737893038"/>
        <w:rPr>
          <w:rFonts w:eastAsia="Times New Roman"/>
        </w:rPr>
      </w:pPr>
      <w:r>
        <w:rPr>
          <w:rFonts w:eastAsia="Times New Roman"/>
          <w:color w:val="000000"/>
          <w:sz w:val="20"/>
          <w:szCs w:val="20"/>
        </w:rPr>
        <w:t>160</w:t>
      </w:r>
    </w:p>
    <w:p w:rsidR="00000000" w:rsidRDefault="005B0BC3">
      <w:pPr>
        <w:rPr>
          <w:rFonts w:eastAsia="Times New Roman"/>
        </w:rPr>
      </w:pPr>
      <w:r>
        <w:rPr>
          <w:rFonts w:eastAsia="Times New Roman"/>
        </w:rPr>
        <w:pict>
          <v:rect id="_x0000_i1198" style="width:0;height:1.5pt" o:hralign="center" o:hrstd="t" o:hr="t" fillcolor="#a0a0a0" stroked="f"/>
        </w:pict>
      </w:r>
    </w:p>
    <w:p w:rsidR="00000000" w:rsidRDefault="005B0BC3">
      <w:pPr>
        <w:jc w:val="center"/>
        <w:divId w:val="1658848593"/>
        <w:rPr>
          <w:rFonts w:eastAsia="Times New Roman"/>
        </w:rPr>
      </w:pPr>
      <w:r>
        <w:rPr>
          <w:rFonts w:eastAsia="Times New Roman"/>
          <w:b/>
          <w:bCs/>
          <w:color w:val="000000"/>
          <w:sz w:val="20"/>
          <w:szCs w:val="20"/>
        </w:rPr>
        <w:t>EQUITABLE HOLDINGS, INC.</w:t>
      </w:r>
    </w:p>
    <w:p w:rsidR="00000000" w:rsidRDefault="005B0BC3">
      <w:pPr>
        <w:jc w:val="center"/>
        <w:divId w:val="1658848593"/>
        <w:rPr>
          <w:rFonts w:eastAsia="Times New Roman"/>
        </w:rPr>
      </w:pPr>
      <w:r>
        <w:rPr>
          <w:rFonts w:eastAsia="Times New Roman"/>
          <w:b/>
          <w:bCs/>
          <w:color w:val="000000"/>
          <w:sz w:val="20"/>
          <w:szCs w:val="20"/>
        </w:rPr>
        <w:t>NOTES TO CONSOLIDATED FINANCIAL STATEMENTS, continued</w:t>
      </w:r>
    </w:p>
    <w:tbl>
      <w:tblPr>
        <w:tblW w:w="5000" w:type="pct"/>
        <w:tblCellMar>
          <w:top w:w="15" w:type="dxa"/>
          <w:left w:w="15" w:type="dxa"/>
          <w:bottom w:w="15" w:type="dxa"/>
          <w:right w:w="15" w:type="dxa"/>
        </w:tblCellMar>
        <w:tblLook w:val="04A0" w:firstRow="1" w:lastRow="0" w:firstColumn="1" w:lastColumn="0" w:noHBand="0" w:noVBand="1"/>
      </w:tblPr>
      <w:tblGrid>
        <w:gridCol w:w="39"/>
        <w:gridCol w:w="2870"/>
        <w:gridCol w:w="38"/>
        <w:gridCol w:w="121"/>
        <w:gridCol w:w="648"/>
        <w:gridCol w:w="37"/>
        <w:gridCol w:w="37"/>
        <w:gridCol w:w="38"/>
        <w:gridCol w:w="36"/>
        <w:gridCol w:w="120"/>
        <w:gridCol w:w="647"/>
        <w:gridCol w:w="36"/>
        <w:gridCol w:w="36"/>
        <w:gridCol w:w="36"/>
        <w:gridCol w:w="36"/>
        <w:gridCol w:w="121"/>
        <w:gridCol w:w="640"/>
        <w:gridCol w:w="37"/>
        <w:gridCol w:w="37"/>
        <w:gridCol w:w="38"/>
        <w:gridCol w:w="36"/>
        <w:gridCol w:w="120"/>
        <w:gridCol w:w="639"/>
        <w:gridCol w:w="36"/>
        <w:gridCol w:w="36"/>
        <w:gridCol w:w="36"/>
        <w:gridCol w:w="36"/>
        <w:gridCol w:w="120"/>
        <w:gridCol w:w="600"/>
        <w:gridCol w:w="36"/>
        <w:gridCol w:w="36"/>
        <w:gridCol w:w="36"/>
        <w:gridCol w:w="36"/>
        <w:gridCol w:w="121"/>
        <w:gridCol w:w="698"/>
        <w:gridCol w:w="36"/>
      </w:tblGrid>
      <w:tr w:rsidR="00000000">
        <w:trPr>
          <w:divId w:val="1857426174"/>
        </w:trPr>
        <w:tc>
          <w:tcPr>
            <w:tcW w:w="50" w:type="pct"/>
            <w:vAlign w:val="center"/>
            <w:hideMark/>
          </w:tcPr>
          <w:p w:rsidR="00000000" w:rsidRDefault="005B0BC3">
            <w:pPr>
              <w:jc w:val="center"/>
              <w:rPr>
                <w:rFonts w:eastAsia="Times New Roman"/>
              </w:rPr>
            </w:pPr>
          </w:p>
        </w:tc>
        <w:tc>
          <w:tcPr>
            <w:tcW w:w="182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857426174"/>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Less Than 12 Months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12 Months or Longer</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Total</w:t>
            </w:r>
          </w:p>
        </w:tc>
      </w:tr>
      <w:tr w:rsidR="00000000">
        <w:trPr>
          <w:divId w:val="1857426174"/>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Gross Unrealized Losses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Gross Unrealized Losses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Gross Unrealized Losses</w:t>
            </w:r>
          </w:p>
        </w:tc>
      </w:tr>
      <w:tr w:rsidR="00000000">
        <w:trPr>
          <w:divId w:val="1857426174"/>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1857426174"/>
        </w:trPr>
        <w:tc>
          <w:tcPr>
            <w:tcW w:w="0" w:type="auto"/>
            <w:gridSpan w:val="3"/>
            <w:shd w:val="clear" w:color="auto" w:fill="CCEE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Asset-backed</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3,865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3,903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857426174"/>
        </w:trPr>
        <w:tc>
          <w:tcPr>
            <w:tcW w:w="0" w:type="auto"/>
            <w:gridSpan w:val="3"/>
            <w:shd w:val="clear" w:color="auto" w:fill="FFFF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Commercial mortgage-backed</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1,527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1,623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857426174"/>
        </w:trPr>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857426174"/>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Total at December 31, 2021</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17,425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223</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1,975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19,400</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314</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857426174"/>
          <w:trHeight w:val="220"/>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857426174"/>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December 31, 2020: (1)</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857426174"/>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Fixed Maturities:</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857426174"/>
        </w:trPr>
        <w:tc>
          <w:tcPr>
            <w:tcW w:w="0" w:type="auto"/>
            <w:gridSpan w:val="3"/>
            <w:shd w:val="clear" w:color="auto" w:fill="CCEE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Corporate</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2,990 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337 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3,327 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857426174"/>
        </w:trPr>
        <w:tc>
          <w:tcPr>
            <w:tcW w:w="0" w:type="auto"/>
            <w:gridSpan w:val="3"/>
            <w:shd w:val="clear" w:color="auto" w:fill="FFFF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U.S. Treasury, government and agency</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885 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885 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857426174"/>
        </w:trPr>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857426174"/>
        </w:trPr>
        <w:tc>
          <w:tcPr>
            <w:tcW w:w="0" w:type="auto"/>
            <w:gridSpan w:val="3"/>
            <w:shd w:val="clear" w:color="auto" w:fill="CCEE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Foreign governments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857426174"/>
        </w:trPr>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857426174"/>
        </w:trPr>
        <w:tc>
          <w:tcPr>
            <w:tcW w:w="0" w:type="auto"/>
            <w:gridSpan w:val="3"/>
            <w:shd w:val="clear" w:color="auto" w:fill="FFFF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Asset-backed</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809 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885 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857426174"/>
        </w:trPr>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857426174"/>
        </w:trPr>
        <w:tc>
          <w:tcPr>
            <w:tcW w:w="0" w:type="auto"/>
            <w:gridSpan w:val="3"/>
            <w:shd w:val="clear" w:color="auto" w:fill="CCEE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Redeemable preferred stock</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857426174"/>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Total at December 31, 2020</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4,890 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445 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5,335 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divId w:val="912355384"/>
        <w:rPr>
          <w:rFonts w:eastAsia="Times New Roman"/>
        </w:rPr>
      </w:pPr>
      <w:r>
        <w:rPr>
          <w:rFonts w:eastAsia="Times New Roman"/>
          <w:color w:val="000000"/>
          <w:sz w:val="18"/>
          <w:szCs w:val="18"/>
        </w:rPr>
        <w:t>______________</w:t>
      </w:r>
    </w:p>
    <w:p w:rsidR="00000000" w:rsidRDefault="005B0BC3">
      <w:pPr>
        <w:ind w:hanging="270"/>
        <w:divId w:val="973800248"/>
        <w:rPr>
          <w:rFonts w:eastAsia="Times New Roman"/>
        </w:rPr>
      </w:pPr>
      <w:r>
        <w:rPr>
          <w:rFonts w:eastAsia="Times New Roman"/>
          <w:color w:val="000000"/>
          <w:sz w:val="18"/>
          <w:szCs w:val="18"/>
        </w:rPr>
        <w:t>(1)Excludes amounts reclassified as HFS.</w:t>
      </w:r>
    </w:p>
    <w:p w:rsidR="00000000" w:rsidRDefault="005B0BC3">
      <w:pPr>
        <w:ind w:firstLine="90"/>
        <w:divId w:val="300159782"/>
        <w:rPr>
          <w:rFonts w:eastAsia="Times New Roman"/>
        </w:rPr>
      </w:pPr>
    </w:p>
    <w:p w:rsidR="00000000" w:rsidRDefault="005B0BC3">
      <w:pPr>
        <w:divId w:val="778992880"/>
        <w:rPr>
          <w:rFonts w:eastAsia="Times New Roman"/>
        </w:rPr>
      </w:pPr>
      <w:r>
        <w:rPr>
          <w:rFonts w:eastAsia="Times New Roman"/>
          <w:color w:val="000000"/>
          <w:sz w:val="20"/>
          <w:szCs w:val="20"/>
        </w:rPr>
        <w:t>The Company’s investments in fixed maturities do not inclu</w:t>
      </w:r>
      <w:r>
        <w:rPr>
          <w:rFonts w:eastAsia="Times New Roman"/>
          <w:color w:val="000000"/>
          <w:sz w:val="20"/>
          <w:szCs w:val="20"/>
        </w:rPr>
        <w:t xml:space="preserve">de concentrations of credit risk of any single issuer greater than 10% of the consolidated equity of the Company, other than securities of the U.S. government, U.S. government agencies, and certain securities guaranteed by the U.S. government. The Company </w:t>
      </w:r>
      <w:r>
        <w:rPr>
          <w:rFonts w:eastAsia="Times New Roman"/>
          <w:color w:val="000000"/>
          <w:sz w:val="20"/>
          <w:szCs w:val="20"/>
        </w:rPr>
        <w:t>maintains a diversified portfolio of corporate securities across industries and issuers and does not have exposure to any single issuer in excess of 0.6% of total corporate securities. The largest exposures to a single issuer of corporate securities held a</w:t>
      </w:r>
      <w:r>
        <w:rPr>
          <w:rFonts w:eastAsia="Times New Roman"/>
          <w:color w:val="000000"/>
          <w:sz w:val="20"/>
          <w:szCs w:val="20"/>
        </w:rPr>
        <w:t>s of December 31, 2021 and December 31, 2020 were $322 million and $391 million, respectively, representing 2.5% and 2.3% of the consolidated equity of the Company.</w:t>
      </w:r>
    </w:p>
    <w:p w:rsidR="00000000" w:rsidRDefault="005B0BC3">
      <w:pPr>
        <w:divId w:val="1063403832"/>
        <w:rPr>
          <w:rFonts w:eastAsia="Times New Roman"/>
        </w:rPr>
      </w:pPr>
      <w:r>
        <w:rPr>
          <w:rFonts w:eastAsia="Times New Roman"/>
          <w:color w:val="000000"/>
          <w:sz w:val="20"/>
          <w:szCs w:val="20"/>
        </w:rPr>
        <w:t>Corporate high yield securities, consisting primarily of public high yield bonds, are class</w:t>
      </w:r>
      <w:r>
        <w:rPr>
          <w:rFonts w:eastAsia="Times New Roman"/>
          <w:color w:val="000000"/>
          <w:sz w:val="20"/>
          <w:szCs w:val="20"/>
        </w:rPr>
        <w:t xml:space="preserve">ified as other than investment grade by the various rating agencies, i.e., a rating below Baa3/BBB- or the NAIC designation of 3 (medium investment grade), 4 or 5 (below investment grade) or 6 (in or near default). As of December 31, 2021 and December 31, </w:t>
      </w:r>
      <w:r>
        <w:rPr>
          <w:rFonts w:eastAsia="Times New Roman"/>
          <w:color w:val="000000"/>
          <w:sz w:val="20"/>
          <w:szCs w:val="20"/>
        </w:rPr>
        <w:t>2020, respectively, approximately $2.9 billion and $2.5 billion, or 3.9% and 3.4%, of the $73.4 billion and $72.9 billion aggregate amortized cost of fixed maturities held by the Company were considered to be other than investment grade. These securities h</w:t>
      </w:r>
      <w:r>
        <w:rPr>
          <w:rFonts w:eastAsia="Times New Roman"/>
          <w:color w:val="000000"/>
          <w:sz w:val="20"/>
          <w:szCs w:val="20"/>
        </w:rPr>
        <w:t>ad gross unrealized losses of $18 million and $49 million as of December 31, 2021 and December 31, 2020, respectively.</w:t>
      </w:r>
    </w:p>
    <w:p w:rsidR="00000000" w:rsidRDefault="005B0BC3">
      <w:pPr>
        <w:divId w:val="741872630"/>
        <w:rPr>
          <w:rFonts w:eastAsia="Times New Roman"/>
        </w:rPr>
      </w:pPr>
      <w:r>
        <w:rPr>
          <w:rFonts w:eastAsia="Times New Roman"/>
          <w:color w:val="000000"/>
          <w:sz w:val="20"/>
          <w:szCs w:val="20"/>
        </w:rPr>
        <w:t xml:space="preserve">As of December 31, 2021 and December 31, 2020, respectively, the $91 million and $40 million of gross unrealized losses of twelve months </w:t>
      </w:r>
      <w:r>
        <w:rPr>
          <w:rFonts w:eastAsia="Times New Roman"/>
          <w:color w:val="000000"/>
          <w:sz w:val="20"/>
          <w:szCs w:val="20"/>
        </w:rPr>
        <w:t>or more were primarily concentrated in corporate securities. In accordance with the policy described in Note 2 to the Notes to these Consolidated Financial Statements, the Company concluded that an adjustment to allowance for credit losses for these securi</w:t>
      </w:r>
      <w:r>
        <w:rPr>
          <w:rFonts w:eastAsia="Times New Roman"/>
          <w:color w:val="000000"/>
          <w:sz w:val="20"/>
          <w:szCs w:val="20"/>
        </w:rPr>
        <w:t>ties was not warranted at either December 31, 2021 or December 31, 2020. As of December 31, 2021 and December 31, 2020, the Company did not intend to sell the securities nor will it likely be required to dispose of the securities before the anticipated rec</w:t>
      </w:r>
      <w:r>
        <w:rPr>
          <w:rFonts w:eastAsia="Times New Roman"/>
          <w:color w:val="000000"/>
          <w:sz w:val="20"/>
          <w:szCs w:val="20"/>
        </w:rPr>
        <w:t>overy of their remaining amortized cost basis.</w:t>
      </w:r>
    </w:p>
    <w:p w:rsidR="00000000" w:rsidRDefault="005B0BC3">
      <w:pPr>
        <w:divId w:val="1199005192"/>
        <w:rPr>
          <w:rFonts w:eastAsia="Times New Roman"/>
        </w:rPr>
      </w:pPr>
      <w:r>
        <w:rPr>
          <w:rFonts w:eastAsia="Times New Roman"/>
          <w:color w:val="000000"/>
          <w:sz w:val="20"/>
          <w:szCs w:val="20"/>
        </w:rPr>
        <w:t>Based on the Company’s evaluation both qualitatively and quantitatively of the drivers of the decline in fair value of fixed maturity securities as of December 31, 2021, the Company determined that the unreali</w:t>
      </w:r>
      <w:r>
        <w:rPr>
          <w:rFonts w:eastAsia="Times New Roman"/>
          <w:color w:val="000000"/>
          <w:sz w:val="20"/>
          <w:szCs w:val="20"/>
        </w:rPr>
        <w:t>zed loss was primarily due to increases in credit spreads and changes in credit ratings.</w:t>
      </w:r>
    </w:p>
    <w:p w:rsidR="00000000" w:rsidRDefault="005B0BC3">
      <w:pPr>
        <w:divId w:val="105387632"/>
        <w:rPr>
          <w:rFonts w:eastAsia="Times New Roman"/>
        </w:rPr>
      </w:pPr>
      <w:r>
        <w:rPr>
          <w:rFonts w:eastAsia="Times New Roman"/>
          <w:color w:val="000000"/>
          <w:sz w:val="20"/>
          <w:szCs w:val="20"/>
          <w:u w:val="single"/>
        </w:rPr>
        <w:t>Mortgage Loans on Real Estate</w:t>
      </w:r>
    </w:p>
    <w:p w:rsidR="00000000" w:rsidRDefault="005B0BC3">
      <w:pPr>
        <w:divId w:val="1123962737"/>
        <w:rPr>
          <w:rFonts w:eastAsia="Times New Roman"/>
        </w:rPr>
      </w:pPr>
      <w:r>
        <w:rPr>
          <w:rFonts w:eastAsia="Times New Roman"/>
          <w:color w:val="000000"/>
          <w:sz w:val="20"/>
          <w:szCs w:val="20"/>
        </w:rPr>
        <w:t>Accrued interest receivable on commercial and agricultural mortgage loans as of December 31, 2021 and 2020 was $57 million and $58 millio</w:t>
      </w:r>
      <w:r>
        <w:rPr>
          <w:rFonts w:eastAsia="Times New Roman"/>
          <w:color w:val="000000"/>
          <w:sz w:val="20"/>
          <w:szCs w:val="20"/>
        </w:rPr>
        <w:t>n, respectively. There was no accrued interest written off for commercial and agricultural mortgage loans for the years ended December 31, 2021 and 2020.</w:t>
      </w:r>
    </w:p>
    <w:p w:rsidR="00000000" w:rsidRDefault="005B0BC3">
      <w:pPr>
        <w:divId w:val="1122961696"/>
        <w:rPr>
          <w:rFonts w:eastAsia="Times New Roman"/>
        </w:rPr>
      </w:pPr>
      <w:r>
        <w:rPr>
          <w:rFonts w:eastAsia="Times New Roman"/>
          <w:color w:val="000000"/>
          <w:sz w:val="20"/>
          <w:szCs w:val="20"/>
        </w:rPr>
        <w:t>As of December 31, 2021, the Company had no loans for which foreclosure was probable included within t</w:t>
      </w:r>
      <w:r>
        <w:rPr>
          <w:rFonts w:eastAsia="Times New Roman"/>
          <w:color w:val="000000"/>
          <w:sz w:val="20"/>
          <w:szCs w:val="20"/>
        </w:rPr>
        <w:t>he individually assessed mortgage loans, and accordingly had no associated allowance for credit losses.</w:t>
      </w:r>
    </w:p>
    <w:p w:rsidR="00000000" w:rsidRDefault="005B0BC3">
      <w:pPr>
        <w:divId w:val="726882824"/>
        <w:rPr>
          <w:rFonts w:eastAsia="Times New Roman"/>
        </w:rPr>
      </w:pPr>
      <w:r>
        <w:rPr>
          <w:rFonts w:eastAsia="Times New Roman"/>
          <w:color w:val="000000"/>
          <w:sz w:val="20"/>
          <w:szCs w:val="20"/>
          <w:u w:val="single"/>
        </w:rPr>
        <w:t>Allowance for Credit Losses on Mortgage Loans</w:t>
      </w:r>
    </w:p>
    <w:p w:rsidR="00000000" w:rsidRDefault="005B0BC3">
      <w:pPr>
        <w:jc w:val="center"/>
        <w:divId w:val="273172989"/>
        <w:rPr>
          <w:rFonts w:eastAsia="Times New Roman"/>
        </w:rPr>
      </w:pPr>
    </w:p>
    <w:p w:rsidR="00000000" w:rsidRDefault="005B0BC3">
      <w:pPr>
        <w:jc w:val="center"/>
        <w:divId w:val="273172989"/>
        <w:rPr>
          <w:rFonts w:eastAsia="Times New Roman"/>
        </w:rPr>
      </w:pPr>
      <w:r>
        <w:rPr>
          <w:rFonts w:eastAsia="Times New Roman"/>
          <w:color w:val="000000"/>
          <w:sz w:val="20"/>
          <w:szCs w:val="20"/>
        </w:rPr>
        <w:t>161</w:t>
      </w:r>
    </w:p>
    <w:p w:rsidR="00000000" w:rsidRDefault="005B0BC3">
      <w:pPr>
        <w:rPr>
          <w:rFonts w:eastAsia="Times New Roman"/>
        </w:rPr>
      </w:pPr>
      <w:r>
        <w:rPr>
          <w:rFonts w:eastAsia="Times New Roman"/>
        </w:rPr>
        <w:pict>
          <v:rect id="_x0000_i1199" style="width:0;height:1.5pt" o:hralign="center" o:hrstd="t" o:hr="t" fillcolor="#a0a0a0" stroked="f"/>
        </w:pict>
      </w:r>
    </w:p>
    <w:p w:rsidR="00000000" w:rsidRDefault="005B0BC3">
      <w:pPr>
        <w:jc w:val="center"/>
        <w:divId w:val="543637831"/>
        <w:rPr>
          <w:rFonts w:eastAsia="Times New Roman"/>
        </w:rPr>
      </w:pPr>
      <w:r>
        <w:rPr>
          <w:rFonts w:eastAsia="Times New Roman"/>
          <w:b/>
          <w:bCs/>
          <w:color w:val="000000"/>
          <w:sz w:val="20"/>
          <w:szCs w:val="20"/>
        </w:rPr>
        <w:t>EQUITABLE HOLDINGS, INC.</w:t>
      </w:r>
    </w:p>
    <w:p w:rsidR="00000000" w:rsidRDefault="005B0BC3">
      <w:pPr>
        <w:jc w:val="center"/>
        <w:divId w:val="543637831"/>
        <w:rPr>
          <w:rFonts w:eastAsia="Times New Roman"/>
        </w:rPr>
      </w:pPr>
      <w:r>
        <w:rPr>
          <w:rFonts w:eastAsia="Times New Roman"/>
          <w:b/>
          <w:bCs/>
          <w:color w:val="000000"/>
          <w:sz w:val="20"/>
          <w:szCs w:val="20"/>
        </w:rPr>
        <w:t>NOTES TO CONSOLIDATED FINANCIAL STATEMENTS, continued</w:t>
      </w:r>
    </w:p>
    <w:p w:rsidR="00000000" w:rsidRDefault="005B0BC3">
      <w:pPr>
        <w:divId w:val="1828865038"/>
        <w:rPr>
          <w:rFonts w:eastAsia="Times New Roman"/>
        </w:rPr>
      </w:pPr>
      <w:r>
        <w:rPr>
          <w:rFonts w:eastAsia="Times New Roman"/>
          <w:color w:val="000000"/>
          <w:sz w:val="20"/>
          <w:szCs w:val="20"/>
        </w:rPr>
        <w:t>The change in the allowance for credit losses for commercial mortgage loans and agricultural mortgage loans during the years ended December 31, 2021 and 2020 were as follows:</w:t>
      </w:r>
    </w:p>
    <w:tbl>
      <w:tblPr>
        <w:tblW w:w="4934" w:type="pct"/>
        <w:tblCellMar>
          <w:top w:w="15" w:type="dxa"/>
          <w:left w:w="15" w:type="dxa"/>
          <w:bottom w:w="15" w:type="dxa"/>
          <w:right w:w="15" w:type="dxa"/>
        </w:tblCellMar>
        <w:tblLook w:val="04A0" w:firstRow="1" w:lastRow="0" w:firstColumn="1" w:lastColumn="0" w:noHBand="0" w:noVBand="1"/>
      </w:tblPr>
      <w:tblGrid>
        <w:gridCol w:w="38"/>
        <w:gridCol w:w="5014"/>
        <w:gridCol w:w="37"/>
        <w:gridCol w:w="36"/>
        <w:gridCol w:w="46"/>
        <w:gridCol w:w="630"/>
        <w:gridCol w:w="36"/>
        <w:gridCol w:w="36"/>
        <w:gridCol w:w="36"/>
        <w:gridCol w:w="120"/>
        <w:gridCol w:w="854"/>
        <w:gridCol w:w="36"/>
        <w:gridCol w:w="36"/>
        <w:gridCol w:w="36"/>
        <w:gridCol w:w="36"/>
        <w:gridCol w:w="120"/>
        <w:gridCol w:w="797"/>
        <w:gridCol w:w="36"/>
        <w:gridCol w:w="36"/>
        <w:gridCol w:w="36"/>
        <w:gridCol w:w="36"/>
        <w:gridCol w:w="36"/>
        <w:gridCol w:w="36"/>
        <w:gridCol w:w="36"/>
      </w:tblGrid>
      <w:tr w:rsidR="00000000">
        <w:trPr>
          <w:divId w:val="2145153274"/>
        </w:trPr>
        <w:tc>
          <w:tcPr>
            <w:tcW w:w="50" w:type="pct"/>
            <w:vAlign w:val="center"/>
            <w:hideMark/>
          </w:tcPr>
          <w:p w:rsidR="00000000" w:rsidRDefault="005B0BC3">
            <w:pPr>
              <w:rPr>
                <w:rFonts w:eastAsia="Times New Roman"/>
              </w:rPr>
            </w:pPr>
          </w:p>
        </w:tc>
        <w:tc>
          <w:tcPr>
            <w:tcW w:w="346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4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2145153274"/>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10"/>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2145153274"/>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2145153274"/>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2145153274"/>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Allowance for credit losses on mortgage loans: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2145153274"/>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Commercial mortgages: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2145153274"/>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 xml:space="preserve">Balance, beginning of period </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2145153274"/>
        </w:trPr>
        <w:tc>
          <w:tcPr>
            <w:tcW w:w="0" w:type="auto"/>
            <w:gridSpan w:val="3"/>
            <w:shd w:val="clear" w:color="auto" w:fill="CCEE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Current-period provision for expected credit losses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(20)</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2145153274"/>
        </w:trPr>
        <w:tc>
          <w:tcPr>
            <w:tcW w:w="0" w:type="auto"/>
            <w:gridSpan w:val="3"/>
            <w:shd w:val="clear" w:color="auto" w:fill="FFFF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Write-offs charged against the allowance</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2145153274"/>
        </w:trPr>
        <w:tc>
          <w:tcPr>
            <w:tcW w:w="0" w:type="auto"/>
            <w:gridSpan w:val="3"/>
            <w:shd w:val="clear" w:color="auto" w:fill="CCEE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Recoveries of amounts previously written off</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2145153274"/>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Net change in allowance</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2145153274"/>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Balance, end of period</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2145153274"/>
          <w:trHeight w:val="280"/>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2145153274"/>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 xml:space="preserve">Agricultural mortgages: </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2145153274"/>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Balance, beginning of period</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2145153274"/>
        </w:trPr>
        <w:tc>
          <w:tcPr>
            <w:tcW w:w="0" w:type="auto"/>
            <w:gridSpan w:val="3"/>
            <w:shd w:val="clear" w:color="auto" w:fill="CCEE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Current-period provision for expected credit losses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2145153274"/>
        </w:trPr>
        <w:tc>
          <w:tcPr>
            <w:tcW w:w="0" w:type="auto"/>
            <w:gridSpan w:val="3"/>
            <w:shd w:val="clear" w:color="auto" w:fill="FFFF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Write-offs charged against the allowance</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2145153274"/>
        </w:trPr>
        <w:tc>
          <w:tcPr>
            <w:tcW w:w="0" w:type="auto"/>
            <w:gridSpan w:val="3"/>
            <w:shd w:val="clear" w:color="auto" w:fill="CCEE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Recoveries of amounts previously written off</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2145153274"/>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Net change in allowance</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2145153274"/>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Balance, end of period</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2145153274"/>
          <w:trHeight w:val="280"/>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2145153274"/>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Total allowance for credit losses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62</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bl>
    <w:p w:rsidR="00000000" w:rsidRDefault="005B0BC3">
      <w:pPr>
        <w:ind w:hanging="360"/>
        <w:divId w:val="1373386987"/>
        <w:rPr>
          <w:rFonts w:eastAsia="Times New Roman"/>
        </w:rPr>
      </w:pPr>
    </w:p>
    <w:p w:rsidR="00000000" w:rsidRDefault="005B0BC3">
      <w:pPr>
        <w:divId w:val="584463025"/>
        <w:rPr>
          <w:rFonts w:eastAsia="Times New Roman"/>
        </w:rPr>
      </w:pPr>
    </w:p>
    <w:p w:rsidR="00000000" w:rsidRDefault="005B0BC3">
      <w:pPr>
        <w:divId w:val="1197045793"/>
        <w:rPr>
          <w:rFonts w:eastAsia="Times New Roman"/>
        </w:rPr>
      </w:pPr>
      <w:r>
        <w:rPr>
          <w:rFonts w:eastAsia="Times New Roman"/>
          <w:color w:val="000000"/>
          <w:sz w:val="20"/>
          <w:szCs w:val="20"/>
        </w:rPr>
        <w:t>The change in the allowance for credit losses is attributable to:</w:t>
      </w:r>
    </w:p>
    <w:p w:rsidR="00000000" w:rsidRDefault="005B0BC3">
      <w:pPr>
        <w:ind w:hanging="360"/>
        <w:jc w:val="both"/>
        <w:divId w:val="746919369"/>
        <w:rPr>
          <w:rFonts w:eastAsia="Times New Roman"/>
        </w:rPr>
      </w:pPr>
      <w:r>
        <w:rPr>
          <w:rFonts w:eastAsia="Times New Roman"/>
          <w:color w:val="000000"/>
          <w:sz w:val="20"/>
          <w:szCs w:val="20"/>
        </w:rPr>
        <w:t>•increases/decreases in the loan balance due to new originations, maturing mortgages, and loan amortization;</w:t>
      </w:r>
    </w:p>
    <w:p w:rsidR="00000000" w:rsidRDefault="005B0BC3">
      <w:pPr>
        <w:ind w:hanging="360"/>
        <w:jc w:val="both"/>
        <w:divId w:val="1185633829"/>
        <w:rPr>
          <w:rFonts w:eastAsia="Times New Roman"/>
        </w:rPr>
      </w:pPr>
      <w:r>
        <w:rPr>
          <w:rFonts w:eastAsia="Times New Roman"/>
          <w:color w:val="000000"/>
          <w:sz w:val="20"/>
          <w:szCs w:val="20"/>
        </w:rPr>
        <w:t>•change</w:t>
      </w:r>
      <w:r>
        <w:rPr>
          <w:rFonts w:eastAsia="Times New Roman"/>
          <w:color w:val="000000"/>
          <w:sz w:val="20"/>
          <w:szCs w:val="20"/>
        </w:rPr>
        <w:t>s in credit quality; and</w:t>
      </w:r>
    </w:p>
    <w:p w:rsidR="00000000" w:rsidRDefault="005B0BC3">
      <w:pPr>
        <w:ind w:hanging="360"/>
        <w:divId w:val="1742629483"/>
        <w:rPr>
          <w:rFonts w:eastAsia="Times New Roman"/>
        </w:rPr>
      </w:pPr>
      <w:r>
        <w:rPr>
          <w:rFonts w:eastAsia="Times New Roman"/>
          <w:color w:val="000000"/>
          <w:sz w:val="20"/>
          <w:szCs w:val="20"/>
        </w:rPr>
        <w:t>•changes in market assumptions primarily related to COVID-19 driven economic changes.</w:t>
      </w:r>
    </w:p>
    <w:p w:rsidR="00000000" w:rsidRDefault="005B0BC3">
      <w:pPr>
        <w:divId w:val="829827724"/>
        <w:rPr>
          <w:rFonts w:eastAsia="Times New Roman"/>
        </w:rPr>
      </w:pPr>
      <w:r>
        <w:rPr>
          <w:rFonts w:eastAsia="Times New Roman"/>
          <w:color w:val="000000"/>
          <w:sz w:val="20"/>
          <w:szCs w:val="20"/>
          <w:u w:val="single"/>
        </w:rPr>
        <w:t>Credit Quality Information</w:t>
      </w:r>
    </w:p>
    <w:p w:rsidR="00000000" w:rsidRDefault="005B0BC3">
      <w:pPr>
        <w:divId w:val="1645117243"/>
        <w:rPr>
          <w:rFonts w:eastAsia="Times New Roman"/>
        </w:rPr>
      </w:pPr>
      <w:r>
        <w:rPr>
          <w:rFonts w:eastAsia="Times New Roman"/>
          <w:color w:val="000000"/>
          <w:sz w:val="20"/>
          <w:szCs w:val="20"/>
        </w:rPr>
        <w:t>The following tables summarize the Company’</w:t>
      </w:r>
      <w:r>
        <w:rPr>
          <w:rFonts w:eastAsia="Times New Roman"/>
          <w:color w:val="000000"/>
          <w:sz w:val="20"/>
          <w:szCs w:val="20"/>
        </w:rPr>
        <w:t>s mortgage loans segregated by risk rating exposure as of December 31, 2021 and December 31, 2020.</w:t>
      </w:r>
    </w:p>
    <w:p w:rsidR="00000000" w:rsidRDefault="005B0BC3">
      <w:pPr>
        <w:divId w:val="919828104"/>
        <w:rPr>
          <w:rFonts w:eastAsia="Times New Roman"/>
        </w:rPr>
      </w:pPr>
    </w:p>
    <w:p w:rsidR="00000000" w:rsidRDefault="005B0BC3">
      <w:pPr>
        <w:jc w:val="center"/>
        <w:rPr>
          <w:rFonts w:eastAsia="Times New Roman"/>
        </w:rPr>
      </w:pPr>
      <w:r>
        <w:rPr>
          <w:rFonts w:eastAsia="Times New Roman"/>
          <w:b/>
          <w:bCs/>
          <w:color w:val="000000"/>
          <w:sz w:val="20"/>
          <w:szCs w:val="20"/>
        </w:rPr>
        <w:t>LTV Ratios (1)</w:t>
      </w:r>
    </w:p>
    <w:tbl>
      <w:tblPr>
        <w:tblW w:w="5000" w:type="pct"/>
        <w:jc w:val="center"/>
        <w:tblCellMar>
          <w:top w:w="15" w:type="dxa"/>
          <w:left w:w="15" w:type="dxa"/>
          <w:bottom w:w="15" w:type="dxa"/>
          <w:right w:w="15" w:type="dxa"/>
        </w:tblCellMar>
        <w:tblLook w:val="04A0" w:firstRow="1" w:lastRow="0" w:firstColumn="1" w:lastColumn="0" w:noHBand="0" w:noVBand="1"/>
      </w:tblPr>
      <w:tblGrid>
        <w:gridCol w:w="43"/>
        <w:gridCol w:w="2257"/>
        <w:gridCol w:w="38"/>
        <w:gridCol w:w="120"/>
        <w:gridCol w:w="643"/>
        <w:gridCol w:w="36"/>
        <w:gridCol w:w="36"/>
        <w:gridCol w:w="36"/>
        <w:gridCol w:w="36"/>
        <w:gridCol w:w="120"/>
        <w:gridCol w:w="597"/>
        <w:gridCol w:w="36"/>
        <w:gridCol w:w="36"/>
        <w:gridCol w:w="36"/>
        <w:gridCol w:w="36"/>
        <w:gridCol w:w="120"/>
        <w:gridCol w:w="597"/>
        <w:gridCol w:w="36"/>
        <w:gridCol w:w="36"/>
        <w:gridCol w:w="36"/>
        <w:gridCol w:w="36"/>
        <w:gridCol w:w="120"/>
        <w:gridCol w:w="597"/>
        <w:gridCol w:w="36"/>
        <w:gridCol w:w="36"/>
        <w:gridCol w:w="36"/>
        <w:gridCol w:w="36"/>
        <w:gridCol w:w="120"/>
        <w:gridCol w:w="597"/>
        <w:gridCol w:w="36"/>
        <w:gridCol w:w="36"/>
        <w:gridCol w:w="36"/>
        <w:gridCol w:w="36"/>
        <w:gridCol w:w="120"/>
        <w:gridCol w:w="597"/>
        <w:gridCol w:w="36"/>
        <w:gridCol w:w="36"/>
        <w:gridCol w:w="36"/>
        <w:gridCol w:w="36"/>
        <w:gridCol w:w="120"/>
        <w:gridCol w:w="600"/>
        <w:gridCol w:w="36"/>
      </w:tblGrid>
      <w:tr w:rsidR="00000000">
        <w:trPr>
          <w:divId w:val="1141462640"/>
          <w:jc w:val="center"/>
        </w:trPr>
        <w:tc>
          <w:tcPr>
            <w:tcW w:w="50" w:type="pct"/>
            <w:vAlign w:val="center"/>
            <w:hideMark/>
          </w:tcPr>
          <w:p w:rsidR="00000000" w:rsidRDefault="005B0BC3">
            <w:pPr>
              <w:jc w:val="center"/>
              <w:rPr>
                <w:rFonts w:eastAsia="Times New Roman"/>
              </w:rPr>
            </w:pPr>
          </w:p>
        </w:tc>
        <w:tc>
          <w:tcPr>
            <w:tcW w:w="139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2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2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2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2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2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2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2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14146264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9"/>
            <w:tcBorders>
              <w:bottom w:val="single" w:sz="8" w:space="0" w:color="000000"/>
            </w:tcBorders>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b/>
                <w:bCs/>
                <w:color w:val="000000"/>
                <w:sz w:val="16"/>
                <w:szCs w:val="16"/>
              </w:rPr>
              <w:t>December 31, 2021</w:t>
            </w:r>
          </w:p>
        </w:tc>
      </w:tr>
      <w:tr w:rsidR="00000000">
        <w:trPr>
          <w:divId w:val="1141462640"/>
          <w:jc w:val="center"/>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Amortized Cost Basis by Origination Year</w:t>
            </w:r>
          </w:p>
        </w:tc>
      </w:tr>
      <w:tr w:rsidR="00000000">
        <w:trPr>
          <w:divId w:val="1141462640"/>
          <w:jc w:val="center"/>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b/>
                <w:bCs/>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b/>
                <w:bCs/>
                <w:color w:val="000000"/>
                <w:sz w:val="16"/>
                <w:szCs w:val="16"/>
              </w:rPr>
              <w:t>2019</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b/>
                <w:bCs/>
                <w:color w:val="000000"/>
                <w:sz w:val="16"/>
                <w:szCs w:val="16"/>
              </w:rPr>
              <w:t>2018</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b/>
                <w:bCs/>
                <w:color w:val="000000"/>
                <w:sz w:val="16"/>
                <w:szCs w:val="16"/>
              </w:rPr>
              <w:t>2017</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b/>
                <w:bCs/>
                <w:color w:val="000000"/>
                <w:sz w:val="16"/>
                <w:szCs w:val="16"/>
              </w:rPr>
              <w:t>Prior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b/>
                <w:bCs/>
                <w:color w:val="000000"/>
                <w:sz w:val="16"/>
                <w:szCs w:val="16"/>
              </w:rPr>
              <w:t>Total</w:t>
            </w:r>
          </w:p>
        </w:tc>
      </w:tr>
      <w:tr w:rsidR="00000000">
        <w:trPr>
          <w:divId w:val="1141462640"/>
          <w:jc w:val="center"/>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9"/>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1141462640"/>
          <w:jc w:val="center"/>
        </w:trPr>
        <w:tc>
          <w:tcPr>
            <w:tcW w:w="0" w:type="auto"/>
            <w:gridSpan w:val="3"/>
            <w:tcMar>
              <w:top w:w="30" w:type="dxa"/>
              <w:left w:w="20" w:type="dxa"/>
              <w:bottom w:w="30" w:type="dxa"/>
              <w:right w:w="20" w:type="dxa"/>
            </w:tcMar>
            <w:vAlign w:val="bottom"/>
            <w:hideMark/>
          </w:tcPr>
          <w:p w:rsidR="00000000" w:rsidRDefault="005B0BC3">
            <w:pPr>
              <w:spacing w:after="100"/>
              <w:divId w:val="1827360941"/>
              <w:rPr>
                <w:rFonts w:eastAsia="Times New Roman"/>
              </w:rPr>
            </w:pPr>
            <w:r>
              <w:rPr>
                <w:rFonts w:eastAsia="Times New Roman"/>
                <w:b/>
                <w:bCs/>
                <w:color w:val="000000"/>
                <w:sz w:val="20"/>
                <w:szCs w:val="20"/>
              </w:rPr>
              <w:t>Mortgage loans:</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141462640"/>
          <w:jc w:val="center"/>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Commercial:</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5B0BC3">
        <w:trPr>
          <w:divId w:val="1141462640"/>
          <w:jc w:val="center"/>
        </w:trPr>
        <w:tc>
          <w:tcPr>
            <w:tcW w:w="0" w:type="auto"/>
            <w:gridSpan w:val="3"/>
            <w:shd w:val="clear" w:color="auto" w:fill="CCEEFF"/>
            <w:tcMar>
              <w:top w:w="30" w:type="dxa"/>
              <w:left w:w="125" w:type="dxa"/>
              <w:bottom w:w="30" w:type="dxa"/>
              <w:right w:w="20" w:type="dxa"/>
            </w:tcMar>
            <w:hideMark/>
          </w:tcPr>
          <w:p w:rsidR="00000000" w:rsidRDefault="005B0BC3">
            <w:pPr>
              <w:spacing w:after="100"/>
              <w:rPr>
                <w:rFonts w:eastAsia="Times New Roman"/>
              </w:rPr>
            </w:pPr>
            <w:r>
              <w:rPr>
                <w:rFonts w:eastAsia="Times New Roman"/>
                <w:color w:val="000000"/>
                <w:sz w:val="20"/>
                <w:szCs w:val="20"/>
              </w:rPr>
              <w:t>0% - 50%</w:t>
            </w:r>
          </w:p>
        </w:tc>
        <w:tc>
          <w:tcPr>
            <w:tcW w:w="0" w:type="auto"/>
            <w:shd w:val="clear" w:color="auto" w:fill="CCEE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293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1,009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1,486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000000">
        <w:trPr>
          <w:divId w:val="1141462640"/>
          <w:jc w:val="center"/>
        </w:trPr>
        <w:tc>
          <w:tcPr>
            <w:tcW w:w="0" w:type="auto"/>
            <w:gridSpan w:val="3"/>
            <w:shd w:val="clear" w:color="auto" w:fill="FFFFFF"/>
            <w:tcMar>
              <w:top w:w="30" w:type="dxa"/>
              <w:left w:w="125" w:type="dxa"/>
              <w:bottom w:w="30" w:type="dxa"/>
              <w:right w:w="20" w:type="dxa"/>
            </w:tcMar>
            <w:hideMark/>
          </w:tcPr>
          <w:p w:rsidR="00000000" w:rsidRDefault="005B0BC3">
            <w:pPr>
              <w:spacing w:after="100"/>
              <w:rPr>
                <w:rFonts w:eastAsia="Times New Roman"/>
              </w:rPr>
            </w:pPr>
            <w:r>
              <w:rPr>
                <w:rFonts w:eastAsia="Times New Roman"/>
                <w:color w:val="000000"/>
                <w:sz w:val="20"/>
                <w:szCs w:val="20"/>
              </w:rPr>
              <w:t>50% - 70%</w:t>
            </w: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1,967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1,334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407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619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491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2,533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7,351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000000">
        <w:trPr>
          <w:divId w:val="1141462640"/>
          <w:jc w:val="center"/>
        </w:trPr>
        <w:tc>
          <w:tcPr>
            <w:tcW w:w="0" w:type="auto"/>
            <w:gridSpan w:val="3"/>
            <w:shd w:val="clear" w:color="auto" w:fill="CCEEFF"/>
            <w:tcMar>
              <w:top w:w="30" w:type="dxa"/>
              <w:left w:w="125" w:type="dxa"/>
              <w:bottom w:w="30" w:type="dxa"/>
              <w:right w:w="20" w:type="dxa"/>
            </w:tcMar>
            <w:hideMark/>
          </w:tcPr>
          <w:p w:rsidR="00000000" w:rsidRDefault="005B0BC3">
            <w:pPr>
              <w:spacing w:after="100"/>
              <w:rPr>
                <w:rFonts w:eastAsia="Times New Roman"/>
              </w:rPr>
            </w:pPr>
            <w:r>
              <w:rPr>
                <w:rFonts w:eastAsia="Times New Roman"/>
                <w:color w:val="000000"/>
                <w:sz w:val="20"/>
                <w:szCs w:val="20"/>
              </w:rPr>
              <w:t>70% - 90%</w:t>
            </w: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412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415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972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2,501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000000">
        <w:trPr>
          <w:divId w:val="1141462640"/>
          <w:jc w:val="center"/>
        </w:trPr>
        <w:tc>
          <w:tcPr>
            <w:tcW w:w="0" w:type="auto"/>
            <w:gridSpan w:val="3"/>
            <w:shd w:val="clear" w:color="auto" w:fill="FFFFFF"/>
            <w:tcMar>
              <w:top w:w="30" w:type="dxa"/>
              <w:left w:w="125" w:type="dxa"/>
              <w:bottom w:w="30" w:type="dxa"/>
              <w:right w:w="20" w:type="dxa"/>
            </w:tcMar>
            <w:hideMark/>
          </w:tcPr>
          <w:p w:rsidR="00000000" w:rsidRDefault="005B0BC3">
            <w:pPr>
              <w:spacing w:after="100"/>
              <w:rPr>
                <w:rFonts w:eastAsia="Times New Roman"/>
              </w:rPr>
            </w:pPr>
            <w:r>
              <w:rPr>
                <w:rFonts w:eastAsia="Times New Roman"/>
                <w:color w:val="000000"/>
                <w:sz w:val="20"/>
                <w:szCs w:val="20"/>
              </w:rPr>
              <w:t>90% plus</w:t>
            </w: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5B0BC3">
        <w:trPr>
          <w:divId w:val="1141462640"/>
          <w:jc w:val="center"/>
        </w:trPr>
        <w:tc>
          <w:tcPr>
            <w:tcW w:w="0" w:type="auto"/>
            <w:gridSpan w:val="3"/>
            <w:shd w:val="clear" w:color="auto" w:fill="CCEEFF"/>
            <w:tcMar>
              <w:top w:w="30" w:type="dxa"/>
              <w:left w:w="26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Total commercial</w:t>
            </w: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2,157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1,570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819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1,253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1,065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4,587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11,451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141462640"/>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141462640"/>
          <w:jc w:val="center"/>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Agricultural:</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bl>
    <w:p w:rsidR="00000000" w:rsidRDefault="005B0BC3">
      <w:pPr>
        <w:jc w:val="center"/>
        <w:divId w:val="548685076"/>
        <w:rPr>
          <w:rFonts w:eastAsia="Times New Roman"/>
        </w:rPr>
      </w:pPr>
    </w:p>
    <w:p w:rsidR="00000000" w:rsidRDefault="005B0BC3">
      <w:pPr>
        <w:jc w:val="center"/>
        <w:divId w:val="548685076"/>
        <w:rPr>
          <w:rFonts w:eastAsia="Times New Roman"/>
        </w:rPr>
      </w:pPr>
      <w:r>
        <w:rPr>
          <w:rFonts w:eastAsia="Times New Roman"/>
          <w:color w:val="000000"/>
          <w:sz w:val="20"/>
          <w:szCs w:val="20"/>
        </w:rPr>
        <w:t>162</w:t>
      </w:r>
    </w:p>
    <w:p w:rsidR="00000000" w:rsidRDefault="005B0BC3">
      <w:pPr>
        <w:rPr>
          <w:rFonts w:eastAsia="Times New Roman"/>
        </w:rPr>
      </w:pPr>
      <w:r>
        <w:rPr>
          <w:rFonts w:eastAsia="Times New Roman"/>
        </w:rPr>
        <w:pict>
          <v:rect id="_x0000_i1200" style="width:0;height:1.5pt" o:hralign="center" o:hrstd="t" o:hr="t" fillcolor="#a0a0a0" stroked="f"/>
        </w:pict>
      </w:r>
    </w:p>
    <w:p w:rsidR="00000000" w:rsidRDefault="005B0BC3">
      <w:pPr>
        <w:jc w:val="center"/>
        <w:divId w:val="649021025"/>
        <w:rPr>
          <w:rFonts w:eastAsia="Times New Roman"/>
        </w:rPr>
      </w:pPr>
      <w:r>
        <w:rPr>
          <w:rFonts w:eastAsia="Times New Roman"/>
          <w:b/>
          <w:bCs/>
          <w:color w:val="000000"/>
          <w:sz w:val="20"/>
          <w:szCs w:val="20"/>
        </w:rPr>
        <w:t>EQUITABLE HOLDINGS, INC.</w:t>
      </w:r>
    </w:p>
    <w:p w:rsidR="00000000" w:rsidRDefault="005B0BC3">
      <w:pPr>
        <w:jc w:val="center"/>
        <w:divId w:val="649021025"/>
        <w:rPr>
          <w:rFonts w:eastAsia="Times New Roman"/>
        </w:rPr>
      </w:pPr>
      <w:r>
        <w:rPr>
          <w:rFonts w:eastAsia="Times New Roman"/>
          <w:b/>
          <w:bCs/>
          <w:color w:val="000000"/>
          <w:sz w:val="20"/>
          <w:szCs w:val="20"/>
        </w:rPr>
        <w:t>NOTES TO CONSOLIDATED FINANCIAL STATEMENTS, continued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2258"/>
        <w:gridCol w:w="36"/>
        <w:gridCol w:w="120"/>
        <w:gridCol w:w="644"/>
        <w:gridCol w:w="36"/>
        <w:gridCol w:w="36"/>
        <w:gridCol w:w="36"/>
        <w:gridCol w:w="36"/>
        <w:gridCol w:w="120"/>
        <w:gridCol w:w="597"/>
        <w:gridCol w:w="36"/>
        <w:gridCol w:w="36"/>
        <w:gridCol w:w="36"/>
        <w:gridCol w:w="36"/>
        <w:gridCol w:w="120"/>
        <w:gridCol w:w="597"/>
        <w:gridCol w:w="36"/>
        <w:gridCol w:w="36"/>
        <w:gridCol w:w="36"/>
        <w:gridCol w:w="36"/>
        <w:gridCol w:w="120"/>
        <w:gridCol w:w="597"/>
        <w:gridCol w:w="36"/>
        <w:gridCol w:w="36"/>
        <w:gridCol w:w="36"/>
        <w:gridCol w:w="36"/>
        <w:gridCol w:w="120"/>
        <w:gridCol w:w="597"/>
        <w:gridCol w:w="36"/>
        <w:gridCol w:w="36"/>
        <w:gridCol w:w="36"/>
        <w:gridCol w:w="36"/>
        <w:gridCol w:w="120"/>
        <w:gridCol w:w="598"/>
        <w:gridCol w:w="36"/>
        <w:gridCol w:w="36"/>
        <w:gridCol w:w="36"/>
        <w:gridCol w:w="36"/>
        <w:gridCol w:w="120"/>
        <w:gridCol w:w="600"/>
        <w:gridCol w:w="36"/>
      </w:tblGrid>
      <w:tr w:rsidR="00000000">
        <w:trPr>
          <w:divId w:val="1563832898"/>
          <w:jc w:val="center"/>
        </w:trPr>
        <w:tc>
          <w:tcPr>
            <w:tcW w:w="50" w:type="pct"/>
            <w:vAlign w:val="center"/>
            <w:hideMark/>
          </w:tcPr>
          <w:p w:rsidR="00000000" w:rsidRDefault="005B0BC3">
            <w:pPr>
              <w:jc w:val="center"/>
              <w:rPr>
                <w:rFonts w:eastAsia="Times New Roman"/>
              </w:rPr>
            </w:pPr>
          </w:p>
        </w:tc>
        <w:tc>
          <w:tcPr>
            <w:tcW w:w="139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2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2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2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2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2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2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2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563832898"/>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9"/>
            <w:tcBorders>
              <w:bottom w:val="single" w:sz="8" w:space="0" w:color="000000"/>
            </w:tcBorders>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b/>
                <w:bCs/>
                <w:color w:val="000000"/>
                <w:sz w:val="16"/>
                <w:szCs w:val="16"/>
              </w:rPr>
              <w:t>December 31, 2021</w:t>
            </w:r>
          </w:p>
        </w:tc>
      </w:tr>
      <w:tr w:rsidR="00000000">
        <w:trPr>
          <w:divId w:val="1563832898"/>
          <w:jc w:val="center"/>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Amortized Cost Basis by Origination Year</w:t>
            </w:r>
          </w:p>
        </w:tc>
      </w:tr>
      <w:tr w:rsidR="00000000">
        <w:trPr>
          <w:divId w:val="1563832898"/>
          <w:jc w:val="center"/>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b/>
                <w:bCs/>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b/>
                <w:bCs/>
                <w:color w:val="000000"/>
                <w:sz w:val="16"/>
                <w:szCs w:val="16"/>
              </w:rPr>
              <w:t>2019</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b/>
                <w:bCs/>
                <w:color w:val="000000"/>
                <w:sz w:val="16"/>
                <w:szCs w:val="16"/>
              </w:rPr>
              <w:t>2018</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b/>
                <w:bCs/>
                <w:color w:val="000000"/>
                <w:sz w:val="16"/>
                <w:szCs w:val="16"/>
              </w:rPr>
              <w:t>2017</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b/>
                <w:bCs/>
                <w:color w:val="000000"/>
                <w:sz w:val="16"/>
                <w:szCs w:val="16"/>
              </w:rPr>
              <w:t>Prior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b/>
                <w:bCs/>
                <w:color w:val="000000"/>
                <w:sz w:val="16"/>
                <w:szCs w:val="16"/>
              </w:rPr>
              <w:t>Total</w:t>
            </w:r>
          </w:p>
        </w:tc>
      </w:tr>
      <w:tr w:rsidR="00000000">
        <w:trPr>
          <w:divId w:val="1563832898"/>
          <w:jc w:val="center"/>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9"/>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5B0BC3">
        <w:trPr>
          <w:divId w:val="1563832898"/>
          <w:jc w:val="center"/>
        </w:trPr>
        <w:tc>
          <w:tcPr>
            <w:tcW w:w="0" w:type="auto"/>
            <w:gridSpan w:val="3"/>
            <w:shd w:val="clear" w:color="auto" w:fill="FFFFFF"/>
            <w:tcMar>
              <w:top w:w="30" w:type="dxa"/>
              <w:left w:w="125" w:type="dxa"/>
              <w:bottom w:w="30" w:type="dxa"/>
              <w:right w:w="20" w:type="dxa"/>
            </w:tcMar>
            <w:hideMark/>
          </w:tcPr>
          <w:p w:rsidR="00000000" w:rsidRDefault="005B0BC3">
            <w:pPr>
              <w:spacing w:after="100"/>
              <w:rPr>
                <w:rFonts w:eastAsia="Times New Roman"/>
              </w:rPr>
            </w:pPr>
            <w:r>
              <w:rPr>
                <w:rFonts w:eastAsia="Times New Roman"/>
                <w:color w:val="000000"/>
                <w:sz w:val="20"/>
                <w:szCs w:val="20"/>
              </w:rPr>
              <w:t>0% - 50%</w:t>
            </w:r>
          </w:p>
        </w:tc>
        <w:tc>
          <w:tcPr>
            <w:tcW w:w="0" w:type="auto"/>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129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738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1,506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000000">
        <w:trPr>
          <w:divId w:val="1563832898"/>
          <w:jc w:val="center"/>
        </w:trPr>
        <w:tc>
          <w:tcPr>
            <w:tcW w:w="0" w:type="auto"/>
            <w:gridSpan w:val="3"/>
            <w:shd w:val="clear" w:color="auto" w:fill="CCEEFF"/>
            <w:tcMar>
              <w:top w:w="30" w:type="dxa"/>
              <w:left w:w="125" w:type="dxa"/>
              <w:bottom w:w="30" w:type="dxa"/>
              <w:right w:w="20" w:type="dxa"/>
            </w:tcMar>
            <w:hideMark/>
          </w:tcPr>
          <w:p w:rsidR="00000000" w:rsidRDefault="005B0BC3">
            <w:pPr>
              <w:spacing w:after="100"/>
              <w:rPr>
                <w:rFonts w:eastAsia="Times New Roman"/>
              </w:rPr>
            </w:pPr>
            <w:r>
              <w:rPr>
                <w:rFonts w:eastAsia="Times New Roman"/>
                <w:color w:val="000000"/>
                <w:sz w:val="20"/>
                <w:szCs w:val="20"/>
              </w:rPr>
              <w:t>50% - 70%</w:t>
            </w: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338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1,121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000000">
        <w:trPr>
          <w:divId w:val="1563832898"/>
          <w:jc w:val="center"/>
        </w:trPr>
        <w:tc>
          <w:tcPr>
            <w:tcW w:w="0" w:type="auto"/>
            <w:gridSpan w:val="3"/>
            <w:shd w:val="clear" w:color="auto" w:fill="FFFFFF"/>
            <w:tcMar>
              <w:top w:w="30" w:type="dxa"/>
              <w:left w:w="125" w:type="dxa"/>
              <w:bottom w:w="30" w:type="dxa"/>
              <w:right w:w="20" w:type="dxa"/>
            </w:tcMar>
            <w:hideMark/>
          </w:tcPr>
          <w:p w:rsidR="00000000" w:rsidRDefault="005B0BC3">
            <w:pPr>
              <w:spacing w:after="100"/>
              <w:rPr>
                <w:rFonts w:eastAsia="Times New Roman"/>
              </w:rPr>
            </w:pPr>
            <w:r>
              <w:rPr>
                <w:rFonts w:eastAsia="Times New Roman"/>
                <w:color w:val="000000"/>
                <w:sz w:val="20"/>
                <w:szCs w:val="20"/>
              </w:rPr>
              <w:t>70% - 90%</w:t>
            </w: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000000">
        <w:trPr>
          <w:divId w:val="1563832898"/>
          <w:jc w:val="center"/>
        </w:trPr>
        <w:tc>
          <w:tcPr>
            <w:tcW w:w="0" w:type="auto"/>
            <w:gridSpan w:val="3"/>
            <w:shd w:val="clear" w:color="auto" w:fill="CCEEFF"/>
            <w:tcMar>
              <w:top w:w="30" w:type="dxa"/>
              <w:left w:w="125" w:type="dxa"/>
              <w:bottom w:w="30" w:type="dxa"/>
              <w:right w:w="20" w:type="dxa"/>
            </w:tcMar>
            <w:hideMark/>
          </w:tcPr>
          <w:p w:rsidR="00000000" w:rsidRDefault="005B0BC3">
            <w:pPr>
              <w:spacing w:after="100"/>
              <w:rPr>
                <w:rFonts w:eastAsia="Times New Roman"/>
              </w:rPr>
            </w:pPr>
            <w:r>
              <w:rPr>
                <w:rFonts w:eastAsia="Times New Roman"/>
                <w:color w:val="000000"/>
                <w:sz w:val="20"/>
                <w:szCs w:val="20"/>
              </w:rPr>
              <w:t>90% plus</w:t>
            </w: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5B0BC3">
        <w:trPr>
          <w:divId w:val="1563832898"/>
          <w:jc w:val="center"/>
        </w:trPr>
        <w:tc>
          <w:tcPr>
            <w:tcW w:w="0" w:type="auto"/>
            <w:gridSpan w:val="3"/>
            <w:shd w:val="clear" w:color="auto" w:fill="FFFFFF"/>
            <w:tcMar>
              <w:top w:w="30" w:type="dxa"/>
              <w:left w:w="26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Total agricultural</w:t>
            </w: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380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480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230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255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206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1,093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2,644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000000">
        <w:trPr>
          <w:divId w:val="1563832898"/>
          <w:jc w:val="center"/>
        </w:trPr>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563832898"/>
          <w:jc w:val="center"/>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mortgage loans: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5B0BC3">
        <w:trPr>
          <w:divId w:val="1563832898"/>
          <w:jc w:val="center"/>
        </w:trPr>
        <w:tc>
          <w:tcPr>
            <w:tcW w:w="0" w:type="auto"/>
            <w:gridSpan w:val="3"/>
            <w:shd w:val="clear" w:color="auto" w:fill="FFFFFF"/>
            <w:tcMar>
              <w:top w:w="30" w:type="dxa"/>
              <w:left w:w="125" w:type="dxa"/>
              <w:bottom w:w="30" w:type="dxa"/>
              <w:right w:w="20" w:type="dxa"/>
            </w:tcMar>
            <w:hideMark/>
          </w:tcPr>
          <w:p w:rsidR="00000000" w:rsidRDefault="005B0BC3">
            <w:pPr>
              <w:spacing w:after="100"/>
              <w:rPr>
                <w:rFonts w:eastAsia="Times New Roman"/>
              </w:rPr>
            </w:pPr>
            <w:r>
              <w:rPr>
                <w:rFonts w:eastAsia="Times New Roman"/>
                <w:color w:val="000000"/>
                <w:sz w:val="20"/>
                <w:szCs w:val="20"/>
              </w:rPr>
              <w:t>0% - 50%</w:t>
            </w:r>
          </w:p>
        </w:tc>
        <w:tc>
          <w:tcPr>
            <w:tcW w:w="0" w:type="auto"/>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313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412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1,747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2,992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000000">
        <w:trPr>
          <w:divId w:val="1563832898"/>
          <w:jc w:val="center"/>
        </w:trPr>
        <w:tc>
          <w:tcPr>
            <w:tcW w:w="0" w:type="auto"/>
            <w:gridSpan w:val="3"/>
            <w:shd w:val="clear" w:color="auto" w:fill="CCEEFF"/>
            <w:tcMar>
              <w:top w:w="30" w:type="dxa"/>
              <w:left w:w="125" w:type="dxa"/>
              <w:bottom w:w="30" w:type="dxa"/>
              <w:right w:w="20" w:type="dxa"/>
            </w:tcMar>
            <w:hideMark/>
          </w:tcPr>
          <w:p w:rsidR="00000000" w:rsidRDefault="005B0BC3">
            <w:pPr>
              <w:spacing w:after="100"/>
              <w:rPr>
                <w:rFonts w:eastAsia="Times New Roman"/>
              </w:rPr>
            </w:pPr>
            <w:r>
              <w:rPr>
                <w:rFonts w:eastAsia="Times New Roman"/>
                <w:color w:val="000000"/>
                <w:sz w:val="20"/>
                <w:szCs w:val="20"/>
              </w:rPr>
              <w:t>50% - 70%</w:t>
            </w: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2,167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1,602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509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745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578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2,871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8,472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000000">
        <w:trPr>
          <w:divId w:val="1563832898"/>
          <w:jc w:val="center"/>
        </w:trPr>
        <w:tc>
          <w:tcPr>
            <w:tcW w:w="0" w:type="auto"/>
            <w:gridSpan w:val="3"/>
            <w:shd w:val="clear" w:color="auto" w:fill="FFFFFF"/>
            <w:tcMar>
              <w:top w:w="30" w:type="dxa"/>
              <w:left w:w="125" w:type="dxa"/>
              <w:bottom w:w="30" w:type="dxa"/>
              <w:right w:w="20" w:type="dxa"/>
            </w:tcMar>
            <w:hideMark/>
          </w:tcPr>
          <w:p w:rsidR="00000000" w:rsidRDefault="005B0BC3">
            <w:pPr>
              <w:spacing w:after="100"/>
              <w:rPr>
                <w:rFonts w:eastAsia="Times New Roman"/>
              </w:rPr>
            </w:pPr>
            <w:r>
              <w:rPr>
                <w:rFonts w:eastAsia="Times New Roman"/>
                <w:color w:val="000000"/>
                <w:sz w:val="20"/>
                <w:szCs w:val="20"/>
              </w:rPr>
              <w:t>70% - 90%</w:t>
            </w: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236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412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415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276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989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2,518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000000">
        <w:trPr>
          <w:divId w:val="1563832898"/>
          <w:jc w:val="center"/>
        </w:trPr>
        <w:tc>
          <w:tcPr>
            <w:tcW w:w="0" w:type="auto"/>
            <w:gridSpan w:val="3"/>
            <w:shd w:val="clear" w:color="auto" w:fill="CCEEFF"/>
            <w:tcMar>
              <w:top w:w="30" w:type="dxa"/>
              <w:left w:w="125" w:type="dxa"/>
              <w:bottom w:w="30" w:type="dxa"/>
              <w:right w:w="20" w:type="dxa"/>
            </w:tcMar>
            <w:hideMark/>
          </w:tcPr>
          <w:p w:rsidR="00000000" w:rsidRDefault="005B0BC3">
            <w:pPr>
              <w:spacing w:after="100"/>
              <w:rPr>
                <w:rFonts w:eastAsia="Times New Roman"/>
              </w:rPr>
            </w:pPr>
            <w:r>
              <w:rPr>
                <w:rFonts w:eastAsia="Times New Roman"/>
                <w:color w:val="000000"/>
                <w:sz w:val="20"/>
                <w:szCs w:val="20"/>
              </w:rPr>
              <w:t>90% plus</w:t>
            </w: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5B0BC3">
        <w:trPr>
          <w:divId w:val="1563832898"/>
          <w:jc w:val="center"/>
        </w:trPr>
        <w:tc>
          <w:tcPr>
            <w:tcW w:w="0" w:type="auto"/>
            <w:gridSpan w:val="3"/>
            <w:shd w:val="clear" w:color="auto" w:fill="FFFFFF"/>
            <w:tcMar>
              <w:top w:w="30" w:type="dxa"/>
              <w:left w:w="26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Total mortgage loans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2,537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2,050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1,049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1,508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1,271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5,680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14,095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r>
    </w:tbl>
    <w:p w:rsidR="00000000" w:rsidRDefault="005B0BC3">
      <w:pPr>
        <w:divId w:val="677346220"/>
        <w:rPr>
          <w:rFonts w:eastAsia="Times New Roman"/>
        </w:rPr>
      </w:pPr>
    </w:p>
    <w:p w:rsidR="00000000" w:rsidRDefault="005B0BC3">
      <w:pPr>
        <w:divId w:val="480386674"/>
        <w:rPr>
          <w:rFonts w:eastAsia="Times New Roman"/>
        </w:rPr>
      </w:pPr>
    </w:p>
    <w:p w:rsidR="00000000" w:rsidRDefault="005B0BC3">
      <w:pPr>
        <w:jc w:val="center"/>
        <w:rPr>
          <w:rFonts w:eastAsia="Times New Roman"/>
        </w:rPr>
      </w:pPr>
      <w:r>
        <w:rPr>
          <w:rFonts w:eastAsia="Times New Roman"/>
          <w:b/>
          <w:bCs/>
          <w:color w:val="000000"/>
          <w:sz w:val="20"/>
          <w:szCs w:val="20"/>
        </w:rPr>
        <w:t>Debt Service Coverage Ratios (2</w:t>
      </w:r>
      <w:r>
        <w:rPr>
          <w:rFonts w:eastAsia="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416"/>
        <w:gridCol w:w="38"/>
        <w:gridCol w:w="120"/>
        <w:gridCol w:w="617"/>
        <w:gridCol w:w="36"/>
        <w:gridCol w:w="36"/>
        <w:gridCol w:w="36"/>
        <w:gridCol w:w="36"/>
        <w:gridCol w:w="120"/>
        <w:gridCol w:w="570"/>
        <w:gridCol w:w="36"/>
        <w:gridCol w:w="36"/>
        <w:gridCol w:w="36"/>
        <w:gridCol w:w="36"/>
        <w:gridCol w:w="120"/>
        <w:gridCol w:w="571"/>
        <w:gridCol w:w="36"/>
        <w:gridCol w:w="36"/>
        <w:gridCol w:w="36"/>
        <w:gridCol w:w="36"/>
        <w:gridCol w:w="120"/>
        <w:gridCol w:w="571"/>
        <w:gridCol w:w="36"/>
        <w:gridCol w:w="36"/>
        <w:gridCol w:w="36"/>
        <w:gridCol w:w="36"/>
        <w:gridCol w:w="120"/>
        <w:gridCol w:w="571"/>
        <w:gridCol w:w="36"/>
        <w:gridCol w:w="36"/>
        <w:gridCol w:w="36"/>
        <w:gridCol w:w="36"/>
        <w:gridCol w:w="120"/>
        <w:gridCol w:w="572"/>
        <w:gridCol w:w="36"/>
        <w:gridCol w:w="36"/>
        <w:gridCol w:w="36"/>
        <w:gridCol w:w="36"/>
        <w:gridCol w:w="120"/>
        <w:gridCol w:w="600"/>
        <w:gridCol w:w="36"/>
      </w:tblGrid>
      <w:tr w:rsidR="00000000">
        <w:trPr>
          <w:divId w:val="798106100"/>
          <w:jc w:val="center"/>
        </w:trPr>
        <w:tc>
          <w:tcPr>
            <w:tcW w:w="50" w:type="pct"/>
            <w:vAlign w:val="center"/>
            <w:hideMark/>
          </w:tcPr>
          <w:p w:rsidR="00000000" w:rsidRDefault="005B0BC3">
            <w:pPr>
              <w:jc w:val="center"/>
              <w:rPr>
                <w:rFonts w:eastAsia="Times New Roman"/>
              </w:rPr>
            </w:pPr>
          </w:p>
        </w:tc>
        <w:tc>
          <w:tcPr>
            <w:tcW w:w="149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0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0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0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0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0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0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1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79810610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9"/>
            <w:tcBorders>
              <w:bottom w:val="single" w:sz="4" w:space="0" w:color="000000"/>
            </w:tcBorders>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b/>
                <w:bCs/>
                <w:color w:val="000000"/>
                <w:sz w:val="16"/>
                <w:szCs w:val="16"/>
              </w:rPr>
              <w:t>December 31, 2021</w:t>
            </w:r>
          </w:p>
        </w:tc>
      </w:tr>
      <w:tr w:rsidR="00000000">
        <w:trPr>
          <w:divId w:val="798106100"/>
          <w:jc w:val="center"/>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9"/>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Amortized Cost Basis by Origination Year</w:t>
            </w:r>
          </w:p>
        </w:tc>
      </w:tr>
      <w:tr w:rsidR="00000000">
        <w:trPr>
          <w:divId w:val="798106100"/>
          <w:jc w:val="center"/>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b/>
                <w:bCs/>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b/>
                <w:bCs/>
                <w:color w:val="000000"/>
                <w:sz w:val="16"/>
                <w:szCs w:val="16"/>
              </w:rPr>
              <w:t>2019</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b/>
                <w:bCs/>
                <w:color w:val="000000"/>
                <w:sz w:val="16"/>
                <w:szCs w:val="16"/>
              </w:rPr>
              <w:t>2018</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b/>
                <w:bCs/>
                <w:color w:val="000000"/>
                <w:sz w:val="16"/>
                <w:szCs w:val="16"/>
              </w:rPr>
              <w:t>2017</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b/>
                <w:bCs/>
                <w:color w:val="000000"/>
                <w:sz w:val="16"/>
                <w:szCs w:val="16"/>
              </w:rPr>
              <w:t>Prior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b/>
                <w:bCs/>
                <w:color w:val="000000"/>
                <w:sz w:val="16"/>
                <w:szCs w:val="16"/>
              </w:rPr>
              <w:t>Total</w:t>
            </w:r>
          </w:p>
        </w:tc>
      </w:tr>
      <w:tr w:rsidR="00000000">
        <w:trPr>
          <w:divId w:val="798106100"/>
          <w:jc w:val="center"/>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9"/>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798106100"/>
          <w:jc w:val="center"/>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Mortgage loans:</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798106100"/>
          <w:jc w:val="center"/>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Commercial:</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5B0BC3">
        <w:trPr>
          <w:divId w:val="798106100"/>
          <w:jc w:val="center"/>
        </w:trPr>
        <w:tc>
          <w:tcPr>
            <w:tcW w:w="0" w:type="auto"/>
            <w:gridSpan w:val="3"/>
            <w:shd w:val="clear" w:color="auto" w:fill="CCEEFF"/>
            <w:tcMar>
              <w:top w:w="30" w:type="dxa"/>
              <w:left w:w="125" w:type="dxa"/>
              <w:bottom w:w="30" w:type="dxa"/>
              <w:right w:w="20" w:type="dxa"/>
            </w:tcMar>
            <w:hideMark/>
          </w:tcPr>
          <w:p w:rsidR="00000000" w:rsidRDefault="005B0BC3">
            <w:pPr>
              <w:spacing w:after="100"/>
              <w:rPr>
                <w:rFonts w:eastAsia="Times New Roman"/>
              </w:rPr>
            </w:pPr>
            <w:r>
              <w:rPr>
                <w:rFonts w:eastAsia="Times New Roman"/>
                <w:color w:val="000000"/>
                <w:sz w:val="20"/>
                <w:szCs w:val="20"/>
              </w:rPr>
              <w:t>Greater than 2.0x</w:t>
            </w:r>
          </w:p>
        </w:tc>
        <w:tc>
          <w:tcPr>
            <w:tcW w:w="0" w:type="auto"/>
            <w:shd w:val="clear" w:color="auto" w:fill="CCEE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1,143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1,243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772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485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2,235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6,088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000000">
        <w:trPr>
          <w:divId w:val="798106100"/>
          <w:jc w:val="center"/>
        </w:trPr>
        <w:tc>
          <w:tcPr>
            <w:tcW w:w="0" w:type="auto"/>
            <w:gridSpan w:val="3"/>
            <w:shd w:val="clear" w:color="auto" w:fill="FFFFFF"/>
            <w:tcMar>
              <w:top w:w="30" w:type="dxa"/>
              <w:left w:w="125" w:type="dxa"/>
              <w:bottom w:w="30" w:type="dxa"/>
              <w:right w:w="20" w:type="dxa"/>
            </w:tcMar>
            <w:hideMark/>
          </w:tcPr>
          <w:p w:rsidR="00000000" w:rsidRDefault="005B0BC3">
            <w:pPr>
              <w:spacing w:after="100"/>
              <w:rPr>
                <w:rFonts w:eastAsia="Times New Roman"/>
              </w:rPr>
            </w:pPr>
            <w:r>
              <w:rPr>
                <w:rFonts w:eastAsia="Times New Roman"/>
                <w:color w:val="000000"/>
                <w:sz w:val="20"/>
                <w:szCs w:val="20"/>
              </w:rPr>
              <w:t>1.8x to 2.0x</w:t>
            </w: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46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161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372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1,149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000000">
        <w:trPr>
          <w:divId w:val="798106100"/>
          <w:jc w:val="center"/>
        </w:trPr>
        <w:tc>
          <w:tcPr>
            <w:tcW w:w="0" w:type="auto"/>
            <w:gridSpan w:val="3"/>
            <w:shd w:val="clear" w:color="auto" w:fill="CCEEFF"/>
            <w:tcMar>
              <w:top w:w="30" w:type="dxa"/>
              <w:left w:w="125" w:type="dxa"/>
              <w:bottom w:w="30" w:type="dxa"/>
              <w:right w:w="20" w:type="dxa"/>
            </w:tcMar>
            <w:hideMark/>
          </w:tcPr>
          <w:p w:rsidR="00000000" w:rsidRDefault="005B0BC3">
            <w:pPr>
              <w:spacing w:after="100"/>
              <w:rPr>
                <w:rFonts w:eastAsia="Times New Roman"/>
              </w:rPr>
            </w:pPr>
            <w:r>
              <w:rPr>
                <w:rFonts w:eastAsia="Times New Roman"/>
                <w:color w:val="000000"/>
                <w:sz w:val="20"/>
                <w:szCs w:val="20"/>
              </w:rPr>
              <w:t>1.5x to 1.8x</w:t>
            </w: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919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1,952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000000">
        <w:trPr>
          <w:divId w:val="798106100"/>
          <w:jc w:val="center"/>
        </w:trPr>
        <w:tc>
          <w:tcPr>
            <w:tcW w:w="0" w:type="auto"/>
            <w:gridSpan w:val="3"/>
            <w:shd w:val="clear" w:color="auto" w:fill="FFFFFF"/>
            <w:tcMar>
              <w:top w:w="30" w:type="dxa"/>
              <w:left w:w="125" w:type="dxa"/>
              <w:bottom w:w="30" w:type="dxa"/>
              <w:right w:w="20" w:type="dxa"/>
            </w:tcMar>
            <w:hideMark/>
          </w:tcPr>
          <w:p w:rsidR="00000000" w:rsidRDefault="005B0BC3">
            <w:pPr>
              <w:spacing w:after="100"/>
              <w:rPr>
                <w:rFonts w:eastAsia="Times New Roman"/>
              </w:rPr>
            </w:pPr>
            <w:r>
              <w:rPr>
                <w:rFonts w:eastAsia="Times New Roman"/>
                <w:color w:val="000000"/>
                <w:sz w:val="20"/>
                <w:szCs w:val="20"/>
              </w:rPr>
              <w:t>1.2x to 1.5x</w:t>
            </w: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95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101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701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1,489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000000">
        <w:trPr>
          <w:divId w:val="798106100"/>
          <w:jc w:val="center"/>
        </w:trPr>
        <w:tc>
          <w:tcPr>
            <w:tcW w:w="0" w:type="auto"/>
            <w:gridSpan w:val="3"/>
            <w:shd w:val="clear" w:color="auto" w:fill="CCEEFF"/>
            <w:tcMar>
              <w:top w:w="30" w:type="dxa"/>
              <w:left w:w="125" w:type="dxa"/>
              <w:bottom w:w="30" w:type="dxa"/>
              <w:right w:w="20" w:type="dxa"/>
            </w:tcMar>
            <w:vAlign w:val="center"/>
            <w:hideMark/>
          </w:tcPr>
          <w:p w:rsidR="00000000" w:rsidRDefault="005B0BC3">
            <w:pPr>
              <w:spacing w:after="100"/>
              <w:rPr>
                <w:rFonts w:eastAsia="Times New Roman"/>
              </w:rPr>
            </w:pPr>
            <w:r>
              <w:rPr>
                <w:rFonts w:eastAsia="Times New Roman"/>
                <w:color w:val="000000"/>
                <w:sz w:val="20"/>
                <w:szCs w:val="20"/>
              </w:rPr>
              <w:t>1.0x to 1.2x</w:t>
            </w: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665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000000">
        <w:trPr>
          <w:divId w:val="798106100"/>
          <w:jc w:val="center"/>
        </w:trPr>
        <w:tc>
          <w:tcPr>
            <w:tcW w:w="0" w:type="auto"/>
            <w:gridSpan w:val="3"/>
            <w:shd w:val="clear" w:color="auto" w:fill="FFFFFF"/>
            <w:tcMar>
              <w:top w:w="30" w:type="dxa"/>
              <w:left w:w="125" w:type="dxa"/>
              <w:bottom w:w="30" w:type="dxa"/>
              <w:right w:w="20" w:type="dxa"/>
            </w:tcMar>
            <w:vAlign w:val="center"/>
            <w:hideMark/>
          </w:tcPr>
          <w:p w:rsidR="00000000" w:rsidRDefault="005B0BC3">
            <w:pPr>
              <w:spacing w:after="100"/>
              <w:rPr>
                <w:rFonts w:eastAsia="Times New Roman"/>
              </w:rPr>
            </w:pPr>
            <w:r>
              <w:rPr>
                <w:rFonts w:eastAsia="Times New Roman"/>
                <w:color w:val="000000"/>
                <w:sz w:val="20"/>
                <w:szCs w:val="20"/>
              </w:rPr>
              <w:t>Less than 1.0x</w:t>
            </w: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73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108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5B0BC3">
        <w:trPr>
          <w:divId w:val="798106100"/>
          <w:jc w:val="center"/>
        </w:trPr>
        <w:tc>
          <w:tcPr>
            <w:tcW w:w="0" w:type="auto"/>
            <w:gridSpan w:val="3"/>
            <w:shd w:val="clear" w:color="auto" w:fill="CCEEFF"/>
            <w:tcMar>
              <w:top w:w="30" w:type="dxa"/>
              <w:left w:w="26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commercial</w:t>
            </w: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2,157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1,570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819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1,253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1,065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4,587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11,451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000000">
        <w:trPr>
          <w:divId w:val="798106100"/>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798106100"/>
          <w:jc w:val="center"/>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Agricultural:</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5B0BC3">
        <w:trPr>
          <w:divId w:val="798106100"/>
          <w:jc w:val="center"/>
        </w:trPr>
        <w:tc>
          <w:tcPr>
            <w:tcW w:w="0" w:type="auto"/>
            <w:gridSpan w:val="3"/>
            <w:shd w:val="clear" w:color="auto" w:fill="FFFFFF"/>
            <w:tcMar>
              <w:top w:w="30" w:type="dxa"/>
              <w:left w:w="140" w:type="dxa"/>
              <w:bottom w:w="30" w:type="dxa"/>
              <w:right w:w="20" w:type="dxa"/>
            </w:tcMar>
            <w:hideMark/>
          </w:tcPr>
          <w:p w:rsidR="00000000" w:rsidRDefault="005B0BC3">
            <w:pPr>
              <w:spacing w:after="100"/>
              <w:rPr>
                <w:rFonts w:eastAsia="Times New Roman"/>
              </w:rPr>
            </w:pPr>
            <w:r>
              <w:rPr>
                <w:rFonts w:eastAsia="Times New Roman"/>
                <w:color w:val="000000"/>
                <w:sz w:val="20"/>
                <w:szCs w:val="20"/>
              </w:rPr>
              <w:t>Greater than 2.0x</w:t>
            </w:r>
          </w:p>
        </w:tc>
        <w:tc>
          <w:tcPr>
            <w:tcW w:w="0" w:type="auto"/>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49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394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000000">
        <w:trPr>
          <w:divId w:val="798106100"/>
          <w:jc w:val="center"/>
        </w:trPr>
        <w:tc>
          <w:tcPr>
            <w:tcW w:w="0" w:type="auto"/>
            <w:gridSpan w:val="3"/>
            <w:shd w:val="clear" w:color="auto" w:fill="CCEEFF"/>
            <w:tcMar>
              <w:top w:w="30" w:type="dxa"/>
              <w:left w:w="140" w:type="dxa"/>
              <w:bottom w:w="30" w:type="dxa"/>
              <w:right w:w="20" w:type="dxa"/>
            </w:tcMar>
            <w:hideMark/>
          </w:tcPr>
          <w:p w:rsidR="00000000" w:rsidRDefault="005B0BC3">
            <w:pPr>
              <w:spacing w:after="100"/>
              <w:rPr>
                <w:rFonts w:eastAsia="Times New Roman"/>
              </w:rPr>
            </w:pPr>
            <w:r>
              <w:rPr>
                <w:rFonts w:eastAsia="Times New Roman"/>
                <w:color w:val="000000"/>
                <w:sz w:val="20"/>
                <w:szCs w:val="20"/>
              </w:rPr>
              <w:t>1.8x to 2.0x</w:t>
            </w: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70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000000">
        <w:trPr>
          <w:divId w:val="798106100"/>
          <w:jc w:val="center"/>
        </w:trPr>
        <w:tc>
          <w:tcPr>
            <w:tcW w:w="0" w:type="auto"/>
            <w:gridSpan w:val="3"/>
            <w:shd w:val="clear" w:color="auto" w:fill="FFFFFF"/>
            <w:tcMar>
              <w:top w:w="30" w:type="dxa"/>
              <w:left w:w="140" w:type="dxa"/>
              <w:bottom w:w="30" w:type="dxa"/>
              <w:right w:w="20" w:type="dxa"/>
            </w:tcMar>
            <w:hideMark/>
          </w:tcPr>
          <w:p w:rsidR="00000000" w:rsidRDefault="005B0BC3">
            <w:pPr>
              <w:spacing w:after="100"/>
              <w:rPr>
                <w:rFonts w:eastAsia="Times New Roman"/>
              </w:rPr>
            </w:pPr>
            <w:r>
              <w:rPr>
                <w:rFonts w:eastAsia="Times New Roman"/>
                <w:color w:val="000000"/>
                <w:sz w:val="20"/>
                <w:szCs w:val="20"/>
              </w:rPr>
              <w:t>1.5x to 1.8x</w:t>
            </w: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440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000000">
        <w:trPr>
          <w:divId w:val="798106100"/>
          <w:jc w:val="center"/>
        </w:trPr>
        <w:tc>
          <w:tcPr>
            <w:tcW w:w="0" w:type="auto"/>
            <w:gridSpan w:val="3"/>
            <w:shd w:val="clear" w:color="auto" w:fill="CCEEFF"/>
            <w:tcMar>
              <w:top w:w="30" w:type="dxa"/>
              <w:left w:w="140" w:type="dxa"/>
              <w:bottom w:w="30" w:type="dxa"/>
              <w:right w:w="20" w:type="dxa"/>
            </w:tcMar>
            <w:hideMark/>
          </w:tcPr>
          <w:p w:rsidR="00000000" w:rsidRDefault="005B0BC3">
            <w:pPr>
              <w:spacing w:after="100"/>
              <w:rPr>
                <w:rFonts w:eastAsia="Times New Roman"/>
              </w:rPr>
            </w:pPr>
            <w:r>
              <w:rPr>
                <w:rFonts w:eastAsia="Times New Roman"/>
                <w:color w:val="000000"/>
                <w:sz w:val="20"/>
                <w:szCs w:val="20"/>
              </w:rPr>
              <w:t>1.2x to 1.5x</w:t>
            </w: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179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355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995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000000">
        <w:trPr>
          <w:divId w:val="798106100"/>
          <w:jc w:val="center"/>
        </w:trPr>
        <w:tc>
          <w:tcPr>
            <w:tcW w:w="0" w:type="auto"/>
            <w:gridSpan w:val="3"/>
            <w:shd w:val="clear" w:color="auto" w:fill="FFFFFF"/>
            <w:tcMar>
              <w:top w:w="30" w:type="dxa"/>
              <w:left w:w="140" w:type="dxa"/>
              <w:bottom w:w="30" w:type="dxa"/>
              <w:right w:w="20" w:type="dxa"/>
            </w:tcMar>
            <w:vAlign w:val="center"/>
            <w:hideMark/>
          </w:tcPr>
          <w:p w:rsidR="00000000" w:rsidRDefault="005B0BC3">
            <w:pPr>
              <w:spacing w:after="100"/>
              <w:rPr>
                <w:rFonts w:eastAsia="Times New Roman"/>
              </w:rPr>
            </w:pPr>
            <w:r>
              <w:rPr>
                <w:rFonts w:eastAsia="Times New Roman"/>
                <w:color w:val="000000"/>
                <w:sz w:val="20"/>
                <w:szCs w:val="20"/>
              </w:rPr>
              <w:t>1.0x to 1.2x</w:t>
            </w: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83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77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546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000000">
        <w:trPr>
          <w:divId w:val="798106100"/>
          <w:jc w:val="center"/>
        </w:trPr>
        <w:tc>
          <w:tcPr>
            <w:tcW w:w="0" w:type="auto"/>
            <w:gridSpan w:val="3"/>
            <w:shd w:val="clear" w:color="auto" w:fill="CCEEFF"/>
            <w:tcMar>
              <w:top w:w="30" w:type="dxa"/>
              <w:left w:w="140" w:type="dxa"/>
              <w:bottom w:w="30" w:type="dxa"/>
              <w:right w:w="20" w:type="dxa"/>
            </w:tcMar>
            <w:vAlign w:val="center"/>
            <w:hideMark/>
          </w:tcPr>
          <w:p w:rsidR="00000000" w:rsidRDefault="005B0BC3">
            <w:pPr>
              <w:spacing w:after="100"/>
              <w:rPr>
                <w:rFonts w:eastAsia="Times New Roman"/>
              </w:rPr>
            </w:pPr>
            <w:r>
              <w:rPr>
                <w:rFonts w:eastAsia="Times New Roman"/>
                <w:color w:val="000000"/>
                <w:sz w:val="20"/>
                <w:szCs w:val="20"/>
              </w:rPr>
              <w:t>Less than 1.0x</w:t>
            </w: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5B0BC3">
        <w:trPr>
          <w:divId w:val="798106100"/>
          <w:jc w:val="center"/>
        </w:trPr>
        <w:tc>
          <w:tcPr>
            <w:tcW w:w="0" w:type="auto"/>
            <w:gridSpan w:val="3"/>
            <w:shd w:val="clear" w:color="auto" w:fill="FFFFFF"/>
            <w:tcMar>
              <w:top w:w="30" w:type="dxa"/>
              <w:left w:w="26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agricultural</w:t>
            </w: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380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480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230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255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206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1,093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2,644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000000">
        <w:trPr>
          <w:divId w:val="798106100"/>
          <w:jc w:val="center"/>
        </w:trPr>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798106100"/>
          <w:jc w:val="center"/>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mortgage loans: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5B0BC3">
        <w:trPr>
          <w:divId w:val="798106100"/>
          <w:jc w:val="center"/>
        </w:trPr>
        <w:tc>
          <w:tcPr>
            <w:tcW w:w="0" w:type="auto"/>
            <w:gridSpan w:val="3"/>
            <w:shd w:val="clear" w:color="auto" w:fill="FFFFFF"/>
            <w:tcMar>
              <w:top w:w="30" w:type="dxa"/>
              <w:left w:w="140" w:type="dxa"/>
              <w:bottom w:w="30" w:type="dxa"/>
              <w:right w:w="20" w:type="dxa"/>
            </w:tcMar>
            <w:hideMark/>
          </w:tcPr>
          <w:p w:rsidR="00000000" w:rsidRDefault="005B0BC3">
            <w:pPr>
              <w:spacing w:after="100"/>
              <w:rPr>
                <w:rFonts w:eastAsia="Times New Roman"/>
              </w:rPr>
            </w:pPr>
            <w:r>
              <w:rPr>
                <w:rFonts w:eastAsia="Times New Roman"/>
                <w:color w:val="000000"/>
                <w:sz w:val="20"/>
                <w:szCs w:val="20"/>
              </w:rPr>
              <w:t>Greater than 2.0x</w:t>
            </w:r>
          </w:p>
        </w:tc>
        <w:tc>
          <w:tcPr>
            <w:tcW w:w="0" w:type="auto"/>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1,192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1,307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235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794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509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2,445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6,482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000000">
        <w:trPr>
          <w:divId w:val="798106100"/>
          <w:jc w:val="center"/>
        </w:trPr>
        <w:tc>
          <w:tcPr>
            <w:tcW w:w="0" w:type="auto"/>
            <w:gridSpan w:val="3"/>
            <w:shd w:val="clear" w:color="auto" w:fill="CCEEFF"/>
            <w:tcMar>
              <w:top w:w="30" w:type="dxa"/>
              <w:left w:w="140" w:type="dxa"/>
              <w:bottom w:w="30" w:type="dxa"/>
              <w:right w:w="20" w:type="dxa"/>
            </w:tcMar>
            <w:hideMark/>
          </w:tcPr>
          <w:p w:rsidR="00000000" w:rsidRDefault="005B0BC3">
            <w:pPr>
              <w:spacing w:after="100"/>
              <w:rPr>
                <w:rFonts w:eastAsia="Times New Roman"/>
              </w:rPr>
            </w:pPr>
            <w:r>
              <w:rPr>
                <w:rFonts w:eastAsia="Times New Roman"/>
                <w:color w:val="000000"/>
                <w:sz w:val="20"/>
                <w:szCs w:val="20"/>
              </w:rPr>
              <w:t>1.8x to 2.0x</w:t>
            </w: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442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1,361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000000">
        <w:trPr>
          <w:divId w:val="798106100"/>
          <w:jc w:val="center"/>
        </w:trPr>
        <w:tc>
          <w:tcPr>
            <w:tcW w:w="0" w:type="auto"/>
            <w:gridSpan w:val="3"/>
            <w:shd w:val="clear" w:color="auto" w:fill="FFFFFF"/>
            <w:tcMar>
              <w:top w:w="30" w:type="dxa"/>
              <w:left w:w="140" w:type="dxa"/>
              <w:bottom w:w="30" w:type="dxa"/>
              <w:right w:w="20" w:type="dxa"/>
            </w:tcMar>
            <w:hideMark/>
          </w:tcPr>
          <w:p w:rsidR="00000000" w:rsidRDefault="005B0BC3">
            <w:pPr>
              <w:spacing w:after="100"/>
              <w:rPr>
                <w:rFonts w:eastAsia="Times New Roman"/>
              </w:rPr>
            </w:pPr>
            <w:r>
              <w:rPr>
                <w:rFonts w:eastAsia="Times New Roman"/>
                <w:color w:val="000000"/>
                <w:sz w:val="20"/>
                <w:szCs w:val="20"/>
              </w:rPr>
              <w:t>1.5x to 1.8x</w:t>
            </w: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318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312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207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1,112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2,392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000000">
        <w:trPr>
          <w:divId w:val="798106100"/>
          <w:jc w:val="center"/>
        </w:trPr>
        <w:tc>
          <w:tcPr>
            <w:tcW w:w="0" w:type="auto"/>
            <w:gridSpan w:val="3"/>
            <w:shd w:val="clear" w:color="auto" w:fill="CCEEFF"/>
            <w:tcMar>
              <w:top w:w="30" w:type="dxa"/>
              <w:left w:w="140" w:type="dxa"/>
              <w:bottom w:w="30" w:type="dxa"/>
              <w:right w:w="20" w:type="dxa"/>
            </w:tcMar>
            <w:hideMark/>
          </w:tcPr>
          <w:p w:rsidR="00000000" w:rsidRDefault="005B0BC3">
            <w:pPr>
              <w:spacing w:after="100"/>
              <w:rPr>
                <w:rFonts w:eastAsia="Times New Roman"/>
              </w:rPr>
            </w:pPr>
            <w:r>
              <w:rPr>
                <w:rFonts w:eastAsia="Times New Roman"/>
                <w:color w:val="000000"/>
                <w:sz w:val="20"/>
                <w:szCs w:val="20"/>
              </w:rPr>
              <w:t>1.2x to 1.5x</w:t>
            </w: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425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187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325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1,056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2,484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000000">
        <w:trPr>
          <w:divId w:val="798106100"/>
          <w:jc w:val="center"/>
        </w:trPr>
        <w:tc>
          <w:tcPr>
            <w:tcW w:w="0" w:type="auto"/>
            <w:gridSpan w:val="3"/>
            <w:shd w:val="clear" w:color="auto" w:fill="FFFFFF"/>
            <w:tcMar>
              <w:top w:w="30" w:type="dxa"/>
              <w:left w:w="140" w:type="dxa"/>
              <w:bottom w:w="30" w:type="dxa"/>
              <w:right w:w="20" w:type="dxa"/>
            </w:tcMar>
            <w:vAlign w:val="center"/>
            <w:hideMark/>
          </w:tcPr>
          <w:p w:rsidR="00000000" w:rsidRDefault="005B0BC3">
            <w:pPr>
              <w:spacing w:after="100"/>
              <w:rPr>
                <w:rFonts w:eastAsia="Times New Roman"/>
              </w:rPr>
            </w:pPr>
            <w:r>
              <w:rPr>
                <w:rFonts w:eastAsia="Times New Roman"/>
                <w:color w:val="000000"/>
                <w:sz w:val="20"/>
                <w:szCs w:val="20"/>
              </w:rPr>
              <w:t>1.0x to 1.2x</w:t>
            </w: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365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83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54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513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1,211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000000">
        <w:trPr>
          <w:divId w:val="798106100"/>
          <w:jc w:val="center"/>
        </w:trPr>
        <w:tc>
          <w:tcPr>
            <w:tcW w:w="0" w:type="auto"/>
            <w:gridSpan w:val="3"/>
            <w:shd w:val="clear" w:color="auto" w:fill="CCEEFF"/>
            <w:tcMar>
              <w:top w:w="30" w:type="dxa"/>
              <w:left w:w="140" w:type="dxa"/>
              <w:bottom w:w="30" w:type="dxa"/>
              <w:right w:w="20" w:type="dxa"/>
            </w:tcMar>
            <w:vAlign w:val="center"/>
            <w:hideMark/>
          </w:tcPr>
          <w:p w:rsidR="00000000" w:rsidRDefault="005B0BC3">
            <w:pPr>
              <w:spacing w:after="100"/>
              <w:rPr>
                <w:rFonts w:eastAsia="Times New Roman"/>
              </w:rPr>
            </w:pPr>
            <w:r>
              <w:rPr>
                <w:rFonts w:eastAsia="Times New Roman"/>
                <w:color w:val="000000"/>
                <w:sz w:val="20"/>
                <w:szCs w:val="20"/>
              </w:rPr>
              <w:t>Less than 1.0x</w:t>
            </w: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165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5B0BC3">
        <w:trPr>
          <w:divId w:val="798106100"/>
          <w:jc w:val="center"/>
        </w:trPr>
        <w:tc>
          <w:tcPr>
            <w:tcW w:w="0" w:type="auto"/>
            <w:gridSpan w:val="3"/>
            <w:shd w:val="clear" w:color="auto" w:fill="FFFFFF"/>
            <w:tcMar>
              <w:top w:w="30" w:type="dxa"/>
              <w:left w:w="26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Total mortgage loans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2,537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2,050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1,049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1,508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1,271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5,680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20"/>
                <w:szCs w:val="20"/>
              </w:rPr>
              <w:t>14,095</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r>
    </w:tbl>
    <w:p w:rsidR="00000000" w:rsidRDefault="005B0BC3">
      <w:pPr>
        <w:ind w:hanging="270"/>
        <w:divId w:val="776372119"/>
        <w:rPr>
          <w:rFonts w:eastAsia="Times New Roman"/>
        </w:rPr>
      </w:pPr>
      <w:r>
        <w:rPr>
          <w:rFonts w:eastAsia="Times New Roman"/>
          <w:color w:val="000000"/>
          <w:sz w:val="18"/>
          <w:szCs w:val="18"/>
        </w:rPr>
        <w:t xml:space="preserve">______________ </w:t>
      </w:r>
    </w:p>
    <w:p w:rsidR="00000000" w:rsidRDefault="005B0BC3">
      <w:pPr>
        <w:jc w:val="center"/>
        <w:divId w:val="1805271285"/>
        <w:rPr>
          <w:rFonts w:eastAsia="Times New Roman"/>
        </w:rPr>
      </w:pPr>
    </w:p>
    <w:p w:rsidR="00000000" w:rsidRDefault="005B0BC3">
      <w:pPr>
        <w:jc w:val="center"/>
        <w:divId w:val="1805271285"/>
        <w:rPr>
          <w:rFonts w:eastAsia="Times New Roman"/>
        </w:rPr>
      </w:pPr>
      <w:r>
        <w:rPr>
          <w:rFonts w:eastAsia="Times New Roman"/>
          <w:color w:val="000000"/>
          <w:sz w:val="20"/>
          <w:szCs w:val="20"/>
        </w:rPr>
        <w:t>163</w:t>
      </w:r>
    </w:p>
    <w:p w:rsidR="00000000" w:rsidRDefault="005B0BC3">
      <w:pPr>
        <w:rPr>
          <w:rFonts w:eastAsia="Times New Roman"/>
        </w:rPr>
      </w:pPr>
      <w:r>
        <w:rPr>
          <w:rFonts w:eastAsia="Times New Roman"/>
        </w:rPr>
        <w:pict>
          <v:rect id="_x0000_i1201" style="width:0;height:1.5pt" o:hralign="center" o:hrstd="t" o:hr="t" fillcolor="#a0a0a0" stroked="f"/>
        </w:pict>
      </w:r>
    </w:p>
    <w:p w:rsidR="00000000" w:rsidRDefault="005B0BC3">
      <w:pPr>
        <w:jc w:val="center"/>
        <w:divId w:val="17661121"/>
        <w:rPr>
          <w:rFonts w:eastAsia="Times New Roman"/>
        </w:rPr>
      </w:pPr>
      <w:r>
        <w:rPr>
          <w:rFonts w:eastAsia="Times New Roman"/>
          <w:b/>
          <w:bCs/>
          <w:color w:val="000000"/>
          <w:sz w:val="20"/>
          <w:szCs w:val="20"/>
        </w:rPr>
        <w:t>EQUITABLE HOLDINGS, INC.</w:t>
      </w:r>
    </w:p>
    <w:p w:rsidR="00000000" w:rsidRDefault="005B0BC3">
      <w:pPr>
        <w:jc w:val="center"/>
        <w:divId w:val="17661121"/>
        <w:rPr>
          <w:rFonts w:eastAsia="Times New Roman"/>
        </w:rPr>
      </w:pPr>
      <w:r>
        <w:rPr>
          <w:rFonts w:eastAsia="Times New Roman"/>
          <w:b/>
          <w:bCs/>
          <w:color w:val="000000"/>
          <w:sz w:val="20"/>
          <w:szCs w:val="20"/>
        </w:rPr>
        <w:t>NOTES TO CONSOLIDATED FINANCIAL STATEMENTS, continued</w:t>
      </w:r>
    </w:p>
    <w:p w:rsidR="00000000" w:rsidRDefault="005B0BC3">
      <w:pPr>
        <w:ind w:hanging="270"/>
        <w:divId w:val="892697427"/>
        <w:rPr>
          <w:rFonts w:eastAsia="Times New Roman"/>
        </w:rPr>
      </w:pPr>
      <w:r>
        <w:rPr>
          <w:rFonts w:eastAsia="Times New Roman"/>
          <w:color w:val="000000"/>
          <w:sz w:val="18"/>
          <w:szCs w:val="18"/>
        </w:rPr>
        <w:t>(1)</w:t>
      </w:r>
      <w:r>
        <w:rPr>
          <w:rFonts w:eastAsia="Times New Roman"/>
          <w:color w:val="000000"/>
          <w:sz w:val="18"/>
          <w:szCs w:val="18"/>
        </w:rPr>
        <w:t>The LTV ratio is derived from current loan balance divided by the fair value of the property. The fair value of the underlying commercial properties is updated annually for each mortgage loan.</w:t>
      </w:r>
    </w:p>
    <w:p w:rsidR="00000000" w:rsidRDefault="005B0BC3">
      <w:pPr>
        <w:ind w:hanging="270"/>
        <w:divId w:val="1323044523"/>
        <w:rPr>
          <w:rFonts w:eastAsia="Times New Roman"/>
        </w:rPr>
      </w:pPr>
      <w:r>
        <w:rPr>
          <w:rFonts w:eastAsia="Times New Roman"/>
          <w:color w:val="000000"/>
          <w:sz w:val="18"/>
          <w:szCs w:val="18"/>
        </w:rPr>
        <w:t>(2)The DSC ratio is calculated using the most recently reported</w:t>
      </w:r>
      <w:r>
        <w:rPr>
          <w:rFonts w:eastAsia="Times New Roman"/>
          <w:color w:val="000000"/>
          <w:sz w:val="18"/>
          <w:szCs w:val="18"/>
        </w:rPr>
        <w:t xml:space="preserve"> operating income results from property operations divided by annual debt service.</w:t>
      </w:r>
    </w:p>
    <w:p w:rsidR="00000000" w:rsidRDefault="005B0BC3">
      <w:pPr>
        <w:jc w:val="center"/>
        <w:rPr>
          <w:rFonts w:eastAsia="Times New Roman"/>
        </w:rPr>
      </w:pPr>
      <w:r>
        <w:rPr>
          <w:rFonts w:eastAsia="Times New Roman"/>
          <w:b/>
          <w:bCs/>
          <w:color w:val="000000"/>
          <w:sz w:val="20"/>
          <w:szCs w:val="20"/>
        </w:rPr>
        <w:t>LTV Ratios (1)</w:t>
      </w:r>
    </w:p>
    <w:tbl>
      <w:tblPr>
        <w:tblW w:w="5000" w:type="pct"/>
        <w:jc w:val="center"/>
        <w:tblCellMar>
          <w:top w:w="15" w:type="dxa"/>
          <w:left w:w="15" w:type="dxa"/>
          <w:bottom w:w="15" w:type="dxa"/>
          <w:right w:w="15" w:type="dxa"/>
        </w:tblCellMar>
        <w:tblLook w:val="04A0" w:firstRow="1" w:lastRow="0" w:firstColumn="1" w:lastColumn="0" w:noHBand="0" w:noVBand="1"/>
      </w:tblPr>
      <w:tblGrid>
        <w:gridCol w:w="43"/>
        <w:gridCol w:w="2257"/>
        <w:gridCol w:w="38"/>
        <w:gridCol w:w="120"/>
        <w:gridCol w:w="643"/>
        <w:gridCol w:w="36"/>
        <w:gridCol w:w="36"/>
        <w:gridCol w:w="36"/>
        <w:gridCol w:w="36"/>
        <w:gridCol w:w="120"/>
        <w:gridCol w:w="597"/>
        <w:gridCol w:w="36"/>
        <w:gridCol w:w="36"/>
        <w:gridCol w:w="36"/>
        <w:gridCol w:w="36"/>
        <w:gridCol w:w="120"/>
        <w:gridCol w:w="597"/>
        <w:gridCol w:w="36"/>
        <w:gridCol w:w="36"/>
        <w:gridCol w:w="36"/>
        <w:gridCol w:w="36"/>
        <w:gridCol w:w="120"/>
        <w:gridCol w:w="597"/>
        <w:gridCol w:w="36"/>
        <w:gridCol w:w="36"/>
        <w:gridCol w:w="36"/>
        <w:gridCol w:w="36"/>
        <w:gridCol w:w="120"/>
        <w:gridCol w:w="597"/>
        <w:gridCol w:w="36"/>
        <w:gridCol w:w="36"/>
        <w:gridCol w:w="36"/>
        <w:gridCol w:w="36"/>
        <w:gridCol w:w="120"/>
        <w:gridCol w:w="597"/>
        <w:gridCol w:w="36"/>
        <w:gridCol w:w="36"/>
        <w:gridCol w:w="36"/>
        <w:gridCol w:w="36"/>
        <w:gridCol w:w="120"/>
        <w:gridCol w:w="600"/>
        <w:gridCol w:w="36"/>
      </w:tblGrid>
      <w:tr w:rsidR="00000000">
        <w:trPr>
          <w:divId w:val="242642894"/>
          <w:jc w:val="center"/>
        </w:trPr>
        <w:tc>
          <w:tcPr>
            <w:tcW w:w="50" w:type="pct"/>
            <w:vAlign w:val="center"/>
            <w:hideMark/>
          </w:tcPr>
          <w:p w:rsidR="00000000" w:rsidRDefault="005B0BC3">
            <w:pPr>
              <w:jc w:val="center"/>
              <w:rPr>
                <w:rFonts w:eastAsia="Times New Roman"/>
              </w:rPr>
            </w:pPr>
          </w:p>
        </w:tc>
        <w:tc>
          <w:tcPr>
            <w:tcW w:w="139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2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2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2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2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2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2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2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242642894"/>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9"/>
            <w:tcBorders>
              <w:bottom w:val="single" w:sz="8" w:space="0" w:color="000000"/>
            </w:tcBorders>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b/>
                <w:bCs/>
                <w:color w:val="000000"/>
                <w:sz w:val="16"/>
                <w:szCs w:val="16"/>
              </w:rPr>
              <w:t>December 31, 2020</w:t>
            </w:r>
          </w:p>
        </w:tc>
      </w:tr>
      <w:tr w:rsidR="00000000">
        <w:trPr>
          <w:divId w:val="242642894"/>
          <w:jc w:val="center"/>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Amortized Cost Basis by Origination Year</w:t>
            </w:r>
          </w:p>
        </w:tc>
      </w:tr>
      <w:tr w:rsidR="00000000">
        <w:trPr>
          <w:divId w:val="242642894"/>
          <w:jc w:val="center"/>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color w:val="000000"/>
                <w:sz w:val="16"/>
                <w:szCs w:val="16"/>
              </w:rPr>
              <w:t>2019</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color w:val="000000"/>
                <w:sz w:val="16"/>
                <w:szCs w:val="16"/>
              </w:rPr>
              <w:t>2018</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color w:val="000000"/>
                <w:sz w:val="16"/>
                <w:szCs w:val="16"/>
              </w:rPr>
              <w:t>2017</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color w:val="000000"/>
                <w:sz w:val="16"/>
                <w:szCs w:val="16"/>
              </w:rPr>
              <w:t>2016</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color w:val="000000"/>
                <w:sz w:val="16"/>
                <w:szCs w:val="16"/>
              </w:rPr>
              <w:t>Prior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color w:val="000000"/>
                <w:sz w:val="16"/>
                <w:szCs w:val="16"/>
              </w:rPr>
              <w:t>Total</w:t>
            </w:r>
          </w:p>
        </w:tc>
      </w:tr>
      <w:tr w:rsidR="00000000">
        <w:trPr>
          <w:divId w:val="242642894"/>
          <w:jc w:val="center"/>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9"/>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242642894"/>
          <w:jc w:val="center"/>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Mortgage loans:</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242642894"/>
          <w:jc w:val="center"/>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Commercial:</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5B0BC3">
        <w:trPr>
          <w:divId w:val="242642894"/>
          <w:jc w:val="center"/>
        </w:trPr>
        <w:tc>
          <w:tcPr>
            <w:tcW w:w="0" w:type="auto"/>
            <w:gridSpan w:val="3"/>
            <w:shd w:val="clear" w:color="auto" w:fill="CCEEFF"/>
            <w:tcMar>
              <w:top w:w="30" w:type="dxa"/>
              <w:left w:w="125" w:type="dxa"/>
              <w:bottom w:w="30" w:type="dxa"/>
              <w:right w:w="20" w:type="dxa"/>
            </w:tcMar>
            <w:hideMark/>
          </w:tcPr>
          <w:p w:rsidR="00000000" w:rsidRDefault="005B0BC3">
            <w:pPr>
              <w:spacing w:after="100"/>
              <w:rPr>
                <w:rFonts w:eastAsia="Times New Roman"/>
              </w:rPr>
            </w:pPr>
            <w:r>
              <w:rPr>
                <w:rFonts w:eastAsia="Times New Roman"/>
                <w:color w:val="000000"/>
                <w:sz w:val="20"/>
                <w:szCs w:val="20"/>
              </w:rPr>
              <w:t>0% - 50%</w:t>
            </w:r>
          </w:p>
        </w:tc>
        <w:tc>
          <w:tcPr>
            <w:tcW w:w="0" w:type="auto"/>
            <w:shd w:val="clear" w:color="auto" w:fill="CCEE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324 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187 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505 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1,016 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000000">
        <w:trPr>
          <w:divId w:val="242642894"/>
          <w:jc w:val="center"/>
        </w:trPr>
        <w:tc>
          <w:tcPr>
            <w:tcW w:w="0" w:type="auto"/>
            <w:gridSpan w:val="3"/>
            <w:shd w:val="clear" w:color="auto" w:fill="FFFFFF"/>
            <w:tcMar>
              <w:top w:w="30" w:type="dxa"/>
              <w:left w:w="125" w:type="dxa"/>
              <w:bottom w:w="30" w:type="dxa"/>
              <w:right w:w="20" w:type="dxa"/>
            </w:tcMar>
            <w:hideMark/>
          </w:tcPr>
          <w:p w:rsidR="00000000" w:rsidRDefault="005B0BC3">
            <w:pPr>
              <w:spacing w:after="100"/>
              <w:rPr>
                <w:rFonts w:eastAsia="Times New Roman"/>
              </w:rPr>
            </w:pPr>
            <w:r>
              <w:rPr>
                <w:rFonts w:eastAsia="Times New Roman"/>
                <w:color w:val="000000"/>
                <w:sz w:val="20"/>
                <w:szCs w:val="20"/>
              </w:rPr>
              <w:t>50% - 70%</w:t>
            </w: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1,294 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357 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803 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656 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2,190 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1,697 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6,997 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000000">
        <w:trPr>
          <w:divId w:val="242642894"/>
          <w:jc w:val="center"/>
        </w:trPr>
        <w:tc>
          <w:tcPr>
            <w:tcW w:w="0" w:type="auto"/>
            <w:gridSpan w:val="3"/>
            <w:shd w:val="clear" w:color="auto" w:fill="CCEEFF"/>
            <w:tcMar>
              <w:top w:w="30" w:type="dxa"/>
              <w:left w:w="125" w:type="dxa"/>
              <w:bottom w:w="30" w:type="dxa"/>
              <w:right w:w="20" w:type="dxa"/>
            </w:tcMar>
            <w:hideMark/>
          </w:tcPr>
          <w:p w:rsidR="00000000" w:rsidRDefault="005B0BC3">
            <w:pPr>
              <w:spacing w:after="100"/>
              <w:rPr>
                <w:rFonts w:eastAsia="Times New Roman"/>
              </w:rPr>
            </w:pPr>
            <w:r>
              <w:rPr>
                <w:rFonts w:eastAsia="Times New Roman"/>
                <w:color w:val="000000"/>
                <w:sz w:val="20"/>
                <w:szCs w:val="20"/>
              </w:rPr>
              <w:t>70% - 90%</w:t>
            </w: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321 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457 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452 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219 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203 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538 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2,190 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000000">
        <w:trPr>
          <w:divId w:val="242642894"/>
          <w:jc w:val="center"/>
        </w:trPr>
        <w:tc>
          <w:tcPr>
            <w:tcW w:w="0" w:type="auto"/>
            <w:gridSpan w:val="3"/>
            <w:shd w:val="clear" w:color="auto" w:fill="FFFFFF"/>
            <w:tcMar>
              <w:top w:w="30" w:type="dxa"/>
              <w:left w:w="125" w:type="dxa"/>
              <w:bottom w:w="30" w:type="dxa"/>
              <w:right w:w="20" w:type="dxa"/>
            </w:tcMar>
            <w:hideMark/>
          </w:tcPr>
          <w:p w:rsidR="00000000" w:rsidRDefault="005B0BC3">
            <w:pPr>
              <w:spacing w:after="100"/>
              <w:rPr>
                <w:rFonts w:eastAsia="Times New Roman"/>
              </w:rPr>
            </w:pPr>
            <w:r>
              <w:rPr>
                <w:rFonts w:eastAsia="Times New Roman"/>
                <w:color w:val="000000"/>
                <w:sz w:val="20"/>
                <w:szCs w:val="20"/>
              </w:rPr>
              <w:t>90% plus</w:t>
            </w: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288 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305 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5B0BC3">
        <w:trPr>
          <w:divId w:val="242642894"/>
          <w:jc w:val="center"/>
        </w:trPr>
        <w:tc>
          <w:tcPr>
            <w:tcW w:w="0" w:type="auto"/>
            <w:gridSpan w:val="3"/>
            <w:shd w:val="clear" w:color="auto" w:fill="CCEEFF"/>
            <w:tcMar>
              <w:top w:w="30" w:type="dxa"/>
              <w:left w:w="26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Total commercial</w:t>
            </w: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1,615 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814 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2,580 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3,028 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10,508 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42642894"/>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242642894"/>
          <w:jc w:val="center"/>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Agricultural:</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5B0BC3">
        <w:trPr>
          <w:divId w:val="242642894"/>
          <w:jc w:val="center"/>
        </w:trPr>
        <w:tc>
          <w:tcPr>
            <w:tcW w:w="0" w:type="auto"/>
            <w:gridSpan w:val="3"/>
            <w:shd w:val="clear" w:color="auto" w:fill="FFFFFF"/>
            <w:tcMar>
              <w:top w:w="30" w:type="dxa"/>
              <w:left w:w="125" w:type="dxa"/>
              <w:bottom w:w="30" w:type="dxa"/>
              <w:right w:w="20" w:type="dxa"/>
            </w:tcMar>
            <w:hideMark/>
          </w:tcPr>
          <w:p w:rsidR="00000000" w:rsidRDefault="005B0BC3">
            <w:pPr>
              <w:spacing w:after="100"/>
              <w:rPr>
                <w:rFonts w:eastAsia="Times New Roman"/>
              </w:rPr>
            </w:pPr>
            <w:r>
              <w:rPr>
                <w:rFonts w:eastAsia="Times New Roman"/>
                <w:color w:val="000000"/>
                <w:sz w:val="20"/>
                <w:szCs w:val="20"/>
              </w:rPr>
              <w:t>0% - 50%</w:t>
            </w:r>
          </w:p>
        </w:tc>
        <w:tc>
          <w:tcPr>
            <w:tcW w:w="0" w:type="auto"/>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218 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135 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169 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157 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236 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652 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1,567 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000000">
        <w:trPr>
          <w:divId w:val="242642894"/>
          <w:jc w:val="center"/>
        </w:trPr>
        <w:tc>
          <w:tcPr>
            <w:tcW w:w="0" w:type="auto"/>
            <w:gridSpan w:val="3"/>
            <w:shd w:val="clear" w:color="auto" w:fill="CCEEFF"/>
            <w:tcMar>
              <w:top w:w="30" w:type="dxa"/>
              <w:left w:w="125" w:type="dxa"/>
              <w:bottom w:w="30" w:type="dxa"/>
              <w:right w:w="20" w:type="dxa"/>
            </w:tcMar>
            <w:hideMark/>
          </w:tcPr>
          <w:p w:rsidR="00000000" w:rsidRDefault="005B0BC3">
            <w:pPr>
              <w:spacing w:after="100"/>
              <w:rPr>
                <w:rFonts w:eastAsia="Times New Roman"/>
              </w:rPr>
            </w:pPr>
            <w:r>
              <w:rPr>
                <w:rFonts w:eastAsia="Times New Roman"/>
                <w:color w:val="000000"/>
                <w:sz w:val="20"/>
                <w:szCs w:val="20"/>
              </w:rPr>
              <w:t>50% - 70%</w:t>
            </w: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277 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129 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161 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102 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124 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351 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1,144 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000000">
        <w:trPr>
          <w:divId w:val="242642894"/>
          <w:jc w:val="center"/>
        </w:trPr>
        <w:tc>
          <w:tcPr>
            <w:tcW w:w="0" w:type="auto"/>
            <w:gridSpan w:val="3"/>
            <w:shd w:val="clear" w:color="auto" w:fill="FFFFFF"/>
            <w:tcMar>
              <w:top w:w="30" w:type="dxa"/>
              <w:left w:w="125" w:type="dxa"/>
              <w:bottom w:w="30" w:type="dxa"/>
              <w:right w:w="20" w:type="dxa"/>
            </w:tcMar>
            <w:hideMark/>
          </w:tcPr>
          <w:p w:rsidR="00000000" w:rsidRDefault="005B0BC3">
            <w:pPr>
              <w:spacing w:after="100"/>
              <w:rPr>
                <w:rFonts w:eastAsia="Times New Roman"/>
              </w:rPr>
            </w:pPr>
            <w:r>
              <w:rPr>
                <w:rFonts w:eastAsia="Times New Roman"/>
                <w:color w:val="000000"/>
                <w:sz w:val="20"/>
                <w:szCs w:val="20"/>
              </w:rPr>
              <w:t>70% - 90%</w:t>
            </w: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000000">
        <w:trPr>
          <w:divId w:val="242642894"/>
          <w:jc w:val="center"/>
        </w:trPr>
        <w:tc>
          <w:tcPr>
            <w:tcW w:w="0" w:type="auto"/>
            <w:gridSpan w:val="3"/>
            <w:shd w:val="clear" w:color="auto" w:fill="CCEEFF"/>
            <w:tcMar>
              <w:top w:w="30" w:type="dxa"/>
              <w:left w:w="125" w:type="dxa"/>
              <w:bottom w:w="30" w:type="dxa"/>
              <w:right w:w="20" w:type="dxa"/>
            </w:tcMar>
            <w:hideMark/>
          </w:tcPr>
          <w:p w:rsidR="00000000" w:rsidRDefault="005B0BC3">
            <w:pPr>
              <w:spacing w:after="100"/>
              <w:rPr>
                <w:rFonts w:eastAsia="Times New Roman"/>
              </w:rPr>
            </w:pPr>
            <w:r>
              <w:rPr>
                <w:rFonts w:eastAsia="Times New Roman"/>
                <w:color w:val="000000"/>
                <w:sz w:val="20"/>
                <w:szCs w:val="20"/>
              </w:rPr>
              <w:t>90% plus</w:t>
            </w: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5B0BC3">
        <w:trPr>
          <w:divId w:val="242642894"/>
          <w:jc w:val="center"/>
        </w:trPr>
        <w:tc>
          <w:tcPr>
            <w:tcW w:w="0" w:type="auto"/>
            <w:gridSpan w:val="3"/>
            <w:shd w:val="clear" w:color="auto" w:fill="FFFFFF"/>
            <w:tcMar>
              <w:top w:w="30" w:type="dxa"/>
              <w:left w:w="26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Total agricultural</w:t>
            </w: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495 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264 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333 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259 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360 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1,021 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2,732 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000000">
        <w:trPr>
          <w:divId w:val="242642894"/>
          <w:jc w:val="center"/>
        </w:trPr>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242642894"/>
          <w:jc w:val="center"/>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mortgage loans: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5B0BC3">
        <w:trPr>
          <w:divId w:val="242642894"/>
          <w:jc w:val="center"/>
        </w:trPr>
        <w:tc>
          <w:tcPr>
            <w:tcW w:w="0" w:type="auto"/>
            <w:gridSpan w:val="3"/>
            <w:shd w:val="clear" w:color="auto" w:fill="FFFFFF"/>
            <w:tcMar>
              <w:top w:w="30" w:type="dxa"/>
              <w:left w:w="125" w:type="dxa"/>
              <w:bottom w:w="30" w:type="dxa"/>
              <w:right w:w="20" w:type="dxa"/>
            </w:tcMar>
            <w:hideMark/>
          </w:tcPr>
          <w:p w:rsidR="00000000" w:rsidRDefault="005B0BC3">
            <w:pPr>
              <w:spacing w:after="100"/>
              <w:rPr>
                <w:rFonts w:eastAsia="Times New Roman"/>
              </w:rPr>
            </w:pPr>
            <w:r>
              <w:rPr>
                <w:rFonts w:eastAsia="Times New Roman"/>
                <w:color w:val="000000"/>
                <w:sz w:val="20"/>
                <w:szCs w:val="20"/>
              </w:rPr>
              <w:t>0% - 50%</w:t>
            </w:r>
          </w:p>
        </w:tc>
        <w:tc>
          <w:tcPr>
            <w:tcW w:w="0" w:type="auto"/>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218 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135 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169 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481 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423 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1,157 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2,583 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000000">
        <w:trPr>
          <w:divId w:val="242642894"/>
          <w:jc w:val="center"/>
        </w:trPr>
        <w:tc>
          <w:tcPr>
            <w:tcW w:w="0" w:type="auto"/>
            <w:gridSpan w:val="3"/>
            <w:shd w:val="clear" w:color="auto" w:fill="CCEEFF"/>
            <w:tcMar>
              <w:top w:w="30" w:type="dxa"/>
              <w:left w:w="125" w:type="dxa"/>
              <w:bottom w:w="30" w:type="dxa"/>
              <w:right w:w="20" w:type="dxa"/>
            </w:tcMar>
            <w:hideMark/>
          </w:tcPr>
          <w:p w:rsidR="00000000" w:rsidRDefault="005B0BC3">
            <w:pPr>
              <w:spacing w:after="100"/>
              <w:rPr>
                <w:rFonts w:eastAsia="Times New Roman"/>
              </w:rPr>
            </w:pPr>
            <w:r>
              <w:rPr>
                <w:rFonts w:eastAsia="Times New Roman"/>
                <w:color w:val="000000"/>
                <w:sz w:val="20"/>
                <w:szCs w:val="20"/>
              </w:rPr>
              <w:t>50% - 70%</w:t>
            </w: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1,571 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486 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964 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758 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2,314 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2,048 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8,141 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000000">
        <w:trPr>
          <w:divId w:val="242642894"/>
          <w:jc w:val="center"/>
        </w:trPr>
        <w:tc>
          <w:tcPr>
            <w:tcW w:w="0" w:type="auto"/>
            <w:gridSpan w:val="3"/>
            <w:shd w:val="clear" w:color="auto" w:fill="FFFFFF"/>
            <w:tcMar>
              <w:top w:w="30" w:type="dxa"/>
              <w:left w:w="125" w:type="dxa"/>
              <w:bottom w:w="30" w:type="dxa"/>
              <w:right w:w="20" w:type="dxa"/>
            </w:tcMar>
            <w:hideMark/>
          </w:tcPr>
          <w:p w:rsidR="00000000" w:rsidRDefault="005B0BC3">
            <w:pPr>
              <w:spacing w:after="100"/>
              <w:rPr>
                <w:rFonts w:eastAsia="Times New Roman"/>
              </w:rPr>
            </w:pPr>
            <w:r>
              <w:rPr>
                <w:rFonts w:eastAsia="Times New Roman"/>
                <w:color w:val="000000"/>
                <w:sz w:val="20"/>
                <w:szCs w:val="20"/>
              </w:rPr>
              <w:t>70% - 90%</w:t>
            </w: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321 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457 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455 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219 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203 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556 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2,211 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000000">
        <w:trPr>
          <w:divId w:val="242642894"/>
          <w:jc w:val="center"/>
        </w:trPr>
        <w:tc>
          <w:tcPr>
            <w:tcW w:w="0" w:type="auto"/>
            <w:gridSpan w:val="3"/>
            <w:shd w:val="clear" w:color="auto" w:fill="CCEEFF"/>
            <w:tcMar>
              <w:top w:w="30" w:type="dxa"/>
              <w:left w:w="125" w:type="dxa"/>
              <w:bottom w:w="30" w:type="dxa"/>
              <w:right w:w="20" w:type="dxa"/>
            </w:tcMar>
            <w:hideMark/>
          </w:tcPr>
          <w:p w:rsidR="00000000" w:rsidRDefault="005B0BC3">
            <w:pPr>
              <w:spacing w:after="100"/>
              <w:rPr>
                <w:rFonts w:eastAsia="Times New Roman"/>
              </w:rPr>
            </w:pPr>
            <w:r>
              <w:rPr>
                <w:rFonts w:eastAsia="Times New Roman"/>
                <w:color w:val="000000"/>
                <w:sz w:val="20"/>
                <w:szCs w:val="20"/>
              </w:rPr>
              <w:t>90% plus</w:t>
            </w: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288 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305 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5B0BC3">
        <w:trPr>
          <w:divId w:val="242642894"/>
          <w:jc w:val="center"/>
        </w:trPr>
        <w:tc>
          <w:tcPr>
            <w:tcW w:w="0" w:type="auto"/>
            <w:gridSpan w:val="3"/>
            <w:shd w:val="clear" w:color="auto" w:fill="FFFFFF"/>
            <w:tcMar>
              <w:top w:w="30" w:type="dxa"/>
              <w:left w:w="26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Total mortgage loans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2,110 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1,078 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1,600 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1,463 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2,940 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4,049 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13,240 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r>
    </w:tbl>
    <w:p w:rsidR="00000000" w:rsidRDefault="005B0BC3">
      <w:pPr>
        <w:divId w:val="1847161224"/>
        <w:rPr>
          <w:rFonts w:eastAsia="Times New Roman"/>
        </w:rPr>
      </w:pPr>
    </w:p>
    <w:p w:rsidR="00000000" w:rsidRDefault="005B0BC3">
      <w:pPr>
        <w:divId w:val="286282917"/>
        <w:rPr>
          <w:rFonts w:eastAsia="Times New Roman"/>
        </w:rPr>
      </w:pPr>
    </w:p>
    <w:p w:rsidR="00000000" w:rsidRDefault="005B0BC3">
      <w:pPr>
        <w:jc w:val="center"/>
        <w:rPr>
          <w:rFonts w:eastAsia="Times New Roman"/>
        </w:rPr>
      </w:pPr>
      <w:r>
        <w:rPr>
          <w:rFonts w:eastAsia="Times New Roman"/>
          <w:b/>
          <w:bCs/>
          <w:color w:val="000000"/>
          <w:sz w:val="20"/>
          <w:szCs w:val="20"/>
        </w:rPr>
        <w:t>Debt Service Coverage Ratios (2)</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416"/>
        <w:gridCol w:w="38"/>
        <w:gridCol w:w="120"/>
        <w:gridCol w:w="617"/>
        <w:gridCol w:w="36"/>
        <w:gridCol w:w="36"/>
        <w:gridCol w:w="36"/>
        <w:gridCol w:w="36"/>
        <w:gridCol w:w="120"/>
        <w:gridCol w:w="570"/>
        <w:gridCol w:w="36"/>
        <w:gridCol w:w="36"/>
        <w:gridCol w:w="36"/>
        <w:gridCol w:w="36"/>
        <w:gridCol w:w="120"/>
        <w:gridCol w:w="571"/>
        <w:gridCol w:w="36"/>
        <w:gridCol w:w="36"/>
        <w:gridCol w:w="36"/>
        <w:gridCol w:w="36"/>
        <w:gridCol w:w="120"/>
        <w:gridCol w:w="571"/>
        <w:gridCol w:w="36"/>
        <w:gridCol w:w="36"/>
        <w:gridCol w:w="36"/>
        <w:gridCol w:w="36"/>
        <w:gridCol w:w="120"/>
        <w:gridCol w:w="571"/>
        <w:gridCol w:w="36"/>
        <w:gridCol w:w="36"/>
        <w:gridCol w:w="36"/>
        <w:gridCol w:w="36"/>
        <w:gridCol w:w="120"/>
        <w:gridCol w:w="572"/>
        <w:gridCol w:w="36"/>
        <w:gridCol w:w="36"/>
        <w:gridCol w:w="36"/>
        <w:gridCol w:w="36"/>
        <w:gridCol w:w="120"/>
        <w:gridCol w:w="600"/>
        <w:gridCol w:w="36"/>
      </w:tblGrid>
      <w:tr w:rsidR="00000000">
        <w:trPr>
          <w:divId w:val="1790468766"/>
          <w:jc w:val="center"/>
        </w:trPr>
        <w:tc>
          <w:tcPr>
            <w:tcW w:w="50" w:type="pct"/>
            <w:vAlign w:val="center"/>
            <w:hideMark/>
          </w:tcPr>
          <w:p w:rsidR="00000000" w:rsidRDefault="005B0BC3">
            <w:pPr>
              <w:jc w:val="center"/>
              <w:rPr>
                <w:rFonts w:eastAsia="Times New Roman"/>
              </w:rPr>
            </w:pPr>
          </w:p>
        </w:tc>
        <w:tc>
          <w:tcPr>
            <w:tcW w:w="149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0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0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0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0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0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0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1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790468766"/>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9"/>
            <w:tcBorders>
              <w:bottom w:val="single" w:sz="8" w:space="0" w:color="000000"/>
            </w:tcBorders>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b/>
                <w:bCs/>
                <w:color w:val="000000"/>
                <w:sz w:val="16"/>
                <w:szCs w:val="16"/>
              </w:rPr>
              <w:t>December 31, 2020</w:t>
            </w:r>
          </w:p>
        </w:tc>
      </w:tr>
      <w:tr w:rsidR="00000000">
        <w:trPr>
          <w:divId w:val="1790468766"/>
          <w:jc w:val="center"/>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9"/>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Amortized Cost Basis by Origination Year</w:t>
            </w:r>
          </w:p>
        </w:tc>
      </w:tr>
      <w:tr w:rsidR="00000000">
        <w:trPr>
          <w:divId w:val="1790468766"/>
          <w:jc w:val="center"/>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color w:val="000000"/>
                <w:sz w:val="16"/>
                <w:szCs w:val="16"/>
              </w:rPr>
              <w:t>2019</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color w:val="000000"/>
                <w:sz w:val="16"/>
                <w:szCs w:val="16"/>
              </w:rPr>
              <w:t>2018</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color w:val="000000"/>
                <w:sz w:val="16"/>
                <w:szCs w:val="16"/>
              </w:rPr>
              <w:t>2017</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color w:val="000000"/>
                <w:sz w:val="16"/>
                <w:szCs w:val="16"/>
              </w:rPr>
              <w:t>2016</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color w:val="000000"/>
                <w:sz w:val="16"/>
                <w:szCs w:val="16"/>
              </w:rPr>
              <w:t>Prior</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color w:val="000000"/>
                <w:sz w:val="16"/>
                <w:szCs w:val="16"/>
              </w:rPr>
              <w:t>Total</w:t>
            </w:r>
          </w:p>
        </w:tc>
      </w:tr>
      <w:tr w:rsidR="00000000">
        <w:trPr>
          <w:divId w:val="1790468766"/>
          <w:jc w:val="center"/>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9"/>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1790468766"/>
          <w:jc w:val="center"/>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Mortgage loans:</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790468766"/>
          <w:jc w:val="center"/>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Commercial:</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5B0BC3">
        <w:trPr>
          <w:divId w:val="1790468766"/>
          <w:jc w:val="center"/>
        </w:trPr>
        <w:tc>
          <w:tcPr>
            <w:tcW w:w="0" w:type="auto"/>
            <w:gridSpan w:val="3"/>
            <w:shd w:val="clear" w:color="auto" w:fill="CCEEFF"/>
            <w:tcMar>
              <w:top w:w="30" w:type="dxa"/>
              <w:left w:w="125" w:type="dxa"/>
              <w:bottom w:w="30" w:type="dxa"/>
              <w:right w:w="20" w:type="dxa"/>
            </w:tcMar>
            <w:hideMark/>
          </w:tcPr>
          <w:p w:rsidR="00000000" w:rsidRDefault="005B0BC3">
            <w:pPr>
              <w:spacing w:after="100"/>
              <w:rPr>
                <w:rFonts w:eastAsia="Times New Roman"/>
              </w:rPr>
            </w:pPr>
            <w:r>
              <w:rPr>
                <w:rFonts w:eastAsia="Times New Roman"/>
                <w:color w:val="000000"/>
                <w:sz w:val="20"/>
                <w:szCs w:val="20"/>
              </w:rPr>
              <w:t>Greater than 2.0x</w:t>
            </w:r>
          </w:p>
        </w:tc>
        <w:tc>
          <w:tcPr>
            <w:tcW w:w="0" w:type="auto"/>
            <w:shd w:val="clear" w:color="auto" w:fill="CCEE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1,230 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492 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772 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268 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1,959 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1,230 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5,951 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000000">
        <w:trPr>
          <w:divId w:val="1790468766"/>
          <w:jc w:val="center"/>
        </w:trPr>
        <w:tc>
          <w:tcPr>
            <w:tcW w:w="0" w:type="auto"/>
            <w:gridSpan w:val="3"/>
            <w:shd w:val="clear" w:color="auto" w:fill="FFFFFF"/>
            <w:tcMar>
              <w:top w:w="30" w:type="dxa"/>
              <w:left w:w="125" w:type="dxa"/>
              <w:bottom w:w="30" w:type="dxa"/>
              <w:right w:w="20" w:type="dxa"/>
            </w:tcMar>
            <w:hideMark/>
          </w:tcPr>
          <w:p w:rsidR="00000000" w:rsidRDefault="005B0BC3">
            <w:pPr>
              <w:spacing w:after="100"/>
              <w:rPr>
                <w:rFonts w:eastAsia="Times New Roman"/>
              </w:rPr>
            </w:pPr>
            <w:r>
              <w:rPr>
                <w:rFonts w:eastAsia="Times New Roman"/>
                <w:color w:val="000000"/>
                <w:sz w:val="20"/>
                <w:szCs w:val="20"/>
              </w:rPr>
              <w:t>1.8x to 2.0x</w:t>
            </w: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227 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83 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118 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378 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184 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329 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1,319 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000000">
        <w:trPr>
          <w:divId w:val="1790468766"/>
          <w:jc w:val="center"/>
        </w:trPr>
        <w:tc>
          <w:tcPr>
            <w:tcW w:w="0" w:type="auto"/>
            <w:gridSpan w:val="3"/>
            <w:shd w:val="clear" w:color="auto" w:fill="CCEEFF"/>
            <w:tcMar>
              <w:top w:w="30" w:type="dxa"/>
              <w:left w:w="125" w:type="dxa"/>
              <w:bottom w:w="30" w:type="dxa"/>
              <w:right w:w="20" w:type="dxa"/>
            </w:tcMar>
            <w:hideMark/>
          </w:tcPr>
          <w:p w:rsidR="00000000" w:rsidRDefault="005B0BC3">
            <w:pPr>
              <w:spacing w:after="100"/>
              <w:rPr>
                <w:rFonts w:eastAsia="Times New Roman"/>
              </w:rPr>
            </w:pPr>
            <w:r>
              <w:rPr>
                <w:rFonts w:eastAsia="Times New Roman"/>
                <w:color w:val="000000"/>
                <w:sz w:val="20"/>
                <w:szCs w:val="20"/>
              </w:rPr>
              <w:t>1.5x to 1.8x</w:t>
            </w: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98 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138 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187 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479 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437 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616 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1,955 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000000">
        <w:trPr>
          <w:divId w:val="1790468766"/>
          <w:jc w:val="center"/>
        </w:trPr>
        <w:tc>
          <w:tcPr>
            <w:tcW w:w="0" w:type="auto"/>
            <w:gridSpan w:val="3"/>
            <w:shd w:val="clear" w:color="auto" w:fill="FFFFFF"/>
            <w:tcMar>
              <w:top w:w="30" w:type="dxa"/>
              <w:left w:w="125" w:type="dxa"/>
              <w:bottom w:w="30" w:type="dxa"/>
              <w:right w:w="20" w:type="dxa"/>
            </w:tcMar>
            <w:hideMark/>
          </w:tcPr>
          <w:p w:rsidR="00000000" w:rsidRDefault="005B0BC3">
            <w:pPr>
              <w:spacing w:after="100"/>
              <w:rPr>
                <w:rFonts w:eastAsia="Times New Roman"/>
              </w:rPr>
            </w:pPr>
            <w:r>
              <w:rPr>
                <w:rFonts w:eastAsia="Times New Roman"/>
                <w:color w:val="000000"/>
                <w:sz w:val="20"/>
                <w:szCs w:val="20"/>
              </w:rPr>
              <w:t>1.2x to 1.5x</w:t>
            </w: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60 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57 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154 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79 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658 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1,008 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000000">
        <w:trPr>
          <w:divId w:val="1790468766"/>
          <w:jc w:val="center"/>
        </w:trPr>
        <w:tc>
          <w:tcPr>
            <w:tcW w:w="0" w:type="auto"/>
            <w:gridSpan w:val="3"/>
            <w:shd w:val="clear" w:color="auto" w:fill="CCEEFF"/>
            <w:tcMar>
              <w:top w:w="30" w:type="dxa"/>
              <w:left w:w="125" w:type="dxa"/>
              <w:bottom w:w="30" w:type="dxa"/>
              <w:right w:w="20" w:type="dxa"/>
            </w:tcMar>
            <w:vAlign w:val="center"/>
            <w:hideMark/>
          </w:tcPr>
          <w:p w:rsidR="00000000" w:rsidRDefault="005B0BC3">
            <w:pPr>
              <w:spacing w:after="100"/>
              <w:rPr>
                <w:rFonts w:eastAsia="Times New Roman"/>
              </w:rPr>
            </w:pPr>
            <w:r>
              <w:rPr>
                <w:rFonts w:eastAsia="Times New Roman"/>
                <w:color w:val="000000"/>
                <w:sz w:val="20"/>
                <w:szCs w:val="20"/>
              </w:rPr>
              <w:t>1.0x to 1.2x</w:t>
            </w: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44 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123 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167 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000000">
        <w:trPr>
          <w:divId w:val="1790468766"/>
          <w:jc w:val="center"/>
        </w:trPr>
        <w:tc>
          <w:tcPr>
            <w:tcW w:w="0" w:type="auto"/>
            <w:gridSpan w:val="3"/>
            <w:shd w:val="clear" w:color="auto" w:fill="FFFFFF"/>
            <w:tcMar>
              <w:top w:w="30" w:type="dxa"/>
              <w:left w:w="125" w:type="dxa"/>
              <w:bottom w:w="30" w:type="dxa"/>
              <w:right w:w="20" w:type="dxa"/>
            </w:tcMar>
            <w:vAlign w:val="center"/>
            <w:hideMark/>
          </w:tcPr>
          <w:p w:rsidR="00000000" w:rsidRDefault="005B0BC3">
            <w:pPr>
              <w:spacing w:after="100"/>
              <w:rPr>
                <w:rFonts w:eastAsia="Times New Roman"/>
              </w:rPr>
            </w:pPr>
            <w:r>
              <w:rPr>
                <w:rFonts w:eastAsia="Times New Roman"/>
                <w:color w:val="000000"/>
                <w:sz w:val="20"/>
                <w:szCs w:val="20"/>
              </w:rPr>
              <w:t>Less than 1.0x</w:t>
            </w: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72 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108 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5B0BC3">
        <w:trPr>
          <w:divId w:val="1790468766"/>
          <w:jc w:val="center"/>
        </w:trPr>
        <w:tc>
          <w:tcPr>
            <w:tcW w:w="0" w:type="auto"/>
            <w:gridSpan w:val="3"/>
            <w:shd w:val="clear" w:color="auto" w:fill="CCEEFF"/>
            <w:tcMar>
              <w:top w:w="30" w:type="dxa"/>
              <w:left w:w="26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commercial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1,615 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814 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1,267 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1,204 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2,580 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3,028 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10,508 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r>
    </w:tbl>
    <w:p w:rsidR="00000000" w:rsidRDefault="005B0BC3">
      <w:pPr>
        <w:jc w:val="center"/>
        <w:divId w:val="1884323672"/>
        <w:rPr>
          <w:rFonts w:eastAsia="Times New Roman"/>
        </w:rPr>
      </w:pPr>
    </w:p>
    <w:p w:rsidR="00000000" w:rsidRDefault="005B0BC3">
      <w:pPr>
        <w:jc w:val="center"/>
        <w:divId w:val="1884323672"/>
        <w:rPr>
          <w:rFonts w:eastAsia="Times New Roman"/>
        </w:rPr>
      </w:pPr>
      <w:r>
        <w:rPr>
          <w:rFonts w:eastAsia="Times New Roman"/>
          <w:color w:val="000000"/>
          <w:sz w:val="20"/>
          <w:szCs w:val="20"/>
        </w:rPr>
        <w:t>164</w:t>
      </w:r>
    </w:p>
    <w:p w:rsidR="00000000" w:rsidRDefault="005B0BC3">
      <w:pPr>
        <w:rPr>
          <w:rFonts w:eastAsia="Times New Roman"/>
        </w:rPr>
      </w:pPr>
      <w:r>
        <w:rPr>
          <w:rFonts w:eastAsia="Times New Roman"/>
        </w:rPr>
        <w:pict>
          <v:rect id="_x0000_i1202" style="width:0;height:1.5pt" o:hralign="center" o:hrstd="t" o:hr="t" fillcolor="#a0a0a0" stroked="f"/>
        </w:pict>
      </w:r>
    </w:p>
    <w:p w:rsidR="00000000" w:rsidRDefault="005B0BC3">
      <w:pPr>
        <w:jc w:val="center"/>
        <w:divId w:val="894704022"/>
        <w:rPr>
          <w:rFonts w:eastAsia="Times New Roman"/>
        </w:rPr>
      </w:pPr>
      <w:r>
        <w:rPr>
          <w:rFonts w:eastAsia="Times New Roman"/>
          <w:b/>
          <w:bCs/>
          <w:color w:val="000000"/>
          <w:sz w:val="20"/>
          <w:szCs w:val="20"/>
        </w:rPr>
        <w:t>EQUITABLE HOLDINGS, INC.</w:t>
      </w:r>
    </w:p>
    <w:p w:rsidR="00000000" w:rsidRDefault="005B0BC3">
      <w:pPr>
        <w:jc w:val="center"/>
        <w:divId w:val="894704022"/>
        <w:rPr>
          <w:rFonts w:eastAsia="Times New Roman"/>
        </w:rPr>
      </w:pPr>
      <w:r>
        <w:rPr>
          <w:rFonts w:eastAsia="Times New Roman"/>
          <w:b/>
          <w:bCs/>
          <w:color w:val="000000"/>
          <w:sz w:val="20"/>
          <w:szCs w:val="20"/>
        </w:rPr>
        <w:t>NOTES TO CONSOLIDATED FINANCIAL STATEMENTS, continued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417"/>
        <w:gridCol w:w="37"/>
        <w:gridCol w:w="120"/>
        <w:gridCol w:w="617"/>
        <w:gridCol w:w="36"/>
        <w:gridCol w:w="36"/>
        <w:gridCol w:w="36"/>
        <w:gridCol w:w="36"/>
        <w:gridCol w:w="120"/>
        <w:gridCol w:w="571"/>
        <w:gridCol w:w="36"/>
        <w:gridCol w:w="36"/>
        <w:gridCol w:w="36"/>
        <w:gridCol w:w="36"/>
        <w:gridCol w:w="120"/>
        <w:gridCol w:w="571"/>
        <w:gridCol w:w="36"/>
        <w:gridCol w:w="36"/>
        <w:gridCol w:w="36"/>
        <w:gridCol w:w="36"/>
        <w:gridCol w:w="120"/>
        <w:gridCol w:w="571"/>
        <w:gridCol w:w="36"/>
        <w:gridCol w:w="36"/>
        <w:gridCol w:w="36"/>
        <w:gridCol w:w="36"/>
        <w:gridCol w:w="120"/>
        <w:gridCol w:w="571"/>
        <w:gridCol w:w="36"/>
        <w:gridCol w:w="36"/>
        <w:gridCol w:w="36"/>
        <w:gridCol w:w="36"/>
        <w:gridCol w:w="120"/>
        <w:gridCol w:w="572"/>
        <w:gridCol w:w="36"/>
        <w:gridCol w:w="36"/>
        <w:gridCol w:w="36"/>
        <w:gridCol w:w="36"/>
        <w:gridCol w:w="120"/>
        <w:gridCol w:w="600"/>
        <w:gridCol w:w="36"/>
      </w:tblGrid>
      <w:tr w:rsidR="00000000">
        <w:trPr>
          <w:divId w:val="718281387"/>
          <w:jc w:val="center"/>
        </w:trPr>
        <w:tc>
          <w:tcPr>
            <w:tcW w:w="50" w:type="pct"/>
            <w:vAlign w:val="center"/>
            <w:hideMark/>
          </w:tcPr>
          <w:p w:rsidR="00000000" w:rsidRDefault="005B0BC3">
            <w:pPr>
              <w:jc w:val="center"/>
              <w:rPr>
                <w:rFonts w:eastAsia="Times New Roman"/>
              </w:rPr>
            </w:pPr>
          </w:p>
        </w:tc>
        <w:tc>
          <w:tcPr>
            <w:tcW w:w="149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0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0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0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0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0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0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1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718281387"/>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718281387"/>
          <w:jc w:val="center"/>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Agricultural:</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5B0BC3">
        <w:trPr>
          <w:divId w:val="718281387"/>
          <w:jc w:val="center"/>
        </w:trPr>
        <w:tc>
          <w:tcPr>
            <w:tcW w:w="0" w:type="auto"/>
            <w:gridSpan w:val="3"/>
            <w:shd w:val="clear" w:color="auto" w:fill="FFFFFF"/>
            <w:tcMar>
              <w:top w:w="30" w:type="dxa"/>
              <w:left w:w="140" w:type="dxa"/>
              <w:bottom w:w="30" w:type="dxa"/>
              <w:right w:w="20" w:type="dxa"/>
            </w:tcMar>
            <w:hideMark/>
          </w:tcPr>
          <w:p w:rsidR="00000000" w:rsidRDefault="005B0BC3">
            <w:pPr>
              <w:spacing w:after="100"/>
              <w:rPr>
                <w:rFonts w:eastAsia="Times New Roman"/>
              </w:rPr>
            </w:pPr>
            <w:r>
              <w:rPr>
                <w:rFonts w:eastAsia="Times New Roman"/>
                <w:color w:val="000000"/>
                <w:sz w:val="20"/>
                <w:szCs w:val="20"/>
              </w:rPr>
              <w:t>Greater than 2.0x</w:t>
            </w:r>
          </w:p>
        </w:tc>
        <w:tc>
          <w:tcPr>
            <w:tcW w:w="0" w:type="auto"/>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67 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38 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71 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167 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405 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000000">
        <w:trPr>
          <w:divId w:val="718281387"/>
          <w:jc w:val="center"/>
        </w:trPr>
        <w:tc>
          <w:tcPr>
            <w:tcW w:w="0" w:type="auto"/>
            <w:gridSpan w:val="3"/>
            <w:shd w:val="clear" w:color="auto" w:fill="CCEEFF"/>
            <w:tcMar>
              <w:top w:w="30" w:type="dxa"/>
              <w:left w:w="140" w:type="dxa"/>
              <w:bottom w:w="30" w:type="dxa"/>
              <w:right w:w="20" w:type="dxa"/>
            </w:tcMar>
            <w:hideMark/>
          </w:tcPr>
          <w:p w:rsidR="00000000" w:rsidRDefault="005B0BC3">
            <w:pPr>
              <w:spacing w:after="100"/>
              <w:rPr>
                <w:rFonts w:eastAsia="Times New Roman"/>
              </w:rPr>
            </w:pPr>
            <w:r>
              <w:rPr>
                <w:rFonts w:eastAsia="Times New Roman"/>
                <w:color w:val="000000"/>
                <w:sz w:val="20"/>
                <w:szCs w:val="20"/>
              </w:rPr>
              <w:t>1.8x to 2.0x</w:t>
            </w: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38 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35 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82 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204 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000000">
        <w:trPr>
          <w:divId w:val="718281387"/>
          <w:jc w:val="center"/>
        </w:trPr>
        <w:tc>
          <w:tcPr>
            <w:tcW w:w="0" w:type="auto"/>
            <w:gridSpan w:val="3"/>
            <w:shd w:val="clear" w:color="auto" w:fill="FFFFFF"/>
            <w:tcMar>
              <w:top w:w="30" w:type="dxa"/>
              <w:left w:w="140" w:type="dxa"/>
              <w:bottom w:w="30" w:type="dxa"/>
              <w:right w:w="20" w:type="dxa"/>
            </w:tcMar>
            <w:hideMark/>
          </w:tcPr>
          <w:p w:rsidR="00000000" w:rsidRDefault="005B0BC3">
            <w:pPr>
              <w:spacing w:after="100"/>
              <w:rPr>
                <w:rFonts w:eastAsia="Times New Roman"/>
              </w:rPr>
            </w:pPr>
            <w:r>
              <w:rPr>
                <w:rFonts w:eastAsia="Times New Roman"/>
                <w:color w:val="000000"/>
                <w:sz w:val="20"/>
                <w:szCs w:val="20"/>
              </w:rPr>
              <w:t>1.5x to 1.8x</w:t>
            </w: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117 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38 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45 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52 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209 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502 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000000">
        <w:trPr>
          <w:divId w:val="718281387"/>
          <w:jc w:val="center"/>
        </w:trPr>
        <w:tc>
          <w:tcPr>
            <w:tcW w:w="0" w:type="auto"/>
            <w:gridSpan w:val="3"/>
            <w:shd w:val="clear" w:color="auto" w:fill="CCEEFF"/>
            <w:tcMar>
              <w:top w:w="30" w:type="dxa"/>
              <w:left w:w="140" w:type="dxa"/>
              <w:bottom w:w="30" w:type="dxa"/>
              <w:right w:w="20" w:type="dxa"/>
            </w:tcMar>
            <w:hideMark/>
          </w:tcPr>
          <w:p w:rsidR="00000000" w:rsidRDefault="005B0BC3">
            <w:pPr>
              <w:spacing w:after="100"/>
              <w:rPr>
                <w:rFonts w:eastAsia="Times New Roman"/>
              </w:rPr>
            </w:pPr>
            <w:r>
              <w:rPr>
                <w:rFonts w:eastAsia="Times New Roman"/>
                <w:color w:val="000000"/>
                <w:sz w:val="20"/>
                <w:szCs w:val="20"/>
              </w:rPr>
              <w:t>1.2x to 1.5x</w:t>
            </w: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183 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120 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141 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90 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142 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313 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989 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000000">
        <w:trPr>
          <w:divId w:val="718281387"/>
          <w:jc w:val="center"/>
        </w:trPr>
        <w:tc>
          <w:tcPr>
            <w:tcW w:w="0" w:type="auto"/>
            <w:gridSpan w:val="3"/>
            <w:shd w:val="clear" w:color="auto" w:fill="FFFFFF"/>
            <w:tcMar>
              <w:top w:w="30" w:type="dxa"/>
              <w:left w:w="140" w:type="dxa"/>
              <w:bottom w:w="30" w:type="dxa"/>
              <w:right w:w="20" w:type="dxa"/>
            </w:tcMar>
            <w:vAlign w:val="center"/>
            <w:hideMark/>
          </w:tcPr>
          <w:p w:rsidR="00000000" w:rsidRDefault="005B0BC3">
            <w:pPr>
              <w:spacing w:after="100"/>
              <w:rPr>
                <w:rFonts w:eastAsia="Times New Roman"/>
              </w:rPr>
            </w:pPr>
            <w:r>
              <w:rPr>
                <w:rFonts w:eastAsia="Times New Roman"/>
                <w:color w:val="000000"/>
                <w:sz w:val="20"/>
                <w:szCs w:val="20"/>
              </w:rPr>
              <w:t>1.0x to 1.2x</w:t>
            </w: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86 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93 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70 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57 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233 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574 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000000">
        <w:trPr>
          <w:divId w:val="718281387"/>
          <w:jc w:val="center"/>
        </w:trPr>
        <w:tc>
          <w:tcPr>
            <w:tcW w:w="0" w:type="auto"/>
            <w:gridSpan w:val="3"/>
            <w:shd w:val="clear" w:color="auto" w:fill="CCEEFF"/>
            <w:tcMar>
              <w:top w:w="30" w:type="dxa"/>
              <w:left w:w="140" w:type="dxa"/>
              <w:bottom w:w="30" w:type="dxa"/>
              <w:right w:w="20" w:type="dxa"/>
            </w:tcMar>
            <w:vAlign w:val="center"/>
            <w:hideMark/>
          </w:tcPr>
          <w:p w:rsidR="00000000" w:rsidRDefault="005B0BC3">
            <w:pPr>
              <w:spacing w:after="100"/>
              <w:rPr>
                <w:rFonts w:eastAsia="Times New Roman"/>
              </w:rPr>
            </w:pPr>
            <w:r>
              <w:rPr>
                <w:rFonts w:eastAsia="Times New Roman"/>
                <w:color w:val="000000"/>
                <w:sz w:val="20"/>
                <w:szCs w:val="20"/>
              </w:rPr>
              <w:t>Less than 1.0x</w:t>
            </w: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58 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5B0BC3">
        <w:trPr>
          <w:divId w:val="718281387"/>
          <w:jc w:val="center"/>
        </w:trPr>
        <w:tc>
          <w:tcPr>
            <w:tcW w:w="0" w:type="auto"/>
            <w:gridSpan w:val="3"/>
            <w:shd w:val="clear" w:color="auto" w:fill="FFFFFF"/>
            <w:tcMar>
              <w:top w:w="30" w:type="dxa"/>
              <w:left w:w="26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agricultural</w:t>
            </w: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495 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264 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333 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259 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360 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1,021 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2,732 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000000">
        <w:trPr>
          <w:divId w:val="718281387"/>
          <w:jc w:val="center"/>
        </w:trPr>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718281387"/>
          <w:jc w:val="center"/>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mortgage loans: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5B0BC3">
        <w:trPr>
          <w:divId w:val="718281387"/>
          <w:jc w:val="center"/>
        </w:trPr>
        <w:tc>
          <w:tcPr>
            <w:tcW w:w="0" w:type="auto"/>
            <w:gridSpan w:val="3"/>
            <w:shd w:val="clear" w:color="auto" w:fill="FFFFFF"/>
            <w:tcMar>
              <w:top w:w="30" w:type="dxa"/>
              <w:left w:w="140" w:type="dxa"/>
              <w:bottom w:w="30" w:type="dxa"/>
              <w:right w:w="20" w:type="dxa"/>
            </w:tcMar>
            <w:hideMark/>
          </w:tcPr>
          <w:p w:rsidR="00000000" w:rsidRDefault="005B0BC3">
            <w:pPr>
              <w:spacing w:after="100"/>
              <w:rPr>
                <w:rFonts w:eastAsia="Times New Roman"/>
              </w:rPr>
            </w:pPr>
            <w:r>
              <w:rPr>
                <w:rFonts w:eastAsia="Times New Roman"/>
                <w:color w:val="000000"/>
                <w:sz w:val="20"/>
                <w:szCs w:val="20"/>
              </w:rPr>
              <w:t>Greater than 2.0x</w:t>
            </w:r>
          </w:p>
        </w:tc>
        <w:tc>
          <w:tcPr>
            <w:tcW w:w="0" w:type="auto"/>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1,297 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518 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808 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306 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2,030 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1,397 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6,356 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000000">
        <w:trPr>
          <w:divId w:val="718281387"/>
          <w:jc w:val="center"/>
        </w:trPr>
        <w:tc>
          <w:tcPr>
            <w:tcW w:w="0" w:type="auto"/>
            <w:gridSpan w:val="3"/>
            <w:shd w:val="clear" w:color="auto" w:fill="CCEEFF"/>
            <w:tcMar>
              <w:top w:w="30" w:type="dxa"/>
              <w:left w:w="140" w:type="dxa"/>
              <w:bottom w:w="30" w:type="dxa"/>
              <w:right w:w="20" w:type="dxa"/>
            </w:tcMar>
            <w:hideMark/>
          </w:tcPr>
          <w:p w:rsidR="00000000" w:rsidRDefault="005B0BC3">
            <w:pPr>
              <w:spacing w:after="100"/>
              <w:rPr>
                <w:rFonts w:eastAsia="Times New Roman"/>
              </w:rPr>
            </w:pPr>
            <w:r>
              <w:rPr>
                <w:rFonts w:eastAsia="Times New Roman"/>
                <w:color w:val="000000"/>
                <w:sz w:val="20"/>
                <w:szCs w:val="20"/>
              </w:rPr>
              <w:t>1.8x to 2.0x</w:t>
            </w: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265 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118 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132 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393 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204 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411 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1,523 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000000">
        <w:trPr>
          <w:divId w:val="718281387"/>
          <w:jc w:val="center"/>
        </w:trPr>
        <w:tc>
          <w:tcPr>
            <w:tcW w:w="0" w:type="auto"/>
            <w:gridSpan w:val="3"/>
            <w:shd w:val="clear" w:color="auto" w:fill="FFFFFF"/>
            <w:tcMar>
              <w:top w:w="30" w:type="dxa"/>
              <w:left w:w="140" w:type="dxa"/>
              <w:bottom w:w="30" w:type="dxa"/>
              <w:right w:w="20" w:type="dxa"/>
            </w:tcMar>
            <w:hideMark/>
          </w:tcPr>
          <w:p w:rsidR="00000000" w:rsidRDefault="005B0BC3">
            <w:pPr>
              <w:spacing w:after="100"/>
              <w:rPr>
                <w:rFonts w:eastAsia="Times New Roman"/>
              </w:rPr>
            </w:pPr>
            <w:r>
              <w:rPr>
                <w:rFonts w:eastAsia="Times New Roman"/>
                <w:color w:val="000000"/>
                <w:sz w:val="20"/>
                <w:szCs w:val="20"/>
              </w:rPr>
              <w:t>1.5x to 1.8x</w:t>
            </w: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215 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176 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228 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524 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489 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825 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2,457 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000000">
        <w:trPr>
          <w:divId w:val="718281387"/>
          <w:jc w:val="center"/>
        </w:trPr>
        <w:tc>
          <w:tcPr>
            <w:tcW w:w="0" w:type="auto"/>
            <w:gridSpan w:val="3"/>
            <w:shd w:val="clear" w:color="auto" w:fill="CCEEFF"/>
            <w:tcMar>
              <w:top w:w="30" w:type="dxa"/>
              <w:left w:w="140" w:type="dxa"/>
              <w:bottom w:w="30" w:type="dxa"/>
              <w:right w:w="20" w:type="dxa"/>
            </w:tcMar>
            <w:hideMark/>
          </w:tcPr>
          <w:p w:rsidR="00000000" w:rsidRDefault="005B0BC3">
            <w:pPr>
              <w:spacing w:after="100"/>
              <w:rPr>
                <w:rFonts w:eastAsia="Times New Roman"/>
              </w:rPr>
            </w:pPr>
            <w:r>
              <w:rPr>
                <w:rFonts w:eastAsia="Times New Roman"/>
                <w:color w:val="000000"/>
                <w:sz w:val="20"/>
                <w:szCs w:val="20"/>
              </w:rPr>
              <w:t>1.2x to 1.5x</w:t>
            </w: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243 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177 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295 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169 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142 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971 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1,997 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000000">
        <w:trPr>
          <w:divId w:val="718281387"/>
          <w:jc w:val="center"/>
        </w:trPr>
        <w:tc>
          <w:tcPr>
            <w:tcW w:w="0" w:type="auto"/>
            <w:gridSpan w:val="3"/>
            <w:shd w:val="clear" w:color="auto" w:fill="FFFFFF"/>
            <w:tcMar>
              <w:top w:w="30" w:type="dxa"/>
              <w:left w:w="140" w:type="dxa"/>
              <w:bottom w:w="30" w:type="dxa"/>
              <w:right w:w="20" w:type="dxa"/>
            </w:tcMar>
            <w:vAlign w:val="center"/>
            <w:hideMark/>
          </w:tcPr>
          <w:p w:rsidR="00000000" w:rsidRDefault="005B0BC3">
            <w:pPr>
              <w:spacing w:after="100"/>
              <w:rPr>
                <w:rFonts w:eastAsia="Times New Roman"/>
              </w:rPr>
            </w:pPr>
            <w:r>
              <w:rPr>
                <w:rFonts w:eastAsia="Times New Roman"/>
                <w:color w:val="000000"/>
                <w:sz w:val="20"/>
                <w:szCs w:val="20"/>
              </w:rPr>
              <w:t>1.0x to 1.2x</w:t>
            </w: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86 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79 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93 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70 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57 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356 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741 </w:t>
            </w:r>
          </w:p>
        </w:tc>
        <w:tc>
          <w:tcPr>
            <w:tcW w:w="0" w:type="auto"/>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000000">
        <w:trPr>
          <w:divId w:val="718281387"/>
          <w:jc w:val="center"/>
        </w:trPr>
        <w:tc>
          <w:tcPr>
            <w:tcW w:w="0" w:type="auto"/>
            <w:gridSpan w:val="3"/>
            <w:shd w:val="clear" w:color="auto" w:fill="CCEEFF"/>
            <w:tcMar>
              <w:top w:w="30" w:type="dxa"/>
              <w:left w:w="140" w:type="dxa"/>
              <w:bottom w:w="30" w:type="dxa"/>
              <w:right w:w="20" w:type="dxa"/>
            </w:tcMar>
            <w:vAlign w:val="center"/>
            <w:hideMark/>
          </w:tcPr>
          <w:p w:rsidR="00000000" w:rsidRDefault="005B0BC3">
            <w:pPr>
              <w:spacing w:after="100"/>
              <w:rPr>
                <w:rFonts w:eastAsia="Times New Roman"/>
              </w:rPr>
            </w:pPr>
            <w:r>
              <w:rPr>
                <w:rFonts w:eastAsia="Times New Roman"/>
                <w:color w:val="000000"/>
                <w:sz w:val="20"/>
                <w:szCs w:val="20"/>
              </w:rPr>
              <w:t>Less than 1.0x</w:t>
            </w: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44 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89 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166 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r>
      <w:tr w:rsidR="005B0BC3">
        <w:trPr>
          <w:divId w:val="718281387"/>
          <w:jc w:val="center"/>
        </w:trPr>
        <w:tc>
          <w:tcPr>
            <w:tcW w:w="0" w:type="auto"/>
            <w:gridSpan w:val="3"/>
            <w:shd w:val="clear" w:color="auto" w:fill="FFFFFF"/>
            <w:tcMar>
              <w:top w:w="30" w:type="dxa"/>
              <w:left w:w="26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mortgage loans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2,110 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1,078 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1,600 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1,463 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2,940 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4,049 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20"/>
                <w:szCs w:val="20"/>
              </w:rPr>
              <w:t>13,240 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r>
    </w:tbl>
    <w:p w:rsidR="00000000" w:rsidRDefault="005B0BC3">
      <w:pPr>
        <w:ind w:hanging="270"/>
        <w:divId w:val="658311688"/>
        <w:rPr>
          <w:rFonts w:eastAsia="Times New Roman"/>
        </w:rPr>
      </w:pPr>
      <w:r>
        <w:rPr>
          <w:rFonts w:eastAsia="Times New Roman"/>
          <w:color w:val="000000"/>
          <w:sz w:val="18"/>
          <w:szCs w:val="18"/>
        </w:rPr>
        <w:t xml:space="preserve">______________ </w:t>
      </w:r>
    </w:p>
    <w:p w:rsidR="00000000" w:rsidRDefault="005B0BC3">
      <w:pPr>
        <w:ind w:hanging="270"/>
        <w:divId w:val="1294679569"/>
        <w:rPr>
          <w:rFonts w:eastAsia="Times New Roman"/>
        </w:rPr>
      </w:pPr>
      <w:r>
        <w:rPr>
          <w:rFonts w:eastAsia="Times New Roman"/>
          <w:color w:val="000000"/>
          <w:sz w:val="18"/>
          <w:szCs w:val="18"/>
        </w:rPr>
        <w:t>(1)</w:t>
      </w:r>
      <w:r>
        <w:rPr>
          <w:rFonts w:eastAsia="Times New Roman"/>
          <w:color w:val="000000"/>
          <w:sz w:val="18"/>
          <w:szCs w:val="18"/>
        </w:rPr>
        <w:t>The LTV ratio is derived from current loan balance divided by the fair value of the property. The fair value of the underlying commercial properties is updated annually for each mortgage loan.</w:t>
      </w:r>
    </w:p>
    <w:p w:rsidR="00000000" w:rsidRDefault="005B0BC3">
      <w:pPr>
        <w:ind w:hanging="270"/>
        <w:divId w:val="543104461"/>
        <w:rPr>
          <w:rFonts w:eastAsia="Times New Roman"/>
        </w:rPr>
      </w:pPr>
      <w:r>
        <w:rPr>
          <w:rFonts w:eastAsia="Times New Roman"/>
          <w:color w:val="000000"/>
          <w:sz w:val="18"/>
          <w:szCs w:val="18"/>
        </w:rPr>
        <w:t>(2)The DSC ratio is calculated using the most recently reported</w:t>
      </w:r>
      <w:r>
        <w:rPr>
          <w:rFonts w:eastAsia="Times New Roman"/>
          <w:color w:val="000000"/>
          <w:sz w:val="18"/>
          <w:szCs w:val="18"/>
        </w:rPr>
        <w:t xml:space="preserve"> operating income results from property operations divided by annual debt service.</w:t>
      </w:r>
    </w:p>
    <w:p w:rsidR="00000000" w:rsidRDefault="005B0BC3">
      <w:pPr>
        <w:divId w:val="1403019864"/>
        <w:rPr>
          <w:rFonts w:eastAsia="Times New Roman"/>
        </w:rPr>
      </w:pPr>
      <w:r>
        <w:rPr>
          <w:rFonts w:eastAsia="Times New Roman"/>
          <w:color w:val="000000"/>
          <w:sz w:val="20"/>
          <w:szCs w:val="20"/>
          <w:u w:val="single"/>
        </w:rPr>
        <w:t>Past-Due and Nonaccrual Mortgage Loan Status</w:t>
      </w:r>
    </w:p>
    <w:p w:rsidR="00000000" w:rsidRDefault="005B0BC3">
      <w:pPr>
        <w:divId w:val="1751388095"/>
        <w:rPr>
          <w:rFonts w:eastAsia="Times New Roman"/>
        </w:rPr>
      </w:pPr>
      <w:r>
        <w:rPr>
          <w:rFonts w:eastAsia="Times New Roman"/>
          <w:color w:val="000000"/>
          <w:sz w:val="20"/>
          <w:szCs w:val="20"/>
        </w:rPr>
        <w:t>The following table provides information relating to the aging analysis of past-due mortgage loans as of December 31, 2021 and 2</w:t>
      </w:r>
      <w:r>
        <w:rPr>
          <w:rFonts w:eastAsia="Times New Roman"/>
          <w:color w:val="000000"/>
          <w:sz w:val="20"/>
          <w:szCs w:val="20"/>
        </w:rPr>
        <w:t>020, respectively.</w:t>
      </w:r>
    </w:p>
    <w:p w:rsidR="00000000" w:rsidRDefault="005B0BC3">
      <w:pPr>
        <w:jc w:val="center"/>
        <w:rPr>
          <w:rFonts w:eastAsia="Times New Roman"/>
        </w:rPr>
      </w:pPr>
      <w:r>
        <w:rPr>
          <w:rFonts w:eastAsia="Times New Roman"/>
          <w:b/>
          <w:bCs/>
          <w:color w:val="000000"/>
          <w:sz w:val="20"/>
          <w:szCs w:val="20"/>
        </w:rPr>
        <w:t>Age Analysis of Past Due Mortgage Loans (1)</w:t>
      </w:r>
    </w:p>
    <w:tbl>
      <w:tblPr>
        <w:tblW w:w="5000" w:type="pct"/>
        <w:tblCellMar>
          <w:top w:w="15" w:type="dxa"/>
          <w:left w:w="15" w:type="dxa"/>
          <w:bottom w:w="15" w:type="dxa"/>
          <w:right w:w="15" w:type="dxa"/>
        </w:tblCellMar>
        <w:tblLook w:val="04A0" w:firstRow="1" w:lastRow="0" w:firstColumn="1" w:lastColumn="0" w:noHBand="0" w:noVBand="1"/>
      </w:tblPr>
      <w:tblGrid>
        <w:gridCol w:w="46"/>
        <w:gridCol w:w="1114"/>
        <w:gridCol w:w="37"/>
        <w:gridCol w:w="120"/>
        <w:gridCol w:w="350"/>
        <w:gridCol w:w="36"/>
        <w:gridCol w:w="36"/>
        <w:gridCol w:w="36"/>
        <w:gridCol w:w="36"/>
        <w:gridCol w:w="120"/>
        <w:gridCol w:w="250"/>
        <w:gridCol w:w="36"/>
        <w:gridCol w:w="36"/>
        <w:gridCol w:w="36"/>
        <w:gridCol w:w="36"/>
        <w:gridCol w:w="121"/>
        <w:gridCol w:w="328"/>
        <w:gridCol w:w="36"/>
        <w:gridCol w:w="36"/>
        <w:gridCol w:w="36"/>
        <w:gridCol w:w="36"/>
        <w:gridCol w:w="120"/>
        <w:gridCol w:w="350"/>
        <w:gridCol w:w="36"/>
        <w:gridCol w:w="36"/>
        <w:gridCol w:w="36"/>
        <w:gridCol w:w="36"/>
        <w:gridCol w:w="120"/>
        <w:gridCol w:w="600"/>
        <w:gridCol w:w="36"/>
        <w:gridCol w:w="36"/>
        <w:gridCol w:w="36"/>
        <w:gridCol w:w="36"/>
        <w:gridCol w:w="120"/>
        <w:gridCol w:w="600"/>
        <w:gridCol w:w="36"/>
        <w:gridCol w:w="36"/>
        <w:gridCol w:w="36"/>
        <w:gridCol w:w="36"/>
        <w:gridCol w:w="121"/>
        <w:gridCol w:w="536"/>
        <w:gridCol w:w="36"/>
        <w:gridCol w:w="36"/>
        <w:gridCol w:w="36"/>
        <w:gridCol w:w="36"/>
        <w:gridCol w:w="120"/>
        <w:gridCol w:w="600"/>
        <w:gridCol w:w="36"/>
        <w:gridCol w:w="36"/>
        <w:gridCol w:w="36"/>
        <w:gridCol w:w="36"/>
        <w:gridCol w:w="121"/>
        <w:gridCol w:w="651"/>
        <w:gridCol w:w="36"/>
        <w:gridCol w:w="36"/>
        <w:gridCol w:w="36"/>
        <w:gridCol w:w="36"/>
        <w:gridCol w:w="121"/>
        <w:gridCol w:w="546"/>
        <w:gridCol w:w="36"/>
      </w:tblGrid>
      <w:tr w:rsidR="00000000">
        <w:trPr>
          <w:divId w:val="1210649102"/>
        </w:trPr>
        <w:tc>
          <w:tcPr>
            <w:tcW w:w="50" w:type="pct"/>
            <w:vAlign w:val="center"/>
            <w:hideMark/>
          </w:tcPr>
          <w:p w:rsidR="00000000" w:rsidRDefault="005B0BC3">
            <w:pPr>
              <w:jc w:val="center"/>
              <w:rPr>
                <w:rFonts w:eastAsia="Times New Roman"/>
              </w:rPr>
            </w:pPr>
          </w:p>
        </w:tc>
        <w:tc>
          <w:tcPr>
            <w:tcW w:w="121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20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20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20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21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4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4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29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4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5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3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210649102"/>
          <w:trHeight w:val="240"/>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Accruing Loans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Non-accruing Loans</w:t>
            </w:r>
          </w:p>
        </w:tc>
        <w:tc>
          <w:tcPr>
            <w:tcW w:w="0" w:type="auto"/>
            <w:gridSpan w:val="3"/>
            <w:vMerge w:val="restart"/>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Total Loans</w:t>
            </w:r>
          </w:p>
        </w:tc>
        <w:tc>
          <w:tcPr>
            <w:tcW w:w="0" w:type="auto"/>
            <w:gridSpan w:val="3"/>
            <w:vMerge w:val="restart"/>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Non-accrui</w:t>
            </w:r>
            <w:r>
              <w:rPr>
                <w:rFonts w:eastAsia="Times New Roman"/>
                <w:b/>
                <w:bCs/>
                <w:color w:val="000000"/>
                <w:sz w:val="16"/>
                <w:szCs w:val="16"/>
              </w:rPr>
              <w:t>ng Loans with No Allowance</w:t>
            </w:r>
          </w:p>
        </w:tc>
        <w:tc>
          <w:tcPr>
            <w:tcW w:w="0" w:type="auto"/>
            <w:gridSpan w:val="3"/>
            <w:vMerge w:val="restart"/>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vMerge w:val="restart"/>
            <w:tcBorders>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 xml:space="preserve">Interest Income on Non-accruing Loans </w:t>
            </w:r>
          </w:p>
        </w:tc>
      </w:tr>
      <w:tr w:rsidR="00000000">
        <w:trPr>
          <w:divId w:val="1210649102"/>
          <w:trHeight w:val="240"/>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Past Due</w:t>
            </w:r>
          </w:p>
        </w:tc>
        <w:tc>
          <w:tcPr>
            <w:tcW w:w="0" w:type="auto"/>
            <w:gridSpan w:val="3"/>
            <w:vMerge w:val="restart"/>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vMerge w:val="restart"/>
            <w:tcBorders>
              <w:top w:val="single" w:sz="4"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Current</w:t>
            </w:r>
          </w:p>
        </w:tc>
        <w:tc>
          <w:tcPr>
            <w:tcW w:w="0" w:type="auto"/>
            <w:gridSpan w:val="3"/>
            <w:vMerge w:val="restart"/>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vMerge w:val="restart"/>
            <w:tcBorders>
              <w:top w:val="single" w:sz="4"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Total</w:t>
            </w:r>
          </w:p>
        </w:tc>
        <w:tc>
          <w:tcPr>
            <w:tcW w:w="0" w:type="auto"/>
            <w:gridSpan w:val="3"/>
            <w:vMerge w:val="restart"/>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vMerge/>
            <w:tcBorders>
              <w:bottom w:val="single" w:sz="8" w:space="0" w:color="000000"/>
            </w:tcBorders>
            <w:vAlign w:val="center"/>
            <w:hideMark/>
          </w:tcPr>
          <w:p w:rsidR="00000000" w:rsidRDefault="005B0BC3">
            <w:pPr>
              <w:spacing w:after="100"/>
              <w:rPr>
                <w:rFonts w:eastAsia="Times New Roman"/>
              </w:rPr>
            </w:pPr>
          </w:p>
        </w:tc>
        <w:tc>
          <w:tcPr>
            <w:tcW w:w="0" w:type="auto"/>
            <w:gridSpan w:val="3"/>
            <w:vMerge/>
            <w:vAlign w:val="center"/>
            <w:hideMark/>
          </w:tcPr>
          <w:p w:rsidR="00000000" w:rsidRDefault="005B0BC3">
            <w:pPr>
              <w:spacing w:after="100"/>
              <w:rPr>
                <w:rFonts w:eastAsia="Times New Roman"/>
              </w:rPr>
            </w:pPr>
          </w:p>
        </w:tc>
        <w:tc>
          <w:tcPr>
            <w:tcW w:w="0" w:type="auto"/>
            <w:gridSpan w:val="3"/>
            <w:vMerge/>
            <w:tcBorders>
              <w:bottom w:val="single" w:sz="8" w:space="0" w:color="000000"/>
            </w:tcBorders>
            <w:vAlign w:val="center"/>
            <w:hideMark/>
          </w:tcPr>
          <w:p w:rsidR="00000000" w:rsidRDefault="005B0BC3">
            <w:pPr>
              <w:spacing w:after="100"/>
              <w:rPr>
                <w:rFonts w:eastAsia="Times New Roman"/>
              </w:rPr>
            </w:pPr>
          </w:p>
        </w:tc>
        <w:tc>
          <w:tcPr>
            <w:tcW w:w="0" w:type="auto"/>
            <w:gridSpan w:val="3"/>
            <w:vMerge/>
            <w:vAlign w:val="center"/>
            <w:hideMark/>
          </w:tcPr>
          <w:p w:rsidR="00000000" w:rsidRDefault="005B0BC3">
            <w:pPr>
              <w:spacing w:after="100"/>
              <w:rPr>
                <w:rFonts w:eastAsia="Times New Roman"/>
              </w:rPr>
            </w:pPr>
          </w:p>
        </w:tc>
        <w:tc>
          <w:tcPr>
            <w:tcW w:w="0" w:type="auto"/>
            <w:gridSpan w:val="3"/>
            <w:vMerge/>
            <w:tcBorders>
              <w:bottom w:val="single" w:sz="8" w:space="0" w:color="000000"/>
            </w:tcBorders>
            <w:vAlign w:val="center"/>
            <w:hideMark/>
          </w:tcPr>
          <w:p w:rsidR="00000000" w:rsidRDefault="005B0BC3">
            <w:pPr>
              <w:spacing w:after="100"/>
              <w:rPr>
                <w:rFonts w:eastAsia="Times New Roman"/>
              </w:rPr>
            </w:pPr>
          </w:p>
        </w:tc>
        <w:tc>
          <w:tcPr>
            <w:tcW w:w="0" w:type="auto"/>
            <w:gridSpan w:val="3"/>
            <w:vMerge/>
            <w:vAlign w:val="center"/>
            <w:hideMark/>
          </w:tcPr>
          <w:p w:rsidR="00000000" w:rsidRDefault="005B0BC3">
            <w:pPr>
              <w:spacing w:after="100"/>
              <w:rPr>
                <w:rFonts w:eastAsia="Times New Roman"/>
              </w:rPr>
            </w:pPr>
          </w:p>
        </w:tc>
        <w:tc>
          <w:tcPr>
            <w:tcW w:w="0" w:type="auto"/>
            <w:gridSpan w:val="3"/>
            <w:vMerge/>
            <w:tcBorders>
              <w:bottom w:val="single" w:sz="8" w:space="0" w:color="000000"/>
            </w:tcBorders>
            <w:vAlign w:val="center"/>
            <w:hideMark/>
          </w:tcPr>
          <w:p w:rsidR="00000000" w:rsidRDefault="005B0BC3">
            <w:pPr>
              <w:spacing w:after="100"/>
              <w:rPr>
                <w:rFonts w:eastAsia="Times New Roman"/>
              </w:rPr>
            </w:pPr>
          </w:p>
        </w:tc>
      </w:tr>
      <w:tr w:rsidR="00000000">
        <w:trPr>
          <w:divId w:val="1210649102"/>
          <w:trHeight w:val="760"/>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30-59 Days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60-89 Days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90 Days or More</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Total</w:t>
            </w:r>
          </w:p>
        </w:tc>
        <w:tc>
          <w:tcPr>
            <w:tcW w:w="0" w:type="auto"/>
            <w:gridSpan w:val="3"/>
            <w:vMerge/>
            <w:tcBorders>
              <w:top w:val="single" w:sz="4" w:space="0" w:color="000000"/>
            </w:tcBorders>
            <w:vAlign w:val="center"/>
            <w:hideMark/>
          </w:tcPr>
          <w:p w:rsidR="00000000" w:rsidRDefault="005B0BC3">
            <w:pPr>
              <w:spacing w:after="100"/>
              <w:rPr>
                <w:rFonts w:eastAsia="Times New Roman"/>
              </w:rPr>
            </w:pPr>
          </w:p>
        </w:tc>
        <w:tc>
          <w:tcPr>
            <w:tcW w:w="0" w:type="auto"/>
            <w:gridSpan w:val="3"/>
            <w:vMerge/>
            <w:tcBorders>
              <w:top w:val="single" w:sz="4" w:space="0" w:color="000000"/>
              <w:bottom w:val="single" w:sz="8" w:space="0" w:color="000000"/>
            </w:tcBorders>
            <w:vAlign w:val="center"/>
            <w:hideMark/>
          </w:tcPr>
          <w:p w:rsidR="00000000" w:rsidRDefault="005B0BC3">
            <w:pPr>
              <w:spacing w:after="100"/>
              <w:rPr>
                <w:rFonts w:eastAsia="Times New Roman"/>
              </w:rPr>
            </w:pPr>
          </w:p>
        </w:tc>
        <w:tc>
          <w:tcPr>
            <w:tcW w:w="0" w:type="auto"/>
            <w:gridSpan w:val="3"/>
            <w:vMerge/>
            <w:tcBorders>
              <w:top w:val="single" w:sz="4" w:space="0" w:color="000000"/>
            </w:tcBorders>
            <w:vAlign w:val="center"/>
            <w:hideMark/>
          </w:tcPr>
          <w:p w:rsidR="00000000" w:rsidRDefault="005B0BC3">
            <w:pPr>
              <w:spacing w:after="100"/>
              <w:rPr>
                <w:rFonts w:eastAsia="Times New Roman"/>
              </w:rPr>
            </w:pPr>
          </w:p>
        </w:tc>
        <w:tc>
          <w:tcPr>
            <w:tcW w:w="0" w:type="auto"/>
            <w:gridSpan w:val="3"/>
            <w:vMerge/>
            <w:tcBorders>
              <w:top w:val="single" w:sz="4" w:space="0" w:color="000000"/>
              <w:bottom w:val="single" w:sz="8" w:space="0" w:color="000000"/>
            </w:tcBorders>
            <w:vAlign w:val="center"/>
            <w:hideMark/>
          </w:tcPr>
          <w:p w:rsidR="00000000" w:rsidRDefault="005B0BC3">
            <w:pPr>
              <w:spacing w:after="100"/>
              <w:rPr>
                <w:rFonts w:eastAsia="Times New Roman"/>
              </w:rPr>
            </w:pPr>
          </w:p>
        </w:tc>
        <w:tc>
          <w:tcPr>
            <w:tcW w:w="0" w:type="auto"/>
            <w:gridSpan w:val="3"/>
            <w:vMerge/>
            <w:vAlign w:val="center"/>
            <w:hideMark/>
          </w:tcPr>
          <w:p w:rsidR="00000000" w:rsidRDefault="005B0BC3">
            <w:pPr>
              <w:spacing w:after="100"/>
              <w:rPr>
                <w:rFonts w:eastAsia="Times New Roman"/>
              </w:rPr>
            </w:pPr>
          </w:p>
        </w:tc>
        <w:tc>
          <w:tcPr>
            <w:tcW w:w="0" w:type="auto"/>
            <w:gridSpan w:val="3"/>
            <w:vMerge/>
            <w:tcBorders>
              <w:bottom w:val="single" w:sz="8" w:space="0" w:color="000000"/>
            </w:tcBorders>
            <w:vAlign w:val="center"/>
            <w:hideMark/>
          </w:tcPr>
          <w:p w:rsidR="00000000" w:rsidRDefault="005B0BC3">
            <w:pPr>
              <w:spacing w:after="100"/>
              <w:rPr>
                <w:rFonts w:eastAsia="Times New Roman"/>
              </w:rPr>
            </w:pPr>
          </w:p>
        </w:tc>
        <w:tc>
          <w:tcPr>
            <w:tcW w:w="0" w:type="auto"/>
            <w:gridSpan w:val="3"/>
            <w:vMerge/>
            <w:vAlign w:val="center"/>
            <w:hideMark/>
          </w:tcPr>
          <w:p w:rsidR="00000000" w:rsidRDefault="005B0BC3">
            <w:pPr>
              <w:spacing w:after="100"/>
              <w:rPr>
                <w:rFonts w:eastAsia="Times New Roman"/>
              </w:rPr>
            </w:pPr>
          </w:p>
        </w:tc>
        <w:tc>
          <w:tcPr>
            <w:tcW w:w="0" w:type="auto"/>
            <w:gridSpan w:val="3"/>
            <w:vMerge/>
            <w:tcBorders>
              <w:bottom w:val="single" w:sz="8" w:space="0" w:color="000000"/>
            </w:tcBorders>
            <w:vAlign w:val="center"/>
            <w:hideMark/>
          </w:tcPr>
          <w:p w:rsidR="00000000" w:rsidRDefault="005B0BC3">
            <w:pPr>
              <w:spacing w:after="100"/>
              <w:rPr>
                <w:rFonts w:eastAsia="Times New Roman"/>
              </w:rPr>
            </w:pPr>
          </w:p>
        </w:tc>
        <w:tc>
          <w:tcPr>
            <w:tcW w:w="0" w:type="auto"/>
            <w:gridSpan w:val="3"/>
            <w:vMerge/>
            <w:vAlign w:val="center"/>
            <w:hideMark/>
          </w:tcPr>
          <w:p w:rsidR="00000000" w:rsidRDefault="005B0BC3">
            <w:pPr>
              <w:spacing w:after="100"/>
              <w:rPr>
                <w:rFonts w:eastAsia="Times New Roman"/>
              </w:rPr>
            </w:pPr>
          </w:p>
        </w:tc>
        <w:tc>
          <w:tcPr>
            <w:tcW w:w="0" w:type="auto"/>
            <w:gridSpan w:val="3"/>
            <w:vMerge/>
            <w:tcBorders>
              <w:bottom w:val="single" w:sz="8" w:space="0" w:color="000000"/>
            </w:tcBorders>
            <w:vAlign w:val="center"/>
            <w:hideMark/>
          </w:tcPr>
          <w:p w:rsidR="00000000" w:rsidRDefault="005B0BC3">
            <w:pPr>
              <w:spacing w:after="100"/>
              <w:rPr>
                <w:rFonts w:eastAsia="Times New Roman"/>
              </w:rPr>
            </w:pPr>
          </w:p>
        </w:tc>
        <w:tc>
          <w:tcPr>
            <w:tcW w:w="0" w:type="auto"/>
            <w:gridSpan w:val="3"/>
            <w:vMerge/>
            <w:vAlign w:val="center"/>
            <w:hideMark/>
          </w:tcPr>
          <w:p w:rsidR="00000000" w:rsidRDefault="005B0BC3">
            <w:pPr>
              <w:spacing w:after="100"/>
              <w:rPr>
                <w:rFonts w:eastAsia="Times New Roman"/>
              </w:rPr>
            </w:pPr>
          </w:p>
        </w:tc>
        <w:tc>
          <w:tcPr>
            <w:tcW w:w="0" w:type="auto"/>
            <w:gridSpan w:val="3"/>
            <w:vMerge/>
            <w:tcBorders>
              <w:bottom w:val="single" w:sz="8" w:space="0" w:color="000000"/>
            </w:tcBorders>
            <w:vAlign w:val="center"/>
            <w:hideMark/>
          </w:tcPr>
          <w:p w:rsidR="00000000" w:rsidRDefault="005B0BC3">
            <w:pPr>
              <w:spacing w:after="100"/>
              <w:rPr>
                <w:rFonts w:eastAsia="Times New Roman"/>
              </w:rPr>
            </w:pPr>
          </w:p>
        </w:tc>
      </w:tr>
      <w:tr w:rsidR="00000000">
        <w:trPr>
          <w:divId w:val="1210649102"/>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57"/>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1210649102"/>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December 31, 2021:</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210649102"/>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Mortgage loans:</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5B0BC3">
        <w:trPr>
          <w:divId w:val="1210649102"/>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Commercial</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11,451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11,451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11,451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5B0BC3">
        <w:trPr>
          <w:divId w:val="1210649102"/>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Agricultural</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2,601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2,628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2,644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5B0BC3">
        <w:trPr>
          <w:divId w:val="1210649102"/>
        </w:trPr>
        <w:tc>
          <w:tcPr>
            <w:tcW w:w="0" w:type="auto"/>
            <w:gridSpan w:val="3"/>
            <w:shd w:val="clear" w:color="auto" w:fill="CCEE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Total</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27</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14,052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14,079</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14,095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210649102"/>
          <w:trHeight w:val="280"/>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210649102"/>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December 31, 2020:</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210649102"/>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Mortgage loans:</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5B0BC3">
        <w:trPr>
          <w:divId w:val="1210649102"/>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Commercial</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162 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162 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10,346 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10,508 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10,508 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5B0BC3">
        <w:trPr>
          <w:divId w:val="1210649102"/>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Agricultural</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2,620 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2,732 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2,732 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5B0BC3">
        <w:trPr>
          <w:divId w:val="1210649102"/>
        </w:trPr>
        <w:tc>
          <w:tcPr>
            <w:tcW w:w="0" w:type="auto"/>
            <w:gridSpan w:val="3"/>
            <w:shd w:val="clear" w:color="auto" w:fill="CCEE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Total</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238 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29 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274 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12,966 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13,240 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13,240 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ind w:hanging="270"/>
        <w:divId w:val="1406756484"/>
        <w:rPr>
          <w:rFonts w:eastAsia="Times New Roman"/>
        </w:rPr>
      </w:pPr>
      <w:r>
        <w:rPr>
          <w:rFonts w:eastAsia="Times New Roman"/>
          <w:color w:val="000000"/>
          <w:sz w:val="18"/>
          <w:szCs w:val="18"/>
        </w:rPr>
        <w:t>____________</w:t>
      </w:r>
      <w:r>
        <w:rPr>
          <w:rFonts w:eastAsia="Times New Roman"/>
          <w:color w:val="000000"/>
          <w:sz w:val="18"/>
          <w:szCs w:val="18"/>
        </w:rPr>
        <w:t>___</w:t>
      </w:r>
    </w:p>
    <w:p w:rsidR="00000000" w:rsidRDefault="005B0BC3">
      <w:pPr>
        <w:ind w:hanging="360"/>
        <w:divId w:val="229731348"/>
        <w:rPr>
          <w:rFonts w:eastAsia="Times New Roman"/>
        </w:rPr>
      </w:pPr>
      <w:r>
        <w:rPr>
          <w:rFonts w:eastAsia="Times New Roman"/>
          <w:color w:val="000000"/>
          <w:sz w:val="18"/>
          <w:szCs w:val="18"/>
        </w:rPr>
        <w:t xml:space="preserve">(1)Amounts presented at amortized cost basis. </w:t>
      </w:r>
    </w:p>
    <w:p w:rsidR="00000000" w:rsidRDefault="005B0BC3">
      <w:pPr>
        <w:divId w:val="1435708636"/>
        <w:rPr>
          <w:rFonts w:eastAsia="Times New Roman"/>
        </w:rPr>
      </w:pPr>
      <w:r>
        <w:rPr>
          <w:rFonts w:eastAsia="Times New Roman"/>
          <w:color w:val="000000"/>
          <w:sz w:val="20"/>
          <w:szCs w:val="20"/>
        </w:rPr>
        <w:t>As of December 31, 2021 and December 31, 2020, the carrying values of problem mortgage loans that had been classified as non-accrual loans were $14 million and $0 million, respectively.</w:t>
      </w:r>
    </w:p>
    <w:p w:rsidR="00000000" w:rsidRDefault="005B0BC3">
      <w:pPr>
        <w:divId w:val="453644492"/>
        <w:rPr>
          <w:rFonts w:eastAsia="Times New Roman"/>
        </w:rPr>
      </w:pPr>
      <w:r>
        <w:rPr>
          <w:rFonts w:eastAsia="Times New Roman"/>
          <w:color w:val="000000"/>
          <w:sz w:val="20"/>
          <w:szCs w:val="20"/>
          <w:u w:val="single"/>
        </w:rPr>
        <w:t>Troubled Debt Restr</w:t>
      </w:r>
      <w:r>
        <w:rPr>
          <w:rFonts w:eastAsia="Times New Roman"/>
          <w:color w:val="000000"/>
          <w:sz w:val="20"/>
          <w:szCs w:val="20"/>
          <w:u w:val="single"/>
        </w:rPr>
        <w:t>ucturing</w:t>
      </w:r>
    </w:p>
    <w:p w:rsidR="00000000" w:rsidRDefault="005B0BC3">
      <w:pPr>
        <w:jc w:val="center"/>
        <w:divId w:val="1699893523"/>
        <w:rPr>
          <w:rFonts w:eastAsia="Times New Roman"/>
        </w:rPr>
      </w:pPr>
    </w:p>
    <w:p w:rsidR="00000000" w:rsidRDefault="005B0BC3">
      <w:pPr>
        <w:jc w:val="center"/>
        <w:divId w:val="1699893523"/>
        <w:rPr>
          <w:rFonts w:eastAsia="Times New Roman"/>
        </w:rPr>
      </w:pPr>
      <w:r>
        <w:rPr>
          <w:rFonts w:eastAsia="Times New Roman"/>
          <w:color w:val="000000"/>
          <w:sz w:val="20"/>
          <w:szCs w:val="20"/>
        </w:rPr>
        <w:t>165</w:t>
      </w:r>
    </w:p>
    <w:p w:rsidR="00000000" w:rsidRDefault="005B0BC3">
      <w:pPr>
        <w:rPr>
          <w:rFonts w:eastAsia="Times New Roman"/>
        </w:rPr>
      </w:pPr>
      <w:r>
        <w:rPr>
          <w:rFonts w:eastAsia="Times New Roman"/>
        </w:rPr>
        <w:pict>
          <v:rect id="_x0000_i1203" style="width:0;height:1.5pt" o:hralign="center" o:hrstd="t" o:hr="t" fillcolor="#a0a0a0" stroked="f"/>
        </w:pict>
      </w:r>
    </w:p>
    <w:p w:rsidR="00000000" w:rsidRDefault="005B0BC3">
      <w:pPr>
        <w:jc w:val="center"/>
        <w:divId w:val="1453478479"/>
        <w:rPr>
          <w:rFonts w:eastAsia="Times New Roman"/>
        </w:rPr>
      </w:pPr>
      <w:r>
        <w:rPr>
          <w:rFonts w:eastAsia="Times New Roman"/>
          <w:b/>
          <w:bCs/>
          <w:color w:val="000000"/>
          <w:sz w:val="20"/>
          <w:szCs w:val="20"/>
        </w:rPr>
        <w:t>EQUITABLE HOLDINGS, INC.</w:t>
      </w:r>
    </w:p>
    <w:p w:rsidR="00000000" w:rsidRDefault="005B0BC3">
      <w:pPr>
        <w:jc w:val="center"/>
        <w:divId w:val="1453478479"/>
        <w:rPr>
          <w:rFonts w:eastAsia="Times New Roman"/>
        </w:rPr>
      </w:pPr>
      <w:r>
        <w:rPr>
          <w:rFonts w:eastAsia="Times New Roman"/>
          <w:b/>
          <w:bCs/>
          <w:color w:val="000000"/>
          <w:sz w:val="20"/>
          <w:szCs w:val="20"/>
        </w:rPr>
        <w:t>NOTES TO CONSOLIDATED FINANCIAL STATEMENTS, continued</w:t>
      </w:r>
    </w:p>
    <w:p w:rsidR="00000000" w:rsidRDefault="005B0BC3">
      <w:pPr>
        <w:divId w:val="1120104836"/>
        <w:rPr>
          <w:rFonts w:eastAsia="Times New Roman"/>
        </w:rPr>
      </w:pPr>
      <w:r>
        <w:rPr>
          <w:rFonts w:eastAsia="Times New Roman"/>
          <w:color w:val="000000"/>
          <w:sz w:val="20"/>
          <w:szCs w:val="20"/>
        </w:rPr>
        <w:t xml:space="preserve">During the years ended December 31, 2021 and 2020, the Company identified an immaterial amount of TDRs. </w:t>
      </w:r>
    </w:p>
    <w:p w:rsidR="00000000" w:rsidRDefault="005B0BC3">
      <w:pPr>
        <w:divId w:val="277610656"/>
        <w:rPr>
          <w:rFonts w:eastAsia="Times New Roman"/>
        </w:rPr>
      </w:pPr>
      <w:r>
        <w:rPr>
          <w:rFonts w:eastAsia="Times New Roman"/>
          <w:color w:val="000000"/>
          <w:sz w:val="20"/>
          <w:szCs w:val="20"/>
          <w:u w:val="single"/>
        </w:rPr>
        <w:t>Equity Securities</w:t>
      </w:r>
    </w:p>
    <w:p w:rsidR="00000000" w:rsidRDefault="005B0BC3">
      <w:pPr>
        <w:divId w:val="287206376"/>
        <w:rPr>
          <w:rFonts w:eastAsia="Times New Roman"/>
        </w:rPr>
      </w:pPr>
      <w:r>
        <w:rPr>
          <w:rFonts w:eastAsia="Times New Roman"/>
          <w:color w:val="000000"/>
          <w:sz w:val="20"/>
          <w:szCs w:val="20"/>
        </w:rPr>
        <w:t>Th</w:t>
      </w:r>
      <w:r>
        <w:rPr>
          <w:rFonts w:eastAsia="Times New Roman"/>
          <w:color w:val="000000"/>
          <w:sz w:val="20"/>
          <w:szCs w:val="20"/>
        </w:rPr>
        <w:t>e table below presents a breakdown of unrealized and realized gains and (losses) on equity securities during the year ended December 31, 2021.</w:t>
      </w:r>
    </w:p>
    <w:p w:rsidR="00000000" w:rsidRDefault="005B0BC3">
      <w:pPr>
        <w:jc w:val="center"/>
        <w:rPr>
          <w:rFonts w:eastAsia="Times New Roman"/>
        </w:rPr>
      </w:pPr>
      <w:r>
        <w:rPr>
          <w:rFonts w:eastAsia="Times New Roman"/>
          <w:b/>
          <w:bCs/>
          <w:color w:val="000000"/>
          <w:sz w:val="20"/>
          <w:szCs w:val="20"/>
        </w:rPr>
        <w:t>Unrealized and Realized Gains (Losses) from Equity Securities (1)</w:t>
      </w:r>
    </w:p>
    <w:tbl>
      <w:tblPr>
        <w:tblW w:w="4868" w:type="pct"/>
        <w:tblCellMar>
          <w:top w:w="15" w:type="dxa"/>
          <w:left w:w="15" w:type="dxa"/>
          <w:bottom w:w="15" w:type="dxa"/>
          <w:right w:w="15" w:type="dxa"/>
        </w:tblCellMar>
        <w:tblLook w:val="04A0" w:firstRow="1" w:lastRow="0" w:firstColumn="1" w:lastColumn="0" w:noHBand="0" w:noVBand="1"/>
      </w:tblPr>
      <w:tblGrid>
        <w:gridCol w:w="42"/>
        <w:gridCol w:w="6491"/>
        <w:gridCol w:w="36"/>
        <w:gridCol w:w="36"/>
        <w:gridCol w:w="36"/>
        <w:gridCol w:w="36"/>
        <w:gridCol w:w="121"/>
        <w:gridCol w:w="929"/>
        <w:gridCol w:w="36"/>
        <w:gridCol w:w="36"/>
        <w:gridCol w:w="36"/>
        <w:gridCol w:w="36"/>
        <w:gridCol w:w="36"/>
        <w:gridCol w:w="36"/>
        <w:gridCol w:w="36"/>
        <w:gridCol w:w="36"/>
        <w:gridCol w:w="36"/>
        <w:gridCol w:w="36"/>
      </w:tblGrid>
      <w:tr w:rsidR="00000000">
        <w:trPr>
          <w:divId w:val="1602181097"/>
        </w:trPr>
        <w:tc>
          <w:tcPr>
            <w:tcW w:w="50" w:type="pct"/>
            <w:vAlign w:val="center"/>
            <w:hideMark/>
          </w:tcPr>
          <w:p w:rsidR="00000000" w:rsidRDefault="005B0BC3">
            <w:pPr>
              <w:jc w:val="center"/>
              <w:rPr>
                <w:rFonts w:eastAsia="Times New Roman"/>
              </w:rPr>
            </w:pPr>
          </w:p>
        </w:tc>
        <w:tc>
          <w:tcPr>
            <w:tcW w:w="426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602181097"/>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602181097"/>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vAlign w:val="center"/>
            <w:hideMark/>
          </w:tcPr>
          <w:p w:rsidR="00000000" w:rsidRDefault="005B0BC3">
            <w:pPr>
              <w:spacing w:after="100"/>
              <w:jc w:val="center"/>
              <w:rPr>
                <w:rFonts w:eastAsia="Times New Roman"/>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602181097"/>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602181097"/>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Net investment gains (losses) recognized during the period on securities held at the end of the period</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(19)</w:t>
            </w:r>
          </w:p>
        </w:tc>
        <w:tc>
          <w:tcPr>
            <w:tcW w:w="0" w:type="auto"/>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602181097"/>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Net investment gains (losses) recognized on equity securities sold during the period</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602181097"/>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xml:space="preserve">Unrealized and realized gains (losses) on equity securities </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26</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602181097"/>
        </w:trPr>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602181097"/>
        </w:trPr>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bl>
    <w:p w:rsidR="00000000" w:rsidRDefault="005B0BC3">
      <w:pPr>
        <w:ind w:hanging="360"/>
        <w:divId w:val="760569834"/>
        <w:rPr>
          <w:rFonts w:eastAsia="Times New Roman"/>
        </w:rPr>
      </w:pPr>
      <w:r>
        <w:rPr>
          <w:rFonts w:eastAsia="Times New Roman"/>
          <w:color w:val="000000"/>
          <w:sz w:val="18"/>
          <w:szCs w:val="18"/>
        </w:rPr>
        <w:t>______________</w:t>
      </w:r>
    </w:p>
    <w:p w:rsidR="00000000" w:rsidRDefault="005B0BC3">
      <w:pPr>
        <w:ind w:hanging="360"/>
        <w:divId w:val="1049570430"/>
        <w:rPr>
          <w:rFonts w:eastAsia="Times New Roman"/>
        </w:rPr>
      </w:pPr>
      <w:r>
        <w:rPr>
          <w:rFonts w:eastAsia="Times New Roman"/>
          <w:color w:val="000000"/>
          <w:sz w:val="18"/>
          <w:szCs w:val="18"/>
        </w:rPr>
        <w:t>(1)</w:t>
      </w:r>
      <w:r>
        <w:rPr>
          <w:rFonts w:eastAsia="Times New Roman"/>
          <w:color w:val="000000"/>
          <w:sz w:val="18"/>
          <w:szCs w:val="18"/>
        </w:rPr>
        <w:t>Effective January 1, 2021, certain preferred stock have been reclassified to other equity investments (see Note 2 of the Notes to these Consolidated Financial Statements- Investments).</w:t>
      </w:r>
    </w:p>
    <w:p w:rsidR="00000000" w:rsidRDefault="005B0BC3">
      <w:pPr>
        <w:divId w:val="1889685237"/>
        <w:rPr>
          <w:rFonts w:eastAsia="Times New Roman"/>
        </w:rPr>
      </w:pPr>
      <w:r>
        <w:rPr>
          <w:rFonts w:eastAsia="Times New Roman"/>
          <w:color w:val="000000"/>
          <w:sz w:val="20"/>
          <w:szCs w:val="20"/>
          <w:u w:val="single"/>
        </w:rPr>
        <w:t>Trading Securities</w:t>
      </w:r>
    </w:p>
    <w:p w:rsidR="00000000" w:rsidRDefault="005B0BC3">
      <w:pPr>
        <w:divId w:val="850988950"/>
        <w:rPr>
          <w:rFonts w:eastAsia="Times New Roman"/>
        </w:rPr>
      </w:pPr>
      <w:r>
        <w:rPr>
          <w:rFonts w:eastAsia="Times New Roman"/>
          <w:color w:val="000000"/>
          <w:sz w:val="20"/>
          <w:szCs w:val="20"/>
        </w:rPr>
        <w:t>As of December 31, 2021 and December 31, 2020, respe</w:t>
      </w:r>
      <w:r>
        <w:rPr>
          <w:rFonts w:eastAsia="Times New Roman"/>
          <w:color w:val="000000"/>
          <w:sz w:val="20"/>
          <w:szCs w:val="20"/>
        </w:rPr>
        <w:t>ctively, the fair value of the Company’s trading securities was $631 million and $5.6 billion. As of December 31, 2021 and December 31, 2020, respectively, trading securities included the General Account’s investment in Separate Accounts which had carrying</w:t>
      </w:r>
      <w:r>
        <w:rPr>
          <w:rFonts w:eastAsia="Times New Roman"/>
          <w:color w:val="000000"/>
          <w:sz w:val="20"/>
          <w:szCs w:val="20"/>
        </w:rPr>
        <w:t xml:space="preserve"> values of</w:t>
      </w:r>
      <w:r>
        <w:rPr>
          <w:rFonts w:eastAsia="Times New Roman"/>
          <w:color w:val="000000"/>
          <w:sz w:val="20"/>
          <w:szCs w:val="20"/>
          <w:shd w:val="clear" w:color="auto" w:fill="FFFFFF"/>
        </w:rPr>
        <w:t xml:space="preserve"> </w:t>
      </w:r>
      <w:r>
        <w:rPr>
          <w:rFonts w:eastAsia="Times New Roman"/>
          <w:color w:val="000000"/>
          <w:sz w:val="20"/>
          <w:szCs w:val="20"/>
        </w:rPr>
        <w:t>$45 million</w:t>
      </w:r>
      <w:r>
        <w:rPr>
          <w:rFonts w:eastAsia="Times New Roman"/>
          <w:color w:val="000000"/>
          <w:sz w:val="20"/>
          <w:szCs w:val="20"/>
          <w:shd w:val="clear" w:color="auto" w:fill="FFFFFF"/>
        </w:rPr>
        <w:t xml:space="preserve"> and</w:t>
      </w:r>
      <w:r>
        <w:rPr>
          <w:rFonts w:eastAsia="Times New Roman"/>
          <w:color w:val="000000"/>
          <w:sz w:val="20"/>
          <w:szCs w:val="20"/>
        </w:rPr>
        <w:t xml:space="preserve"> $44 million.</w:t>
      </w:r>
    </w:p>
    <w:p w:rsidR="00000000" w:rsidRDefault="005B0BC3">
      <w:pPr>
        <w:divId w:val="2059090360"/>
        <w:rPr>
          <w:rFonts w:eastAsia="Times New Roman"/>
        </w:rPr>
      </w:pPr>
      <w:r>
        <w:rPr>
          <w:rFonts w:eastAsia="Times New Roman"/>
          <w:color w:val="000000"/>
          <w:sz w:val="20"/>
          <w:szCs w:val="20"/>
        </w:rPr>
        <w:t>The table below shows a breakdown of net investment income (loss) from trading securities during the years ended December 31, 2021, 2020 and 2019.</w:t>
      </w:r>
    </w:p>
    <w:p w:rsidR="00000000" w:rsidRDefault="005B0BC3">
      <w:pPr>
        <w:jc w:val="center"/>
        <w:rPr>
          <w:rFonts w:eastAsia="Times New Roman"/>
        </w:rPr>
      </w:pPr>
      <w:r>
        <w:rPr>
          <w:rFonts w:eastAsia="Times New Roman"/>
          <w:b/>
          <w:bCs/>
          <w:color w:val="000000"/>
          <w:sz w:val="20"/>
          <w:szCs w:val="20"/>
        </w:rPr>
        <w:t>Net Investment Income (Loss) from Trading Securities</w:t>
      </w:r>
    </w:p>
    <w:tbl>
      <w:tblPr>
        <w:tblW w:w="4846" w:type="pct"/>
        <w:tblCellMar>
          <w:top w:w="15" w:type="dxa"/>
          <w:left w:w="15" w:type="dxa"/>
          <w:bottom w:w="15" w:type="dxa"/>
          <w:right w:w="15" w:type="dxa"/>
        </w:tblCellMar>
        <w:tblLook w:val="04A0" w:firstRow="1" w:lastRow="0" w:firstColumn="1" w:lastColumn="0" w:noHBand="0" w:noVBand="1"/>
      </w:tblPr>
      <w:tblGrid>
        <w:gridCol w:w="37"/>
        <w:gridCol w:w="4530"/>
        <w:gridCol w:w="36"/>
        <w:gridCol w:w="36"/>
        <w:gridCol w:w="36"/>
        <w:gridCol w:w="36"/>
        <w:gridCol w:w="36"/>
        <w:gridCol w:w="120"/>
        <w:gridCol w:w="901"/>
        <w:gridCol w:w="36"/>
        <w:gridCol w:w="36"/>
        <w:gridCol w:w="36"/>
        <w:gridCol w:w="36"/>
        <w:gridCol w:w="120"/>
        <w:gridCol w:w="859"/>
        <w:gridCol w:w="36"/>
        <w:gridCol w:w="36"/>
        <w:gridCol w:w="36"/>
        <w:gridCol w:w="36"/>
        <w:gridCol w:w="120"/>
        <w:gridCol w:w="859"/>
        <w:gridCol w:w="36"/>
      </w:tblGrid>
      <w:tr w:rsidR="00000000">
        <w:trPr>
          <w:divId w:val="668287291"/>
        </w:trPr>
        <w:tc>
          <w:tcPr>
            <w:tcW w:w="50" w:type="pct"/>
            <w:vAlign w:val="center"/>
            <w:hideMark/>
          </w:tcPr>
          <w:p w:rsidR="00000000" w:rsidRDefault="005B0BC3">
            <w:pPr>
              <w:jc w:val="center"/>
              <w:rPr>
                <w:rFonts w:eastAsia="Times New Roman"/>
              </w:rPr>
            </w:pPr>
          </w:p>
        </w:tc>
        <w:tc>
          <w:tcPr>
            <w:tcW w:w="290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0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0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0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668287291"/>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668287291"/>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668287291"/>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1"/>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668287291"/>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Net investment gains (losses) recognized during the period on securities held at the end of the period</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(274)</w:t>
            </w:r>
          </w:p>
        </w:tc>
        <w:tc>
          <w:tcPr>
            <w:tcW w:w="0" w:type="auto"/>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128 </w:t>
            </w:r>
          </w:p>
        </w:tc>
        <w:tc>
          <w:tcPr>
            <w:tcW w:w="0" w:type="auto"/>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487 </w:t>
            </w:r>
          </w:p>
        </w:tc>
        <w:tc>
          <w:tcPr>
            <w:tcW w:w="0" w:type="auto"/>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68287291"/>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Net investment gains (losses) recognized on securities sold during the period</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68287291"/>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Unrealized and realized gains (losses) on trading securities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(26)</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502 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68287291"/>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Interest and dividend income from trading securities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294 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68287291"/>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Net investment income (loss) from trading securities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73</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387 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796 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divId w:val="493380471"/>
        <w:rPr>
          <w:rFonts w:eastAsia="Times New Roman"/>
        </w:rPr>
      </w:pPr>
    </w:p>
    <w:p w:rsidR="00000000" w:rsidRDefault="005B0BC3">
      <w:pPr>
        <w:divId w:val="14812359"/>
        <w:rPr>
          <w:rFonts w:eastAsia="Times New Roman"/>
        </w:rPr>
      </w:pPr>
      <w:r>
        <w:rPr>
          <w:rFonts w:eastAsia="Times New Roman"/>
          <w:color w:val="000000"/>
          <w:sz w:val="20"/>
          <w:szCs w:val="20"/>
          <w:u w:val="single"/>
        </w:rPr>
        <w:t xml:space="preserve">Fixed maturities, at fair value using the fair value option </w:t>
      </w:r>
    </w:p>
    <w:p w:rsidR="00000000" w:rsidRDefault="005B0BC3">
      <w:pPr>
        <w:divId w:val="1016346994"/>
        <w:rPr>
          <w:rFonts w:eastAsia="Times New Roman"/>
        </w:rPr>
      </w:pPr>
      <w:r>
        <w:rPr>
          <w:rFonts w:eastAsia="Times New Roman"/>
          <w:color w:val="000000"/>
          <w:sz w:val="20"/>
          <w:szCs w:val="20"/>
        </w:rPr>
        <w:t>The table below shows a breakdown of net invest</w:t>
      </w:r>
      <w:r>
        <w:rPr>
          <w:rFonts w:eastAsia="Times New Roman"/>
          <w:color w:val="000000"/>
          <w:sz w:val="20"/>
          <w:szCs w:val="20"/>
        </w:rPr>
        <w:t>ment income (loss) from fixed maturities, at fair value using the fair value option during the year ended December 31, 2021.</w:t>
      </w:r>
    </w:p>
    <w:p w:rsidR="00000000" w:rsidRDefault="005B0BC3">
      <w:pPr>
        <w:divId w:val="1671831350"/>
        <w:rPr>
          <w:rFonts w:eastAsia="Times New Roman"/>
        </w:rPr>
      </w:pPr>
    </w:p>
    <w:p w:rsidR="00000000" w:rsidRDefault="005B0BC3">
      <w:pPr>
        <w:jc w:val="center"/>
        <w:divId w:val="2011105871"/>
        <w:rPr>
          <w:rFonts w:eastAsia="Times New Roman"/>
        </w:rPr>
      </w:pPr>
    </w:p>
    <w:p w:rsidR="00000000" w:rsidRDefault="005B0BC3">
      <w:pPr>
        <w:jc w:val="center"/>
        <w:divId w:val="2011105871"/>
        <w:rPr>
          <w:rFonts w:eastAsia="Times New Roman"/>
        </w:rPr>
      </w:pPr>
      <w:r>
        <w:rPr>
          <w:rFonts w:eastAsia="Times New Roman"/>
          <w:color w:val="000000"/>
          <w:sz w:val="20"/>
          <w:szCs w:val="20"/>
        </w:rPr>
        <w:t>166</w:t>
      </w:r>
    </w:p>
    <w:p w:rsidR="00000000" w:rsidRDefault="005B0BC3">
      <w:pPr>
        <w:rPr>
          <w:rFonts w:eastAsia="Times New Roman"/>
        </w:rPr>
      </w:pPr>
      <w:r>
        <w:rPr>
          <w:rFonts w:eastAsia="Times New Roman"/>
        </w:rPr>
        <w:pict>
          <v:rect id="_x0000_i1204" style="width:0;height:1.5pt" o:hralign="center" o:hrstd="t" o:hr="t" fillcolor="#a0a0a0" stroked="f"/>
        </w:pict>
      </w:r>
    </w:p>
    <w:p w:rsidR="00000000" w:rsidRDefault="005B0BC3">
      <w:pPr>
        <w:jc w:val="center"/>
        <w:divId w:val="731663746"/>
        <w:rPr>
          <w:rFonts w:eastAsia="Times New Roman"/>
        </w:rPr>
      </w:pPr>
      <w:r>
        <w:rPr>
          <w:rFonts w:eastAsia="Times New Roman"/>
          <w:b/>
          <w:bCs/>
          <w:color w:val="000000"/>
          <w:sz w:val="20"/>
          <w:szCs w:val="20"/>
        </w:rPr>
        <w:t>EQUITABLE HOLDINGS, INC.</w:t>
      </w:r>
    </w:p>
    <w:p w:rsidR="00000000" w:rsidRDefault="005B0BC3">
      <w:pPr>
        <w:jc w:val="center"/>
        <w:divId w:val="731663746"/>
        <w:rPr>
          <w:rFonts w:eastAsia="Times New Roman"/>
        </w:rPr>
      </w:pPr>
      <w:r>
        <w:rPr>
          <w:rFonts w:eastAsia="Times New Roman"/>
          <w:b/>
          <w:bCs/>
          <w:color w:val="000000"/>
          <w:sz w:val="20"/>
          <w:szCs w:val="20"/>
        </w:rPr>
        <w:t>NOTES TO CONSOLIDATED FINANCIAL STATEMENTS, continued</w:t>
      </w:r>
    </w:p>
    <w:p w:rsidR="00000000" w:rsidRDefault="005B0BC3">
      <w:pPr>
        <w:jc w:val="center"/>
        <w:rPr>
          <w:rFonts w:eastAsia="Times New Roman"/>
        </w:rPr>
      </w:pPr>
      <w:r>
        <w:rPr>
          <w:rFonts w:eastAsia="Times New Roman"/>
          <w:b/>
          <w:bCs/>
          <w:color w:val="000000"/>
          <w:sz w:val="20"/>
          <w:szCs w:val="20"/>
        </w:rPr>
        <w:t>Net Investment Income (Loss) from Fixed Maturities, at Fair Value using the Fair Value Option</w:t>
      </w:r>
    </w:p>
    <w:tbl>
      <w:tblPr>
        <w:tblW w:w="4714" w:type="pct"/>
        <w:tblCellMar>
          <w:top w:w="15" w:type="dxa"/>
          <w:left w:w="15" w:type="dxa"/>
          <w:bottom w:w="15" w:type="dxa"/>
          <w:right w:w="15" w:type="dxa"/>
        </w:tblCellMar>
        <w:tblLook w:val="04A0" w:firstRow="1" w:lastRow="0" w:firstColumn="1" w:lastColumn="0" w:noHBand="0" w:noVBand="1"/>
      </w:tblPr>
      <w:tblGrid>
        <w:gridCol w:w="37"/>
        <w:gridCol w:w="5461"/>
        <w:gridCol w:w="36"/>
        <w:gridCol w:w="36"/>
        <w:gridCol w:w="36"/>
        <w:gridCol w:w="733"/>
        <w:gridCol w:w="36"/>
        <w:gridCol w:w="36"/>
        <w:gridCol w:w="36"/>
        <w:gridCol w:w="121"/>
        <w:gridCol w:w="1011"/>
        <w:gridCol w:w="36"/>
        <w:gridCol w:w="36"/>
        <w:gridCol w:w="36"/>
        <w:gridCol w:w="36"/>
        <w:gridCol w:w="36"/>
        <w:gridCol w:w="36"/>
        <w:gridCol w:w="36"/>
      </w:tblGrid>
      <w:tr w:rsidR="00000000">
        <w:trPr>
          <w:divId w:val="1667902621"/>
        </w:trPr>
        <w:tc>
          <w:tcPr>
            <w:tcW w:w="50" w:type="pct"/>
            <w:vAlign w:val="center"/>
            <w:hideMark/>
          </w:tcPr>
          <w:p w:rsidR="00000000" w:rsidRDefault="005B0BC3">
            <w:pPr>
              <w:jc w:val="center"/>
              <w:rPr>
                <w:rFonts w:eastAsia="Times New Roman"/>
              </w:rPr>
            </w:pPr>
          </w:p>
        </w:tc>
        <w:tc>
          <w:tcPr>
            <w:tcW w:w="410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78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667902621"/>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667902621"/>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vAlign w:val="center"/>
            <w:hideMark/>
          </w:tcPr>
          <w:p w:rsidR="00000000" w:rsidRDefault="005B0BC3">
            <w:pPr>
              <w:spacing w:after="100"/>
              <w:jc w:val="center"/>
              <w:rPr>
                <w:rFonts w:eastAsia="Times New Roman"/>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667902621"/>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667902621"/>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Net investment gains (losses) recognized during the period on securities held at the end of the period</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667902621"/>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Net investment gains (losses) recognized on securities sold during the period</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667902621"/>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Unrealized and realized gains (losses) from fixed maturities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667902621"/>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Interest and dividend income from fixed maturities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667902621"/>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Net investment income (loss) from fixed maturities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bl>
    <w:p w:rsidR="00000000" w:rsidRDefault="005B0BC3">
      <w:pPr>
        <w:divId w:val="622931582"/>
        <w:rPr>
          <w:rFonts w:eastAsia="Times New Roman"/>
        </w:rPr>
      </w:pPr>
    </w:p>
    <w:p w:rsidR="00000000" w:rsidRDefault="005B0BC3">
      <w:pPr>
        <w:divId w:val="909538730"/>
        <w:rPr>
          <w:rFonts w:eastAsia="Times New Roman"/>
        </w:rPr>
      </w:pPr>
      <w:r>
        <w:rPr>
          <w:rFonts w:eastAsia="Times New Roman"/>
          <w:color w:val="000000"/>
          <w:sz w:val="20"/>
          <w:szCs w:val="20"/>
          <w:u w:val="single"/>
        </w:rPr>
        <w:t>Net Investment Income (Loss)</w:t>
      </w:r>
    </w:p>
    <w:p w:rsidR="00000000" w:rsidRDefault="005B0BC3">
      <w:pPr>
        <w:divId w:val="935671252"/>
        <w:rPr>
          <w:rFonts w:eastAsia="Times New Roman"/>
        </w:rPr>
      </w:pPr>
      <w:r>
        <w:rPr>
          <w:rFonts w:eastAsia="Times New Roman"/>
          <w:color w:val="000000"/>
          <w:sz w:val="20"/>
          <w:szCs w:val="20"/>
        </w:rPr>
        <w:t>The following table breaks out net investment income (loss) by asset category:</w:t>
      </w:r>
    </w:p>
    <w:tbl>
      <w:tblPr>
        <w:tblW w:w="4766" w:type="pct"/>
        <w:tblCellMar>
          <w:top w:w="15" w:type="dxa"/>
          <w:left w:w="15" w:type="dxa"/>
          <w:bottom w:w="15" w:type="dxa"/>
          <w:right w:w="15" w:type="dxa"/>
        </w:tblCellMar>
        <w:tblLook w:val="04A0" w:firstRow="1" w:lastRow="0" w:firstColumn="1" w:lastColumn="0" w:noHBand="0" w:noVBand="1"/>
      </w:tblPr>
      <w:tblGrid>
        <w:gridCol w:w="38"/>
        <w:gridCol w:w="4481"/>
        <w:gridCol w:w="37"/>
        <w:gridCol w:w="120"/>
        <w:gridCol w:w="919"/>
        <w:gridCol w:w="36"/>
        <w:gridCol w:w="36"/>
        <w:gridCol w:w="36"/>
        <w:gridCol w:w="36"/>
        <w:gridCol w:w="120"/>
        <w:gridCol w:w="879"/>
        <w:gridCol w:w="36"/>
        <w:gridCol w:w="36"/>
        <w:gridCol w:w="36"/>
        <w:gridCol w:w="36"/>
        <w:gridCol w:w="120"/>
        <w:gridCol w:w="879"/>
        <w:gridCol w:w="36"/>
      </w:tblGrid>
      <w:tr w:rsidR="00000000">
        <w:trPr>
          <w:divId w:val="1778216119"/>
        </w:trPr>
        <w:tc>
          <w:tcPr>
            <w:tcW w:w="50" w:type="pct"/>
            <w:vAlign w:val="center"/>
            <w:hideMark/>
          </w:tcPr>
          <w:p w:rsidR="00000000" w:rsidRDefault="005B0BC3">
            <w:pPr>
              <w:rPr>
                <w:rFonts w:eastAsia="Times New Roman"/>
              </w:rPr>
            </w:pPr>
          </w:p>
        </w:tc>
        <w:tc>
          <w:tcPr>
            <w:tcW w:w="286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1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1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1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778216119"/>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r>
      <w:tr w:rsidR="00000000">
        <w:trPr>
          <w:divId w:val="1778216119"/>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1778216119"/>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1778216119"/>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Fixed maturities</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2,440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2,341 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2,060 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78216119"/>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Mortgage loans on real estate</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546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516 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541 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78216119"/>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Other equity investments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78216119"/>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Policy loans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203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204 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78216119"/>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Trading securities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387 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796 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78216119"/>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Other investment income</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78216119"/>
        </w:trPr>
        <w:tc>
          <w:tcPr>
            <w:tcW w:w="0" w:type="auto"/>
            <w:gridSpan w:val="3"/>
            <w:shd w:val="clear" w:color="auto" w:fill="CCEEFF"/>
            <w:tcMar>
              <w:top w:w="30" w:type="dxa"/>
              <w:left w:w="20" w:type="dxa"/>
              <w:bottom w:w="30" w:type="dxa"/>
              <w:right w:w="20" w:type="dxa"/>
            </w:tcMar>
            <w:hideMark/>
          </w:tcPr>
          <w:p w:rsidR="00000000" w:rsidRDefault="005B0BC3">
            <w:pPr>
              <w:spacing w:after="100"/>
              <w:divId w:val="397674156"/>
              <w:rPr>
                <w:rFonts w:eastAsia="Times New Roman"/>
              </w:rPr>
            </w:pPr>
            <w:r>
              <w:rPr>
                <w:rFonts w:eastAsia="Times New Roman"/>
                <w:color w:val="000000"/>
                <w:sz w:val="20"/>
                <w:szCs w:val="20"/>
              </w:rPr>
              <w:t>Fixed maturities, at fair value using the fair value option</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78216119"/>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Gross investment income (loss)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3,923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3,549 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3,772 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78216119"/>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Investment expenses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(77)</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(72)</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(73)</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78216119"/>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Net investment income (loss)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3,846</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3,477 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3,699 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divId w:val="1329671988"/>
        <w:rPr>
          <w:rFonts w:eastAsia="Times New Roman"/>
        </w:rPr>
      </w:pPr>
      <w:r>
        <w:rPr>
          <w:rFonts w:eastAsia="Times New Roman"/>
          <w:color w:val="000000"/>
          <w:sz w:val="20"/>
          <w:szCs w:val="20"/>
          <w:u w:val="single"/>
        </w:rPr>
        <w:t>Investment Gains (Losses), Net</w:t>
      </w:r>
    </w:p>
    <w:p w:rsidR="00000000" w:rsidRDefault="005B0BC3">
      <w:pPr>
        <w:divId w:val="1901751210"/>
        <w:rPr>
          <w:rFonts w:eastAsia="Times New Roman"/>
        </w:rPr>
      </w:pPr>
      <w:r>
        <w:rPr>
          <w:rFonts w:eastAsia="Times New Roman"/>
          <w:color w:val="000000"/>
          <w:sz w:val="20"/>
          <w:szCs w:val="20"/>
        </w:rPr>
        <w:t>Investment gains (losses), net, including changes in the valuation allowances and credit losses are as follows:</w:t>
      </w:r>
    </w:p>
    <w:tbl>
      <w:tblPr>
        <w:tblW w:w="4678" w:type="pct"/>
        <w:tblCellMar>
          <w:top w:w="15" w:type="dxa"/>
          <w:left w:w="15" w:type="dxa"/>
          <w:bottom w:w="15" w:type="dxa"/>
          <w:right w:w="15" w:type="dxa"/>
        </w:tblCellMar>
        <w:tblLook w:val="04A0" w:firstRow="1" w:lastRow="0" w:firstColumn="1" w:lastColumn="0" w:noHBand="0" w:noVBand="1"/>
      </w:tblPr>
      <w:tblGrid>
        <w:gridCol w:w="38"/>
        <w:gridCol w:w="4335"/>
        <w:gridCol w:w="37"/>
        <w:gridCol w:w="120"/>
        <w:gridCol w:w="919"/>
        <w:gridCol w:w="36"/>
        <w:gridCol w:w="36"/>
        <w:gridCol w:w="36"/>
        <w:gridCol w:w="36"/>
        <w:gridCol w:w="120"/>
        <w:gridCol w:w="879"/>
        <w:gridCol w:w="36"/>
        <w:gridCol w:w="36"/>
        <w:gridCol w:w="36"/>
        <w:gridCol w:w="36"/>
        <w:gridCol w:w="120"/>
        <w:gridCol w:w="879"/>
        <w:gridCol w:w="36"/>
      </w:tblGrid>
      <w:tr w:rsidR="00000000">
        <w:trPr>
          <w:divId w:val="455293758"/>
        </w:trPr>
        <w:tc>
          <w:tcPr>
            <w:tcW w:w="50" w:type="pct"/>
            <w:vAlign w:val="center"/>
            <w:hideMark/>
          </w:tcPr>
          <w:p w:rsidR="00000000" w:rsidRDefault="005B0BC3">
            <w:pPr>
              <w:rPr>
                <w:rFonts w:eastAsia="Times New Roman"/>
              </w:rPr>
            </w:pPr>
          </w:p>
        </w:tc>
        <w:tc>
          <w:tcPr>
            <w:tcW w:w="282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455293758"/>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r>
      <w:tr w:rsidR="00000000">
        <w:trPr>
          <w:divId w:val="455293758"/>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455293758"/>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455293758"/>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Fixed maturities</w:t>
            </w:r>
          </w:p>
        </w:tc>
        <w:tc>
          <w:tcPr>
            <w:tcW w:w="0" w:type="auto"/>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847</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828 </w:t>
            </w:r>
          </w:p>
        </w:tc>
        <w:tc>
          <w:tcPr>
            <w:tcW w:w="0" w:type="auto"/>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205 </w:t>
            </w:r>
          </w:p>
        </w:tc>
        <w:tc>
          <w:tcPr>
            <w:tcW w:w="0" w:type="auto"/>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455293758"/>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Mortgage loans on real estate</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(45)</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455293758"/>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Other equity investments (1)</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455293758"/>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(69)</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(133)</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455293758"/>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Investment gains (losses), net</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868</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744 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73 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ind w:firstLine="720"/>
        <w:divId w:val="1237856584"/>
        <w:rPr>
          <w:rFonts w:eastAsia="Times New Roman"/>
        </w:rPr>
      </w:pPr>
      <w:r>
        <w:rPr>
          <w:rFonts w:eastAsia="Times New Roman"/>
          <w:color w:val="000000"/>
          <w:sz w:val="18"/>
          <w:szCs w:val="18"/>
        </w:rPr>
        <w:t xml:space="preserve">(1) </w:t>
      </w:r>
      <w:r>
        <w:rPr>
          <w:rFonts w:eastAsia="Times New Roman"/>
          <w:color w:val="000000"/>
          <w:sz w:val="18"/>
          <w:szCs w:val="18"/>
        </w:rPr>
        <w:t xml:space="preserve">Investment gains (losses), net of Other equity investments includes Real Estate Held for production during the years ended </w:t>
      </w:r>
    </w:p>
    <w:p w:rsidR="00000000" w:rsidRDefault="005B0BC3">
      <w:pPr>
        <w:ind w:hanging="360"/>
        <w:divId w:val="557471768"/>
        <w:rPr>
          <w:rFonts w:eastAsia="Times New Roman"/>
        </w:rPr>
      </w:pPr>
      <w:r>
        <w:rPr>
          <w:rFonts w:eastAsia="Times New Roman"/>
          <w:color w:val="000000"/>
          <w:sz w:val="18"/>
          <w:szCs w:val="18"/>
        </w:rPr>
        <w:t>December 31, 2020 and December 31, 2019.</w:t>
      </w:r>
    </w:p>
    <w:p w:rsidR="00000000" w:rsidRDefault="005B0BC3">
      <w:pPr>
        <w:divId w:val="551498750"/>
        <w:rPr>
          <w:rFonts w:eastAsia="Times New Roman"/>
        </w:rPr>
      </w:pPr>
    </w:p>
    <w:p w:rsidR="00000000" w:rsidRDefault="005B0BC3">
      <w:pPr>
        <w:divId w:val="933130868"/>
        <w:rPr>
          <w:rFonts w:eastAsia="Times New Roman"/>
        </w:rPr>
      </w:pPr>
      <w:r>
        <w:rPr>
          <w:rFonts w:eastAsia="Times New Roman"/>
          <w:color w:val="000000"/>
          <w:sz w:val="20"/>
          <w:szCs w:val="20"/>
        </w:rPr>
        <w:t>For the years ended December 31, 2021, 2020, and 2019, respectively, investment results p</w:t>
      </w:r>
      <w:r>
        <w:rPr>
          <w:rFonts w:eastAsia="Times New Roman"/>
          <w:color w:val="000000"/>
          <w:sz w:val="20"/>
          <w:szCs w:val="20"/>
        </w:rPr>
        <w:t>assed through to certain participating group annuity contracts as interest credited to policyholders’ account balances totaled $2 million, $2 million and $2 million.</w:t>
      </w:r>
    </w:p>
    <w:p w:rsidR="00000000" w:rsidRDefault="005B0BC3">
      <w:pPr>
        <w:jc w:val="center"/>
        <w:divId w:val="1827428699"/>
        <w:rPr>
          <w:rFonts w:eastAsia="Times New Roman"/>
        </w:rPr>
      </w:pPr>
    </w:p>
    <w:p w:rsidR="00000000" w:rsidRDefault="005B0BC3">
      <w:pPr>
        <w:jc w:val="center"/>
        <w:divId w:val="1827428699"/>
        <w:rPr>
          <w:rFonts w:eastAsia="Times New Roman"/>
        </w:rPr>
      </w:pPr>
      <w:r>
        <w:rPr>
          <w:rFonts w:eastAsia="Times New Roman"/>
          <w:color w:val="000000"/>
          <w:sz w:val="20"/>
          <w:szCs w:val="20"/>
        </w:rPr>
        <w:t>167</w:t>
      </w:r>
    </w:p>
    <w:p w:rsidR="00000000" w:rsidRDefault="005B0BC3">
      <w:pPr>
        <w:rPr>
          <w:rFonts w:eastAsia="Times New Roman"/>
        </w:rPr>
      </w:pPr>
      <w:r>
        <w:rPr>
          <w:rFonts w:eastAsia="Times New Roman"/>
        </w:rPr>
        <w:pict>
          <v:rect id="_x0000_i1205" style="width:0;height:1.5pt" o:hralign="center" o:hrstd="t" o:hr="t" fillcolor="#a0a0a0" stroked="f"/>
        </w:pict>
      </w:r>
    </w:p>
    <w:p w:rsidR="00000000" w:rsidRDefault="005B0BC3">
      <w:pPr>
        <w:jc w:val="center"/>
        <w:divId w:val="757364808"/>
        <w:rPr>
          <w:rFonts w:eastAsia="Times New Roman"/>
        </w:rPr>
      </w:pPr>
      <w:r>
        <w:rPr>
          <w:rFonts w:eastAsia="Times New Roman"/>
          <w:b/>
          <w:bCs/>
          <w:color w:val="000000"/>
          <w:sz w:val="20"/>
          <w:szCs w:val="20"/>
        </w:rPr>
        <w:t>EQUITABLE HOLDINGS, INC.</w:t>
      </w:r>
    </w:p>
    <w:p w:rsidR="00000000" w:rsidRDefault="005B0BC3">
      <w:pPr>
        <w:jc w:val="center"/>
        <w:divId w:val="757364808"/>
        <w:rPr>
          <w:rFonts w:eastAsia="Times New Roman"/>
        </w:rPr>
      </w:pPr>
      <w:r>
        <w:rPr>
          <w:rFonts w:eastAsia="Times New Roman"/>
          <w:b/>
          <w:bCs/>
          <w:color w:val="000000"/>
          <w:sz w:val="20"/>
          <w:szCs w:val="20"/>
        </w:rPr>
        <w:t>NOTES TO CONSOLIDATED F</w:t>
      </w:r>
      <w:r>
        <w:rPr>
          <w:rFonts w:eastAsia="Times New Roman"/>
          <w:b/>
          <w:bCs/>
          <w:color w:val="000000"/>
          <w:sz w:val="20"/>
          <w:szCs w:val="20"/>
        </w:rPr>
        <w:t>INANCIAL STATEMENTS, continued</w:t>
      </w:r>
    </w:p>
    <w:p w:rsidR="00000000" w:rsidRDefault="005B0BC3">
      <w:pPr>
        <w:divId w:val="222839481"/>
        <w:rPr>
          <w:rFonts w:eastAsia="Times New Roman"/>
        </w:rPr>
      </w:pPr>
      <w:r>
        <w:rPr>
          <w:rFonts w:eastAsia="Times New Roman"/>
          <w:b/>
          <w:bCs/>
          <w:color w:val="000000"/>
          <w:sz w:val="20"/>
          <w:szCs w:val="20"/>
        </w:rPr>
        <w:t>4)     DERIVATIVES</w:t>
      </w:r>
    </w:p>
    <w:p w:rsidR="00000000" w:rsidRDefault="005B0BC3">
      <w:pPr>
        <w:divId w:val="1634367929"/>
        <w:rPr>
          <w:rFonts w:eastAsia="Times New Roman"/>
        </w:rPr>
      </w:pPr>
      <w:r>
        <w:rPr>
          <w:rFonts w:eastAsia="Times New Roman"/>
          <w:color w:val="000000"/>
          <w:sz w:val="20"/>
          <w:szCs w:val="20"/>
        </w:rPr>
        <w:t>The Company uses derivatives as part of its overall asset/liability risk management primarily to reduce exposures to equity market and interest rate risks. Derivative hedging strategies are designed to redu</w:t>
      </w:r>
      <w:r>
        <w:rPr>
          <w:rFonts w:eastAsia="Times New Roman"/>
          <w:color w:val="000000"/>
          <w:sz w:val="20"/>
          <w:szCs w:val="20"/>
        </w:rPr>
        <w:t>ce these risks from an economic perspective and are all executed within the framework of a “Derivative Use Plan” approved by applicable states’ insurance law. Derivatives are generally not accounted for using hedge accounting, with the exception of TIPS an</w:t>
      </w:r>
      <w:r>
        <w:rPr>
          <w:rFonts w:eastAsia="Times New Roman"/>
          <w:color w:val="000000"/>
          <w:sz w:val="20"/>
          <w:szCs w:val="20"/>
        </w:rPr>
        <w:t>d cash flow hedges, which is discussed further below. Operation of these hedging programs is based on models involving numerous estimates and assumptions, including, among others, mortality, lapse, surrender and withdrawal rates, election rates, fund perfo</w:t>
      </w:r>
      <w:r>
        <w:rPr>
          <w:rFonts w:eastAsia="Times New Roman"/>
          <w:color w:val="000000"/>
          <w:sz w:val="20"/>
          <w:szCs w:val="20"/>
        </w:rPr>
        <w:t>rmance, market volatility and interest rates. A wide range of derivative contracts are used in these hedging programs, including exchange traded equity, currency and interest rate futures contracts, total return and/or other equity swaps, interest rate swa</w:t>
      </w:r>
      <w:r>
        <w:rPr>
          <w:rFonts w:eastAsia="Times New Roman"/>
          <w:color w:val="000000"/>
          <w:sz w:val="20"/>
          <w:szCs w:val="20"/>
        </w:rPr>
        <w:t>p and floor contracts, bond and bond-index total return swaps, swaptions, variance swaps and equity options, credit and foreign exchange derivatives, as well as bond and repo transactions to support the hedging. The derivative contracts are collectively ma</w:t>
      </w:r>
      <w:r>
        <w:rPr>
          <w:rFonts w:eastAsia="Times New Roman"/>
          <w:color w:val="000000"/>
          <w:sz w:val="20"/>
          <w:szCs w:val="20"/>
        </w:rPr>
        <w:t>naged in an effort to reduce the economic impact of unfavorable changes in guaranteed benefits’ exposures attributable to movements in capital markets. In addition, as part of its hedging strategy, the Company targets an asset level for all variable annuit</w:t>
      </w:r>
      <w:r>
        <w:rPr>
          <w:rFonts w:eastAsia="Times New Roman"/>
          <w:color w:val="000000"/>
          <w:sz w:val="20"/>
          <w:szCs w:val="20"/>
        </w:rPr>
        <w:t>y products at or above a CTE98 level under most economic scenarios (CTE is a statistical measure of tail risk which quantifies the total asset requirement to sustain a loss if an event outside a given probability level has occurred. CTE98 denotes the finan</w:t>
      </w:r>
      <w:r>
        <w:rPr>
          <w:rFonts w:eastAsia="Times New Roman"/>
          <w:color w:val="000000"/>
          <w:sz w:val="20"/>
          <w:szCs w:val="20"/>
        </w:rPr>
        <w:t xml:space="preserve">cial resources a company would need to cover the average of the worst 2% of scenarios.) </w:t>
      </w:r>
    </w:p>
    <w:p w:rsidR="00000000" w:rsidRDefault="005B0BC3">
      <w:pPr>
        <w:divId w:val="1624772973"/>
        <w:rPr>
          <w:rFonts w:eastAsia="Times New Roman"/>
        </w:rPr>
      </w:pPr>
      <w:r>
        <w:rPr>
          <w:rFonts w:eastAsia="Times New Roman"/>
          <w:color w:val="000000"/>
          <w:sz w:val="20"/>
          <w:szCs w:val="20"/>
          <w:u w:val="single"/>
        </w:rPr>
        <w:t xml:space="preserve">Derivatives Utilized to Hedge Exposure to Variable Annuities with Guarantee Features </w:t>
      </w:r>
    </w:p>
    <w:p w:rsidR="00000000" w:rsidRDefault="005B0BC3">
      <w:pPr>
        <w:divId w:val="119611133"/>
        <w:rPr>
          <w:rFonts w:eastAsia="Times New Roman"/>
        </w:rPr>
      </w:pPr>
      <w:r>
        <w:rPr>
          <w:rFonts w:eastAsia="Times New Roman"/>
          <w:color w:val="000000"/>
          <w:sz w:val="20"/>
          <w:szCs w:val="20"/>
        </w:rPr>
        <w:t>The Company has issued and continues to offer variable annuity products with GMxB</w:t>
      </w:r>
      <w:r>
        <w:rPr>
          <w:rFonts w:eastAsia="Times New Roman"/>
          <w:color w:val="000000"/>
          <w:sz w:val="20"/>
          <w:szCs w:val="20"/>
        </w:rPr>
        <w:t xml:space="preserve"> features. The risk associated with the GMDB feature is that under-performance of the financial markets could result in GMDB benefits, in the event of death, being higher than what accumulated policyholders’ account balances would support. The risk associa</w:t>
      </w:r>
      <w:r>
        <w:rPr>
          <w:rFonts w:eastAsia="Times New Roman"/>
          <w:color w:val="000000"/>
          <w:sz w:val="20"/>
          <w:szCs w:val="20"/>
        </w:rPr>
        <w:t>ted with the GMIB feature is that under-performance of the financial markets could result in the present value of GMIB, in the event of annuitization, being higher than what accumulated policyholders’ account balances would support, taking into account the</w:t>
      </w:r>
      <w:r>
        <w:rPr>
          <w:rFonts w:eastAsia="Times New Roman"/>
          <w:color w:val="000000"/>
          <w:sz w:val="20"/>
          <w:szCs w:val="20"/>
        </w:rPr>
        <w:t xml:space="preserve"> relationship between current annuity purchase rates and the GMIB guaranteed annuity purchase rates. The risk associated with products that have a GMxB derivative features liability is that under-performance of the financial markets could result in the GMx</w:t>
      </w:r>
      <w:r>
        <w:rPr>
          <w:rFonts w:eastAsia="Times New Roman"/>
          <w:color w:val="000000"/>
          <w:sz w:val="20"/>
          <w:szCs w:val="20"/>
        </w:rPr>
        <w:t xml:space="preserve">B derivative features’ benefits being higher than what accumulated policyholders’ account balances would support. </w:t>
      </w:r>
    </w:p>
    <w:p w:rsidR="00000000" w:rsidRDefault="005B0BC3">
      <w:pPr>
        <w:divId w:val="1336419121"/>
        <w:rPr>
          <w:rFonts w:eastAsia="Times New Roman"/>
        </w:rPr>
      </w:pPr>
      <w:r>
        <w:rPr>
          <w:rFonts w:eastAsia="Times New Roman"/>
          <w:color w:val="000000"/>
          <w:sz w:val="20"/>
          <w:szCs w:val="20"/>
        </w:rPr>
        <w:t xml:space="preserve">For GMxB features, the Company retains certain risks including basis, credit spread and some volatility risk and risk associated with actual </w:t>
      </w:r>
      <w:r>
        <w:rPr>
          <w:rFonts w:eastAsia="Times New Roman"/>
          <w:color w:val="000000"/>
          <w:sz w:val="20"/>
          <w:szCs w:val="20"/>
        </w:rPr>
        <w:t>experience versus expected actuarial assumptions for mortality, lapse and surrender, withdrawal and policyholder election rates, among other things. The derivative contracts are managed to correlate with changes in the value of the GMxB features that resul</w:t>
      </w:r>
      <w:r>
        <w:rPr>
          <w:rFonts w:eastAsia="Times New Roman"/>
          <w:color w:val="000000"/>
          <w:sz w:val="20"/>
          <w:szCs w:val="20"/>
        </w:rPr>
        <w:t>t from financial markets movements. A portion of exposure to realized equity volatility is hedged using equity options and variance swaps and a portion of exposure to credit risk is hedged using total return swaps on fixed income indices. Additionally, the</w:t>
      </w:r>
      <w:r>
        <w:rPr>
          <w:rFonts w:eastAsia="Times New Roman"/>
          <w:color w:val="000000"/>
          <w:sz w:val="20"/>
          <w:szCs w:val="20"/>
        </w:rPr>
        <w:t xml:space="preserve"> Company is party to total return swaps for which the reference U.S. Treasury securities are contemporaneously purchased from the market and sold to the swap counterparty. As these transactions result in a transfer of control of the U.S. Treasury securitie</w:t>
      </w:r>
      <w:r>
        <w:rPr>
          <w:rFonts w:eastAsia="Times New Roman"/>
          <w:color w:val="000000"/>
          <w:sz w:val="20"/>
          <w:szCs w:val="20"/>
        </w:rPr>
        <w:t>s to the swap counterparty, the Company derecognizes these securities with consequent gain or loss from the sale. The Company has also purchased reinsurance contracts to mitigate the risks associated with GMDB features and the impact of potential market fl</w:t>
      </w:r>
      <w:r>
        <w:rPr>
          <w:rFonts w:eastAsia="Times New Roman"/>
          <w:color w:val="000000"/>
          <w:sz w:val="20"/>
          <w:szCs w:val="20"/>
        </w:rPr>
        <w:t>uctuations on future policyholder elections of GMIB features contained in certain annuity contracts issued by the Company. The reinsurance of the GMIB features is accounted for as a derivative. In addition, on June 1, 2021, we ceded legacy variable annuity</w:t>
      </w:r>
      <w:r>
        <w:rPr>
          <w:rFonts w:eastAsia="Times New Roman"/>
          <w:color w:val="000000"/>
          <w:sz w:val="20"/>
          <w:szCs w:val="20"/>
        </w:rPr>
        <w:t xml:space="preserve"> policies sold by Equitable Financial between 2006-2008 (the “Block”), comprised of non-New York “Accumulator” policies containing fixed rate GMIB and/or GMDB guarantees. As this contract provides full risk transfer and thus has the same risk attributes as</w:t>
      </w:r>
      <w:r>
        <w:rPr>
          <w:rFonts w:eastAsia="Times New Roman"/>
          <w:color w:val="000000"/>
          <w:sz w:val="20"/>
          <w:szCs w:val="20"/>
        </w:rPr>
        <w:t xml:space="preserve"> the underlying direct contracts, the benefits of this treaty are accounted for in the same manner as the underlying gross reserves and therefore the Amounts Due from Reinsurers related to the GMIB with NLG are accounted for as an embedded derivative.</w:t>
      </w:r>
    </w:p>
    <w:p w:rsidR="00000000" w:rsidRDefault="005B0BC3">
      <w:pPr>
        <w:divId w:val="631713974"/>
        <w:rPr>
          <w:rFonts w:eastAsia="Times New Roman"/>
        </w:rPr>
      </w:pPr>
      <w:r>
        <w:rPr>
          <w:rFonts w:eastAsia="Times New Roman"/>
          <w:color w:val="000000"/>
          <w:sz w:val="20"/>
          <w:szCs w:val="20"/>
        </w:rPr>
        <w:t xml:space="preserve">The </w:t>
      </w:r>
      <w:r>
        <w:rPr>
          <w:rFonts w:eastAsia="Times New Roman"/>
          <w:color w:val="000000"/>
          <w:sz w:val="20"/>
          <w:szCs w:val="20"/>
        </w:rPr>
        <w:t>Company has in place an economic hedge program using interest rate swaps and U.S. Treasury futures to partially protect the overall profitability of future variable annuity sales against declining interest rates.</w:t>
      </w:r>
    </w:p>
    <w:p w:rsidR="00000000" w:rsidRDefault="005B0BC3">
      <w:pPr>
        <w:divId w:val="1254585370"/>
        <w:rPr>
          <w:rFonts w:eastAsia="Times New Roman"/>
        </w:rPr>
      </w:pPr>
      <w:r>
        <w:rPr>
          <w:rFonts w:eastAsia="Times New Roman"/>
          <w:color w:val="000000"/>
          <w:sz w:val="20"/>
          <w:szCs w:val="20"/>
          <w:u w:val="single"/>
        </w:rPr>
        <w:t>Derivatives Utilized to Hedge Crediting Rat</w:t>
      </w:r>
      <w:r>
        <w:rPr>
          <w:rFonts w:eastAsia="Times New Roman"/>
          <w:color w:val="000000"/>
          <w:sz w:val="20"/>
          <w:szCs w:val="20"/>
          <w:u w:val="single"/>
        </w:rPr>
        <w:t xml:space="preserve">e Exposure on SCS, SIO, MSO and IUL Products/Investment Options </w:t>
      </w:r>
    </w:p>
    <w:p w:rsidR="00000000" w:rsidRDefault="005B0BC3">
      <w:pPr>
        <w:divId w:val="974217369"/>
        <w:rPr>
          <w:rFonts w:eastAsia="Times New Roman"/>
        </w:rPr>
      </w:pPr>
      <w:r>
        <w:rPr>
          <w:rFonts w:eastAsia="Times New Roman"/>
          <w:color w:val="000000"/>
          <w:sz w:val="20"/>
          <w:szCs w:val="20"/>
        </w:rPr>
        <w:t>The Company hedges crediting rates in the SCS variable annuity, SIO in the EQUI-VEST variable annuity series, MSO in the variable life insurance products and IUL insurance products. These pro</w:t>
      </w:r>
      <w:r>
        <w:rPr>
          <w:rFonts w:eastAsia="Times New Roman"/>
          <w:color w:val="000000"/>
          <w:sz w:val="20"/>
          <w:szCs w:val="20"/>
        </w:rPr>
        <w:t>ducts permit the contract owner to participate in the performance of an index, ETF or commodity price movement up to a cap for a set period of time. They also contain a protection feature, in which the Company will absorb, up to a certain percentage, the l</w:t>
      </w:r>
      <w:r>
        <w:rPr>
          <w:rFonts w:eastAsia="Times New Roman"/>
          <w:color w:val="000000"/>
          <w:sz w:val="20"/>
          <w:szCs w:val="20"/>
        </w:rPr>
        <w:t xml:space="preserve">oss of value in an index, ETF or commodity price, which varies by product segment. </w:t>
      </w:r>
    </w:p>
    <w:p w:rsidR="00000000" w:rsidRDefault="005B0BC3">
      <w:pPr>
        <w:jc w:val="center"/>
        <w:divId w:val="2090619106"/>
        <w:rPr>
          <w:rFonts w:eastAsia="Times New Roman"/>
        </w:rPr>
      </w:pPr>
    </w:p>
    <w:p w:rsidR="00000000" w:rsidRDefault="005B0BC3">
      <w:pPr>
        <w:jc w:val="center"/>
        <w:divId w:val="2090619106"/>
        <w:rPr>
          <w:rFonts w:eastAsia="Times New Roman"/>
        </w:rPr>
      </w:pPr>
      <w:r>
        <w:rPr>
          <w:rFonts w:eastAsia="Times New Roman"/>
          <w:color w:val="000000"/>
          <w:sz w:val="20"/>
          <w:szCs w:val="20"/>
        </w:rPr>
        <w:t>168</w:t>
      </w:r>
    </w:p>
    <w:p w:rsidR="00000000" w:rsidRDefault="005B0BC3">
      <w:pPr>
        <w:rPr>
          <w:rFonts w:eastAsia="Times New Roman"/>
        </w:rPr>
      </w:pPr>
      <w:r>
        <w:rPr>
          <w:rFonts w:eastAsia="Times New Roman"/>
        </w:rPr>
        <w:pict>
          <v:rect id="_x0000_i1206" style="width:0;height:1.5pt" o:hralign="center" o:hrstd="t" o:hr="t" fillcolor="#a0a0a0" stroked="f"/>
        </w:pict>
      </w:r>
    </w:p>
    <w:p w:rsidR="00000000" w:rsidRDefault="005B0BC3">
      <w:pPr>
        <w:jc w:val="center"/>
        <w:divId w:val="529415807"/>
        <w:rPr>
          <w:rFonts w:eastAsia="Times New Roman"/>
        </w:rPr>
      </w:pPr>
      <w:r>
        <w:rPr>
          <w:rFonts w:eastAsia="Times New Roman"/>
          <w:b/>
          <w:bCs/>
          <w:color w:val="000000"/>
          <w:sz w:val="20"/>
          <w:szCs w:val="20"/>
        </w:rPr>
        <w:t>EQUITABLE HOLDINGS, INC.</w:t>
      </w:r>
    </w:p>
    <w:p w:rsidR="00000000" w:rsidRDefault="005B0BC3">
      <w:pPr>
        <w:jc w:val="center"/>
        <w:divId w:val="529415807"/>
        <w:rPr>
          <w:rFonts w:eastAsia="Times New Roman"/>
        </w:rPr>
      </w:pPr>
      <w:r>
        <w:rPr>
          <w:rFonts w:eastAsia="Times New Roman"/>
          <w:b/>
          <w:bCs/>
          <w:color w:val="000000"/>
          <w:sz w:val="20"/>
          <w:szCs w:val="20"/>
        </w:rPr>
        <w:t>NOTES TO CONSOLIDATED FINANCIAL STATEMENTS, continued</w:t>
      </w:r>
    </w:p>
    <w:p w:rsidR="00000000" w:rsidRDefault="005B0BC3">
      <w:pPr>
        <w:divId w:val="387531088"/>
        <w:rPr>
          <w:rFonts w:eastAsia="Times New Roman"/>
        </w:rPr>
      </w:pPr>
      <w:r>
        <w:rPr>
          <w:rFonts w:eastAsia="Times New Roman"/>
          <w:color w:val="000000"/>
          <w:sz w:val="20"/>
          <w:szCs w:val="20"/>
        </w:rPr>
        <w:t>In order to support the returns associated with the</w:t>
      </w:r>
      <w:r>
        <w:rPr>
          <w:rFonts w:eastAsia="Times New Roman"/>
          <w:color w:val="000000"/>
          <w:sz w:val="20"/>
          <w:szCs w:val="20"/>
        </w:rPr>
        <w:t>se features, the Company enters into derivative contracts whose payouts, in combination with fixed income investments, emulate those of the index, ETF or commodity price, subject to caps and buffers, thereby substantially reducing any exposure to market-re</w:t>
      </w:r>
      <w:r>
        <w:rPr>
          <w:rFonts w:eastAsia="Times New Roman"/>
          <w:color w:val="000000"/>
          <w:sz w:val="20"/>
          <w:szCs w:val="20"/>
        </w:rPr>
        <w:t>lated earnings volatility.</w:t>
      </w:r>
    </w:p>
    <w:p w:rsidR="00000000" w:rsidRDefault="005B0BC3">
      <w:pPr>
        <w:divId w:val="1147939388"/>
        <w:rPr>
          <w:rFonts w:eastAsia="Times New Roman"/>
        </w:rPr>
      </w:pPr>
      <w:r>
        <w:rPr>
          <w:rFonts w:eastAsia="Times New Roman"/>
          <w:color w:val="000000"/>
          <w:sz w:val="20"/>
          <w:szCs w:val="20"/>
          <w:u w:val="single"/>
        </w:rPr>
        <w:t>Derivatives Used to Hedge Equity Market Risks Associated with the General Account’s Seed Money Investments in Retail Mutual Funds</w:t>
      </w:r>
    </w:p>
    <w:p w:rsidR="00000000" w:rsidRDefault="005B0BC3">
      <w:pPr>
        <w:divId w:val="1176576326"/>
        <w:rPr>
          <w:rFonts w:eastAsia="Times New Roman"/>
        </w:rPr>
      </w:pPr>
      <w:r>
        <w:rPr>
          <w:rFonts w:eastAsia="Times New Roman"/>
          <w:color w:val="000000"/>
          <w:sz w:val="20"/>
          <w:szCs w:val="20"/>
        </w:rPr>
        <w:t>The Company’s General Account seed money investments in retail mutual funds expose us to market ris</w:t>
      </w:r>
      <w:r>
        <w:rPr>
          <w:rFonts w:eastAsia="Times New Roman"/>
          <w:color w:val="000000"/>
          <w:sz w:val="20"/>
          <w:szCs w:val="20"/>
        </w:rPr>
        <w:t>k, including equity market risk which is partially hedged through equity-index futures contracts to minimize such risk.</w:t>
      </w:r>
    </w:p>
    <w:p w:rsidR="00000000" w:rsidRDefault="005B0BC3">
      <w:pPr>
        <w:divId w:val="2071415320"/>
        <w:rPr>
          <w:rFonts w:eastAsia="Times New Roman"/>
        </w:rPr>
      </w:pPr>
      <w:r>
        <w:rPr>
          <w:rFonts w:eastAsia="Times New Roman"/>
          <w:color w:val="000000"/>
          <w:sz w:val="20"/>
          <w:szCs w:val="20"/>
          <w:u w:val="single"/>
        </w:rPr>
        <w:t xml:space="preserve">Derivatives Used for General Account Investment Portfolio </w:t>
      </w:r>
    </w:p>
    <w:p w:rsidR="00000000" w:rsidRDefault="005B0BC3">
      <w:pPr>
        <w:divId w:val="568266242"/>
        <w:rPr>
          <w:rFonts w:eastAsia="Times New Roman"/>
        </w:rPr>
      </w:pPr>
      <w:r>
        <w:rPr>
          <w:rFonts w:eastAsia="Times New Roman"/>
          <w:color w:val="000000"/>
          <w:sz w:val="20"/>
          <w:szCs w:val="20"/>
        </w:rPr>
        <w:t>The Company maintains a strategy in its General Account investment portfolio to replicate the credit exposure of fixed maturity securities otherwise permissible for investment under its investment guidelines through the sale of CDS. Under the terms of thes</w:t>
      </w:r>
      <w:r>
        <w:rPr>
          <w:rFonts w:eastAsia="Times New Roman"/>
          <w:color w:val="000000"/>
          <w:sz w:val="20"/>
          <w:szCs w:val="20"/>
        </w:rPr>
        <w:t>e swaps, the Company receives quarterly fixed premiums that, together with any initial amount paid or received at trade inception, replicate the credit spread otherwise currently obtainable by purchasing the referenced entity’s bonds of similar maturity. T</w:t>
      </w:r>
      <w:r>
        <w:rPr>
          <w:rFonts w:eastAsia="Times New Roman"/>
          <w:color w:val="000000"/>
          <w:sz w:val="20"/>
          <w:szCs w:val="20"/>
        </w:rPr>
        <w:t>hese credit derivatives generally have remaining terms of five years or less and are recorded at fair value with changes in fair value, including the yield component that emerges from initial amounts paid or received, reported in net derivative gains (loss</w:t>
      </w:r>
      <w:r>
        <w:rPr>
          <w:rFonts w:eastAsia="Times New Roman"/>
          <w:color w:val="000000"/>
          <w:sz w:val="20"/>
          <w:szCs w:val="20"/>
        </w:rPr>
        <w:t xml:space="preserve">es). </w:t>
      </w:r>
    </w:p>
    <w:p w:rsidR="00000000" w:rsidRDefault="005B0BC3">
      <w:pPr>
        <w:divId w:val="2101749931"/>
        <w:rPr>
          <w:rFonts w:eastAsia="Times New Roman"/>
        </w:rPr>
      </w:pPr>
      <w:r>
        <w:rPr>
          <w:rFonts w:eastAsia="Times New Roman"/>
          <w:color w:val="000000"/>
          <w:sz w:val="20"/>
          <w:szCs w:val="20"/>
        </w:rPr>
        <w:t>The Company manages its credit exposure taking into consideration both cash and derivatives based positions and selects the reference entities in its replicated credit exposures in a manner consistent with its selection of fixed maturities. In additi</w:t>
      </w:r>
      <w:r>
        <w:rPr>
          <w:rFonts w:eastAsia="Times New Roman"/>
          <w:color w:val="000000"/>
          <w:sz w:val="20"/>
          <w:szCs w:val="20"/>
        </w:rPr>
        <w:t>on, the Company generally transacts the sale of CDS in single name reference entities of investment grade credit quality and with counterparties subject to collateral posting requirements. If there is an event of default by the reference entity or other su</w:t>
      </w:r>
      <w:r>
        <w:rPr>
          <w:rFonts w:eastAsia="Times New Roman"/>
          <w:color w:val="000000"/>
          <w:sz w:val="20"/>
          <w:szCs w:val="20"/>
        </w:rPr>
        <w:t>ch credit event as defined under the terms of the swap contract, the Company is obligated to perform under the credit derivative and, at its option, either pay the referenced amount of the contract less an auction-determined recovery amount or pay the refe</w:t>
      </w:r>
      <w:r>
        <w:rPr>
          <w:rFonts w:eastAsia="Times New Roman"/>
          <w:color w:val="000000"/>
          <w:sz w:val="20"/>
          <w:szCs w:val="20"/>
        </w:rPr>
        <w:t>renced amount of the contract and receive in return the defaulted or similar security of the reference entity for recovery by sale at the contract settlement auction. The Company purchased CDS to mitigate its exposure to a reference entity through cash pos</w:t>
      </w:r>
      <w:r>
        <w:rPr>
          <w:rFonts w:eastAsia="Times New Roman"/>
          <w:color w:val="000000"/>
          <w:sz w:val="20"/>
          <w:szCs w:val="20"/>
        </w:rPr>
        <w:t>itions. These positions do not replicate credit spreads.</w:t>
      </w:r>
    </w:p>
    <w:p w:rsidR="00000000" w:rsidRDefault="005B0BC3">
      <w:pPr>
        <w:divId w:val="1289823025"/>
        <w:rPr>
          <w:rFonts w:eastAsia="Times New Roman"/>
        </w:rPr>
      </w:pPr>
      <w:r>
        <w:rPr>
          <w:rFonts w:eastAsia="Times New Roman"/>
          <w:color w:val="000000"/>
          <w:sz w:val="20"/>
          <w:szCs w:val="20"/>
        </w:rPr>
        <w:t>To date, there have been no events of default or circumstances indicative of a deterioration in the credit quality of the named referenced entities to require or suggest that the Company will have to</w:t>
      </w:r>
      <w:r>
        <w:rPr>
          <w:rFonts w:eastAsia="Times New Roman"/>
          <w:color w:val="000000"/>
          <w:sz w:val="20"/>
          <w:szCs w:val="20"/>
        </w:rPr>
        <w:t xml:space="preserve"> perform under the CDS that it sold. The maximum potential amount of future payments the Company could be required to make under the credit derivatives sold is limited to the par value of the referenced securities which is the dollar or euro-equivalent of </w:t>
      </w:r>
      <w:r>
        <w:rPr>
          <w:rFonts w:eastAsia="Times New Roman"/>
          <w:color w:val="000000"/>
          <w:sz w:val="20"/>
          <w:szCs w:val="20"/>
        </w:rPr>
        <w:t>the derivative’s notional amount. The Standard North American CDS Contract or Standard European Corporate Contract under which the Company executes these CDS sales transactions does not contain recourse provisions for recovery of amounts paid under the cre</w:t>
      </w:r>
      <w:r>
        <w:rPr>
          <w:rFonts w:eastAsia="Times New Roman"/>
          <w:color w:val="000000"/>
          <w:sz w:val="20"/>
          <w:szCs w:val="20"/>
        </w:rPr>
        <w:t xml:space="preserve">dit derivative. </w:t>
      </w:r>
    </w:p>
    <w:p w:rsidR="00000000" w:rsidRDefault="005B0BC3">
      <w:pPr>
        <w:divId w:val="481317195"/>
        <w:rPr>
          <w:rFonts w:eastAsia="Times New Roman"/>
        </w:rPr>
      </w:pPr>
      <w:r>
        <w:rPr>
          <w:rFonts w:eastAsia="Times New Roman"/>
          <w:color w:val="000000"/>
          <w:sz w:val="20"/>
          <w:szCs w:val="20"/>
        </w:rPr>
        <w:t>The Company purchased 30-year TIPS and other sovereign bonds, both inflation linked and non-inflation linked, as General Account investments and enters into asset or cross-currency basis swaps, to result in payment of the given bond’s coup</w:t>
      </w:r>
      <w:r>
        <w:rPr>
          <w:rFonts w:eastAsia="Times New Roman"/>
          <w:color w:val="000000"/>
          <w:sz w:val="20"/>
          <w:szCs w:val="20"/>
        </w:rPr>
        <w:t>ons and principal at maturity in the bond’s specified currency to the swap counterparty in return for fixed dollar amounts. These swaps, when considered in combination with the bonds, together result in a net position that is intended to replicate a dollar</w:t>
      </w:r>
      <w:r>
        <w:rPr>
          <w:rFonts w:eastAsia="Times New Roman"/>
          <w:color w:val="000000"/>
          <w:sz w:val="20"/>
          <w:szCs w:val="20"/>
        </w:rPr>
        <w:t xml:space="preserve">-denominated fixed-coupon cash bond with a yield higher than a term-equivalent U.S. Treasury bond. </w:t>
      </w:r>
    </w:p>
    <w:p w:rsidR="00000000" w:rsidRDefault="005B0BC3">
      <w:pPr>
        <w:divId w:val="1525361213"/>
        <w:rPr>
          <w:rFonts w:eastAsia="Times New Roman"/>
        </w:rPr>
      </w:pPr>
      <w:r>
        <w:rPr>
          <w:rFonts w:eastAsia="Times New Roman"/>
          <w:color w:val="000000"/>
          <w:sz w:val="20"/>
          <w:szCs w:val="20"/>
          <w:u w:val="single"/>
        </w:rPr>
        <w:t>Derivatives Utilized to Hedge Exposure to Foreign Currency Denominated Cash Flows</w:t>
      </w:r>
    </w:p>
    <w:p w:rsidR="00000000" w:rsidRDefault="005B0BC3">
      <w:pPr>
        <w:divId w:val="1863593538"/>
        <w:rPr>
          <w:rFonts w:eastAsia="Times New Roman"/>
        </w:rPr>
      </w:pPr>
      <w:r>
        <w:rPr>
          <w:rFonts w:eastAsia="Times New Roman"/>
          <w:color w:val="000000"/>
          <w:sz w:val="20"/>
          <w:szCs w:val="20"/>
        </w:rPr>
        <w:t>The Company purchases private placement debt securities and issues funding</w:t>
      </w:r>
      <w:r>
        <w:rPr>
          <w:rFonts w:eastAsia="Times New Roman"/>
          <w:color w:val="000000"/>
          <w:sz w:val="20"/>
          <w:szCs w:val="20"/>
        </w:rPr>
        <w:t xml:space="preserve"> agreements in the FABN program in currencies other than its functional US dollar currency. The Company enters into cross currency swaps with external counterparties to hedge the exposure of the foreign currency denominated cash flows of these instruments.</w:t>
      </w:r>
      <w:r>
        <w:rPr>
          <w:rFonts w:eastAsia="Times New Roman"/>
          <w:color w:val="000000"/>
          <w:sz w:val="20"/>
          <w:szCs w:val="20"/>
        </w:rPr>
        <w:t xml:space="preserve"> The foreign currency received from or paid to the cross currency swap counterparty is exchanged for fixed US dollar amounts with improved net investment yields or net product costs over equivalent US dollar denominated instruments issued at that time. The</w:t>
      </w:r>
      <w:r>
        <w:rPr>
          <w:rFonts w:eastAsia="Times New Roman"/>
          <w:color w:val="000000"/>
          <w:sz w:val="20"/>
          <w:szCs w:val="20"/>
        </w:rPr>
        <w:t xml:space="preserve"> transactions are accounted for as cash flow hedges when they are designated in hedging relationships and qualify for hedge accounting. The first cross currency swap hedges were designated and applied hedge accounting during the quarter ended June 30, 2021</w:t>
      </w:r>
      <w:r>
        <w:rPr>
          <w:rFonts w:eastAsia="Times New Roman"/>
          <w:color w:val="000000"/>
          <w:sz w:val="20"/>
          <w:szCs w:val="20"/>
        </w:rPr>
        <w:t>.</w:t>
      </w:r>
    </w:p>
    <w:p w:rsidR="00000000" w:rsidRDefault="005B0BC3">
      <w:pPr>
        <w:divId w:val="575171499"/>
        <w:rPr>
          <w:rFonts w:eastAsia="Times New Roman"/>
        </w:rPr>
      </w:pPr>
      <w:r>
        <w:rPr>
          <w:rFonts w:eastAsia="Times New Roman"/>
          <w:color w:val="000000"/>
          <w:sz w:val="20"/>
          <w:szCs w:val="20"/>
        </w:rPr>
        <w:t>These cross currency swaps are for the period the foreign currency denominated private placement debt securities and funding agreement are outstanding, with the longest cross currency swap expiring in 2033. Since designation and qualification as cash flo</w:t>
      </w:r>
      <w:r>
        <w:rPr>
          <w:rFonts w:eastAsia="Times New Roman"/>
          <w:color w:val="000000"/>
          <w:sz w:val="20"/>
          <w:szCs w:val="20"/>
        </w:rPr>
        <w:t xml:space="preserve">w hedges, cross currency swap interest accruals are recognized in Net investment income and in Interest credited to policyholders’ account balances. </w:t>
      </w:r>
    </w:p>
    <w:p w:rsidR="00000000" w:rsidRDefault="005B0BC3">
      <w:pPr>
        <w:jc w:val="center"/>
        <w:divId w:val="544610057"/>
        <w:rPr>
          <w:rFonts w:eastAsia="Times New Roman"/>
        </w:rPr>
      </w:pPr>
    </w:p>
    <w:p w:rsidR="00000000" w:rsidRDefault="005B0BC3">
      <w:pPr>
        <w:jc w:val="center"/>
        <w:divId w:val="544610057"/>
        <w:rPr>
          <w:rFonts w:eastAsia="Times New Roman"/>
        </w:rPr>
      </w:pPr>
      <w:r>
        <w:rPr>
          <w:rFonts w:eastAsia="Times New Roman"/>
          <w:color w:val="000000"/>
          <w:sz w:val="20"/>
          <w:szCs w:val="20"/>
        </w:rPr>
        <w:t>169</w:t>
      </w:r>
    </w:p>
    <w:p w:rsidR="00000000" w:rsidRDefault="005B0BC3">
      <w:pPr>
        <w:rPr>
          <w:rFonts w:eastAsia="Times New Roman"/>
        </w:rPr>
      </w:pPr>
      <w:r>
        <w:rPr>
          <w:rFonts w:eastAsia="Times New Roman"/>
        </w:rPr>
        <w:pict>
          <v:rect id="_x0000_i1207" style="width:0;height:1.5pt" o:hralign="center" o:hrstd="t" o:hr="t" fillcolor="#a0a0a0" stroked="f"/>
        </w:pict>
      </w:r>
    </w:p>
    <w:p w:rsidR="00000000" w:rsidRDefault="005B0BC3">
      <w:pPr>
        <w:jc w:val="center"/>
        <w:divId w:val="334723509"/>
        <w:rPr>
          <w:rFonts w:eastAsia="Times New Roman"/>
        </w:rPr>
      </w:pPr>
      <w:r>
        <w:rPr>
          <w:rFonts w:eastAsia="Times New Roman"/>
          <w:b/>
          <w:bCs/>
          <w:color w:val="000000"/>
          <w:sz w:val="20"/>
          <w:szCs w:val="20"/>
        </w:rPr>
        <w:t>EQUITABLE HOLDINGS, INC.</w:t>
      </w:r>
    </w:p>
    <w:p w:rsidR="00000000" w:rsidRDefault="005B0BC3">
      <w:pPr>
        <w:jc w:val="center"/>
        <w:divId w:val="334723509"/>
        <w:rPr>
          <w:rFonts w:eastAsia="Times New Roman"/>
        </w:rPr>
      </w:pPr>
      <w:r>
        <w:rPr>
          <w:rFonts w:eastAsia="Times New Roman"/>
          <w:b/>
          <w:bCs/>
          <w:color w:val="000000"/>
          <w:sz w:val="20"/>
          <w:szCs w:val="20"/>
        </w:rPr>
        <w:t>NOTES TO CONSOLIDATED FINANCIAL STATEMENTS, continued</w:t>
      </w:r>
    </w:p>
    <w:p w:rsidR="00000000" w:rsidRDefault="005B0BC3">
      <w:pPr>
        <w:divId w:val="1171679107"/>
        <w:rPr>
          <w:rFonts w:eastAsia="Times New Roman"/>
        </w:rPr>
      </w:pPr>
      <w:r>
        <w:rPr>
          <w:rFonts w:eastAsia="Times New Roman"/>
          <w:color w:val="000000"/>
          <w:sz w:val="20"/>
          <w:szCs w:val="20"/>
        </w:rPr>
        <w:t>The tables below present quantitative disclosures about the Company’s derivative instruments designated in hedging relationships and derivative instruments which have not been designated in hedging rela</w:t>
      </w:r>
      <w:r>
        <w:rPr>
          <w:rFonts w:eastAsia="Times New Roman"/>
          <w:color w:val="000000"/>
          <w:sz w:val="20"/>
          <w:szCs w:val="20"/>
        </w:rPr>
        <w:t>tionships, including those embedded in other contracts required to be accounted for as derivative instruments.</w:t>
      </w:r>
    </w:p>
    <w:p w:rsidR="00000000" w:rsidRDefault="005B0BC3">
      <w:pPr>
        <w:divId w:val="1146318064"/>
        <w:rPr>
          <w:rFonts w:eastAsia="Times New Roman"/>
        </w:rPr>
      </w:pPr>
      <w:r>
        <w:rPr>
          <w:rFonts w:eastAsia="Times New Roman"/>
          <w:color w:val="000000"/>
          <w:sz w:val="20"/>
          <w:szCs w:val="20"/>
        </w:rPr>
        <w:t>The following table presents the gross notional amount and estimated fair value of the Company’s derivatives:</w:t>
      </w:r>
    </w:p>
    <w:p w:rsidR="00000000" w:rsidRDefault="005B0BC3">
      <w:pPr>
        <w:divId w:val="1760834867"/>
        <w:rPr>
          <w:rFonts w:eastAsia="Times New Roman"/>
        </w:rPr>
      </w:pPr>
    </w:p>
    <w:p w:rsidR="00000000" w:rsidRDefault="005B0BC3">
      <w:pPr>
        <w:jc w:val="center"/>
        <w:rPr>
          <w:rFonts w:eastAsia="Times New Roman"/>
        </w:rPr>
      </w:pPr>
      <w:r>
        <w:rPr>
          <w:rFonts w:eastAsia="Times New Roman"/>
          <w:b/>
          <w:bCs/>
          <w:color w:val="000000"/>
          <w:sz w:val="20"/>
          <w:szCs w:val="20"/>
        </w:rPr>
        <w:t>Derivative Instruments by Categor</w:t>
      </w:r>
      <w:r>
        <w:rPr>
          <w:rFonts w:eastAsia="Times New Roman"/>
          <w:b/>
          <w:bCs/>
          <w:color w:val="000000"/>
          <w:sz w:val="20"/>
          <w:szCs w:val="20"/>
        </w:rPr>
        <w:t>y</w:t>
      </w:r>
    </w:p>
    <w:tbl>
      <w:tblPr>
        <w:tblW w:w="5000" w:type="pct"/>
        <w:tblCellMar>
          <w:top w:w="15" w:type="dxa"/>
          <w:left w:w="15" w:type="dxa"/>
          <w:bottom w:w="15" w:type="dxa"/>
          <w:right w:w="15" w:type="dxa"/>
        </w:tblCellMar>
        <w:tblLook w:val="04A0" w:firstRow="1" w:lastRow="0" w:firstColumn="1" w:lastColumn="0" w:noHBand="0" w:noVBand="1"/>
      </w:tblPr>
      <w:tblGrid>
        <w:gridCol w:w="39"/>
        <w:gridCol w:w="2725"/>
        <w:gridCol w:w="38"/>
        <w:gridCol w:w="120"/>
        <w:gridCol w:w="600"/>
        <w:gridCol w:w="36"/>
        <w:gridCol w:w="36"/>
        <w:gridCol w:w="36"/>
        <w:gridCol w:w="36"/>
        <w:gridCol w:w="121"/>
        <w:gridCol w:w="691"/>
        <w:gridCol w:w="36"/>
        <w:gridCol w:w="36"/>
        <w:gridCol w:w="36"/>
        <w:gridCol w:w="36"/>
        <w:gridCol w:w="121"/>
        <w:gridCol w:w="691"/>
        <w:gridCol w:w="36"/>
        <w:gridCol w:w="36"/>
        <w:gridCol w:w="36"/>
        <w:gridCol w:w="36"/>
        <w:gridCol w:w="120"/>
        <w:gridCol w:w="700"/>
        <w:gridCol w:w="36"/>
        <w:gridCol w:w="36"/>
        <w:gridCol w:w="36"/>
        <w:gridCol w:w="36"/>
        <w:gridCol w:w="120"/>
        <w:gridCol w:w="600"/>
        <w:gridCol w:w="36"/>
        <w:gridCol w:w="36"/>
        <w:gridCol w:w="36"/>
        <w:gridCol w:w="36"/>
        <w:gridCol w:w="120"/>
        <w:gridCol w:w="600"/>
        <w:gridCol w:w="36"/>
        <w:gridCol w:w="36"/>
        <w:gridCol w:w="36"/>
        <w:gridCol w:w="36"/>
        <w:gridCol w:w="36"/>
      </w:tblGrid>
      <w:tr w:rsidR="00000000">
        <w:trPr>
          <w:divId w:val="1371808546"/>
        </w:trPr>
        <w:tc>
          <w:tcPr>
            <w:tcW w:w="50" w:type="pct"/>
            <w:vAlign w:val="center"/>
            <w:hideMark/>
          </w:tcPr>
          <w:p w:rsidR="00000000" w:rsidRDefault="005B0BC3">
            <w:pPr>
              <w:jc w:val="center"/>
              <w:rPr>
                <w:rFonts w:eastAsia="Times New Roman"/>
              </w:rPr>
            </w:pPr>
          </w:p>
        </w:tc>
        <w:tc>
          <w:tcPr>
            <w:tcW w:w="220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5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8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8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7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8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8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371808546"/>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8"/>
                <w:szCs w:val="18"/>
              </w:rPr>
              <w:t>December 31, 2021</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8"/>
                <w:szCs w:val="18"/>
              </w:rPr>
              <w:t>December 31, 2020</w:t>
            </w:r>
          </w:p>
        </w:tc>
        <w:tc>
          <w:tcPr>
            <w:tcW w:w="0" w:type="auto"/>
            <w:vAlign w:val="center"/>
            <w:hideMark/>
          </w:tcPr>
          <w:p w:rsidR="00000000" w:rsidRDefault="005B0BC3">
            <w:pPr>
              <w:spacing w:after="100"/>
              <w:jc w:val="center"/>
              <w:rPr>
                <w:rFonts w:eastAsia="Times New Roman"/>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371808546"/>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16"/>
                <w:szCs w:val="16"/>
              </w:rPr>
              <w:t> </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Fair Value</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Fair Value</w:t>
            </w:r>
          </w:p>
        </w:tc>
        <w:tc>
          <w:tcPr>
            <w:tcW w:w="0" w:type="auto"/>
            <w:vAlign w:val="center"/>
            <w:hideMark/>
          </w:tcPr>
          <w:p w:rsidR="00000000" w:rsidRDefault="005B0BC3">
            <w:pPr>
              <w:spacing w:after="100"/>
              <w:jc w:val="center"/>
              <w:rPr>
                <w:rFonts w:eastAsia="Times New Roman"/>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371808546"/>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 Notional Amount</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 Derivative Assets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 </w:t>
            </w:r>
            <w:r>
              <w:rPr>
                <w:rFonts w:eastAsia="Times New Roman"/>
                <w:b/>
                <w:bCs/>
                <w:color w:val="000000"/>
                <w:sz w:val="16"/>
                <w:szCs w:val="16"/>
              </w:rPr>
              <w:t>Derivative Liabilities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Notional Amount</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Derivative Assets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Derivative Liabilities</w:t>
            </w:r>
          </w:p>
        </w:tc>
        <w:tc>
          <w:tcPr>
            <w:tcW w:w="0" w:type="auto"/>
            <w:vAlign w:val="center"/>
            <w:hideMark/>
          </w:tcPr>
          <w:p w:rsidR="00000000" w:rsidRDefault="005B0BC3">
            <w:pPr>
              <w:spacing w:after="100"/>
              <w:jc w:val="center"/>
              <w:rPr>
                <w:rFonts w:eastAsia="Times New Roman"/>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371808546"/>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371808546"/>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Derivatives: Designated for Hedge accounting (1)</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371808546"/>
        </w:trPr>
        <w:tc>
          <w:tcPr>
            <w:tcW w:w="0" w:type="auto"/>
            <w:gridSpan w:val="3"/>
            <w:tcMar>
              <w:top w:w="30" w:type="dxa"/>
              <w:left w:w="140" w:type="dxa"/>
              <w:bottom w:w="30" w:type="dxa"/>
              <w:right w:w="20" w:type="dxa"/>
            </w:tcMar>
            <w:hideMark/>
          </w:tcPr>
          <w:p w:rsidR="00000000" w:rsidRDefault="005B0BC3">
            <w:pPr>
              <w:spacing w:after="100"/>
              <w:rPr>
                <w:rFonts w:eastAsia="Times New Roman"/>
              </w:rPr>
            </w:pPr>
            <w:r>
              <w:rPr>
                <w:rFonts w:eastAsia="Times New Roman"/>
                <w:color w:val="000000"/>
                <w:sz w:val="20"/>
                <w:szCs w:val="20"/>
              </w:rPr>
              <w:t> </w:t>
            </w:r>
            <w:r>
              <w:rPr>
                <w:rFonts w:eastAsia="Times New Roman"/>
                <w:color w:val="000000"/>
                <w:sz w:val="20"/>
                <w:szCs w:val="20"/>
              </w:rPr>
              <w:t xml:space="preserve">Cash Flow Hedges: </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371808546"/>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371808546"/>
        </w:trPr>
        <w:tc>
          <w:tcPr>
            <w:tcW w:w="0" w:type="auto"/>
            <w:gridSpan w:val="3"/>
            <w:shd w:val="clear" w:color="auto" w:fill="CCEE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xml:space="preserve"> Currency Swaps </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371808546"/>
        </w:trPr>
        <w:tc>
          <w:tcPr>
            <w:tcW w:w="0" w:type="auto"/>
            <w:gridSpan w:val="3"/>
            <w:shd w:val="clear" w:color="auto" w:fill="FFFFFF"/>
            <w:tcMar>
              <w:top w:w="30" w:type="dxa"/>
              <w:left w:w="140" w:type="dxa"/>
              <w:bottom w:w="30" w:type="dxa"/>
              <w:right w:w="20" w:type="dxa"/>
            </w:tcMar>
            <w:hideMark/>
          </w:tcPr>
          <w:p w:rsidR="00000000" w:rsidRDefault="005B0BC3">
            <w:pPr>
              <w:spacing w:after="100"/>
              <w:rPr>
                <w:rFonts w:eastAsia="Times New Roman"/>
              </w:rPr>
            </w:pPr>
            <w:r>
              <w:rPr>
                <w:rFonts w:eastAsia="Times New Roman"/>
                <w:color w:val="000000"/>
                <w:sz w:val="20"/>
                <w:szCs w:val="20"/>
              </w:rPr>
              <w:t xml:space="preserve"> Interest Swaps </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955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395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957 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371808546"/>
        </w:trPr>
        <w:tc>
          <w:tcPr>
            <w:tcW w:w="0" w:type="auto"/>
            <w:gridSpan w:val="3"/>
            <w:shd w:val="clear" w:color="auto" w:fill="CCEEFF"/>
            <w:tcMar>
              <w:top w:w="30" w:type="dxa"/>
              <w:left w:w="260" w:type="dxa"/>
              <w:bottom w:w="30" w:type="dxa"/>
              <w:right w:w="20" w:type="dxa"/>
            </w:tcMar>
            <w:hideMark/>
          </w:tcPr>
          <w:p w:rsidR="00000000" w:rsidRDefault="005B0BC3">
            <w:pPr>
              <w:spacing w:after="100"/>
              <w:rPr>
                <w:rFonts w:eastAsia="Times New Roman"/>
              </w:rPr>
            </w:pPr>
            <w:r>
              <w:rPr>
                <w:rFonts w:eastAsia="Times New Roman"/>
                <w:color w:val="000000"/>
                <w:sz w:val="20"/>
                <w:szCs w:val="20"/>
              </w:rPr>
              <w:t xml:space="preserve"> Total: Designated for Hedge accounting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1,876</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437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371808546"/>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Derivatives: Not designated for Hedge accounting (1)</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371808546"/>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Equity contracts:</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371808546"/>
        </w:trPr>
        <w:tc>
          <w:tcPr>
            <w:tcW w:w="0" w:type="auto"/>
            <w:gridSpan w:val="3"/>
            <w:shd w:val="clear" w:color="auto" w:fill="FFFF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Futures (5)</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2,640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4,881 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371808546"/>
        </w:trPr>
        <w:tc>
          <w:tcPr>
            <w:tcW w:w="0" w:type="auto"/>
            <w:gridSpan w:val="3"/>
            <w:shd w:val="clear" w:color="auto" w:fill="CCEEFF"/>
            <w:tcMar>
              <w:top w:w="30" w:type="dxa"/>
              <w:left w:w="140" w:type="dxa"/>
              <w:bottom w:w="30" w:type="dxa"/>
              <w:right w:w="20" w:type="dxa"/>
            </w:tcMar>
            <w:hideMark/>
          </w:tcPr>
          <w:p w:rsidR="00000000" w:rsidRDefault="005B0BC3">
            <w:pPr>
              <w:spacing w:after="100"/>
              <w:rPr>
                <w:rFonts w:eastAsia="Times New Roman"/>
              </w:rPr>
            </w:pPr>
            <w:r>
              <w:rPr>
                <w:rFonts w:eastAsia="Times New Roman"/>
                <w:color w:val="000000"/>
                <w:sz w:val="20"/>
                <w:szCs w:val="20"/>
              </w:rPr>
              <w:t>Swaps (5)</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13,378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22,456 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371808546"/>
        </w:trPr>
        <w:tc>
          <w:tcPr>
            <w:tcW w:w="0" w:type="auto"/>
            <w:gridSpan w:val="3"/>
            <w:shd w:val="clear" w:color="auto" w:fill="FFFFFF"/>
            <w:tcMar>
              <w:top w:w="30" w:type="dxa"/>
              <w:left w:w="140" w:type="dxa"/>
              <w:bottom w:w="30" w:type="dxa"/>
              <w:right w:w="20" w:type="dxa"/>
            </w:tcMar>
            <w:hideMark/>
          </w:tcPr>
          <w:p w:rsidR="00000000" w:rsidRDefault="005B0BC3">
            <w:pPr>
              <w:spacing w:after="100"/>
              <w:rPr>
                <w:rFonts w:eastAsia="Times New Roman"/>
              </w:rPr>
            </w:pPr>
            <w:r>
              <w:rPr>
                <w:rFonts w:eastAsia="Times New Roman"/>
                <w:color w:val="000000"/>
                <w:sz w:val="20"/>
                <w:szCs w:val="20"/>
              </w:rPr>
              <w:t>Options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48,489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12,024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5,065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35,848 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8,396 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3,726 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371808546"/>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Interest rate contracts:</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371808546"/>
        </w:trPr>
        <w:tc>
          <w:tcPr>
            <w:tcW w:w="0" w:type="auto"/>
            <w:gridSpan w:val="3"/>
            <w:shd w:val="clear" w:color="auto" w:fill="FFFFFF"/>
            <w:tcMar>
              <w:top w:w="30" w:type="dxa"/>
              <w:left w:w="140" w:type="dxa"/>
              <w:bottom w:w="30" w:type="dxa"/>
              <w:right w:w="20" w:type="dxa"/>
            </w:tcMar>
            <w:hideMark/>
          </w:tcPr>
          <w:p w:rsidR="00000000" w:rsidRDefault="005B0BC3">
            <w:pPr>
              <w:spacing w:after="100"/>
              <w:rPr>
                <w:rFonts w:eastAsia="Times New Roman"/>
              </w:rPr>
            </w:pPr>
            <w:r>
              <w:rPr>
                <w:rFonts w:eastAsia="Times New Roman"/>
                <w:color w:val="000000"/>
                <w:sz w:val="20"/>
                <w:szCs w:val="20"/>
              </w:rPr>
              <w:t>Futures (5)</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12,575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18,571 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371808546"/>
        </w:trPr>
        <w:tc>
          <w:tcPr>
            <w:tcW w:w="0" w:type="auto"/>
            <w:gridSpan w:val="3"/>
            <w:shd w:val="clear" w:color="auto" w:fill="CCEE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Swaps (5)</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1,889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22,877 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553 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437 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371808546"/>
        </w:trPr>
        <w:tc>
          <w:tcPr>
            <w:tcW w:w="0" w:type="auto"/>
            <w:gridSpan w:val="3"/>
            <w:shd w:val="clear" w:color="auto" w:fill="FFFFFF"/>
            <w:tcMar>
              <w:top w:w="30" w:type="dxa"/>
              <w:left w:w="140" w:type="dxa"/>
              <w:bottom w:w="30" w:type="dxa"/>
              <w:right w:w="20" w:type="dxa"/>
            </w:tcMar>
            <w:hideMark/>
          </w:tcPr>
          <w:p w:rsidR="00000000" w:rsidRDefault="005B0BC3">
            <w:pPr>
              <w:spacing w:after="100"/>
              <w:rPr>
                <w:rFonts w:eastAsia="Times New Roman"/>
              </w:rPr>
            </w:pPr>
            <w:r>
              <w:rPr>
                <w:rFonts w:eastAsia="Times New Roman"/>
                <w:color w:val="000000"/>
                <w:sz w:val="20"/>
                <w:szCs w:val="20"/>
              </w:rPr>
              <w:t>Swaptions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371808546"/>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Credit contracts:</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371808546"/>
        </w:trPr>
        <w:tc>
          <w:tcPr>
            <w:tcW w:w="0" w:type="auto"/>
            <w:gridSpan w:val="3"/>
            <w:shd w:val="clear" w:color="auto" w:fill="FFFFFF"/>
            <w:tcMar>
              <w:top w:w="30" w:type="dxa"/>
              <w:left w:w="14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Credit default swaps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1,087 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371808546"/>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Currency</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371808546"/>
        </w:trPr>
        <w:tc>
          <w:tcPr>
            <w:tcW w:w="0" w:type="auto"/>
            <w:gridSpan w:val="3"/>
            <w:shd w:val="clear" w:color="auto" w:fill="FFFF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Currency Swaps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411 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371808546"/>
        </w:trPr>
        <w:tc>
          <w:tcPr>
            <w:tcW w:w="0" w:type="auto"/>
            <w:gridSpan w:val="3"/>
            <w:shd w:val="clear" w:color="auto" w:fill="CCEEFF"/>
            <w:tcMar>
              <w:top w:w="30" w:type="dxa"/>
              <w:left w:w="14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Currency forwards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371808546"/>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Other freestanding contracts:</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371808546"/>
        </w:trPr>
        <w:tc>
          <w:tcPr>
            <w:tcW w:w="0" w:type="auto"/>
            <w:gridSpan w:val="3"/>
            <w:shd w:val="clear" w:color="auto" w:fill="CCEEFF"/>
            <w:tcMar>
              <w:top w:w="30" w:type="dxa"/>
              <w:left w:w="140" w:type="dxa"/>
              <w:bottom w:w="30" w:type="dxa"/>
              <w:right w:w="20" w:type="dxa"/>
            </w:tcMar>
            <w:hideMark/>
          </w:tcPr>
          <w:p w:rsidR="00000000" w:rsidRDefault="005B0BC3">
            <w:pPr>
              <w:spacing w:after="100"/>
              <w:rPr>
                <w:rFonts w:eastAsia="Times New Roman"/>
              </w:rPr>
            </w:pPr>
            <w:r>
              <w:rPr>
                <w:rFonts w:eastAsia="Times New Roman"/>
                <w:color w:val="000000"/>
                <w:sz w:val="20"/>
                <w:szCs w:val="20"/>
              </w:rPr>
              <w:t>Margin</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371808546"/>
        </w:trPr>
        <w:tc>
          <w:tcPr>
            <w:tcW w:w="0" w:type="auto"/>
            <w:gridSpan w:val="3"/>
            <w:shd w:val="clear" w:color="auto" w:fill="FFFFFF"/>
            <w:tcMar>
              <w:top w:w="30" w:type="dxa"/>
              <w:left w:w="14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Collateral</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178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6,160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3,839 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371808546"/>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Not designated for Hedge accounting</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80,365</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12,351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11,293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106,131 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9,244 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8,095 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371808546"/>
          <w:trHeight w:val="280"/>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371808546"/>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Embedded Derivatives:</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371808546"/>
        </w:trPr>
        <w:tc>
          <w:tcPr>
            <w:tcW w:w="0" w:type="auto"/>
            <w:gridSpan w:val="3"/>
            <w:shd w:val="clear" w:color="auto" w:fill="FFFFFF"/>
            <w:tcMar>
              <w:top w:w="30" w:type="dxa"/>
              <w:left w:w="14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Amounts due from reinsurers (6)</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5,813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371808546"/>
        </w:trPr>
        <w:tc>
          <w:tcPr>
            <w:tcW w:w="0" w:type="auto"/>
            <w:gridSpan w:val="3"/>
            <w:shd w:val="clear" w:color="auto" w:fill="CCEEFF"/>
            <w:tcMar>
              <w:top w:w="30" w:type="dxa"/>
              <w:left w:w="140" w:type="dxa"/>
              <w:bottom w:w="30" w:type="dxa"/>
              <w:right w:w="20" w:type="dxa"/>
            </w:tcMar>
            <w:hideMark/>
          </w:tcPr>
          <w:p w:rsidR="00000000" w:rsidRDefault="005B0BC3">
            <w:pPr>
              <w:spacing w:after="100"/>
              <w:rPr>
                <w:rFonts w:eastAsia="Times New Roman"/>
              </w:rPr>
            </w:pPr>
            <w:r>
              <w:rPr>
                <w:rFonts w:eastAsia="Times New Roman"/>
                <w:color w:val="000000"/>
                <w:sz w:val="20"/>
                <w:szCs w:val="20"/>
              </w:rPr>
              <w:t>GMIB reinsurance contracts (2)</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1,848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2,488 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371808546"/>
        </w:trPr>
        <w:tc>
          <w:tcPr>
            <w:tcW w:w="0" w:type="auto"/>
            <w:gridSpan w:val="3"/>
            <w:shd w:val="clear" w:color="auto" w:fill="FFFF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GMxB derivative features liability (3)</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8,525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11,131 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371808546"/>
        </w:trPr>
        <w:tc>
          <w:tcPr>
            <w:tcW w:w="0" w:type="auto"/>
            <w:gridSpan w:val="3"/>
            <w:shd w:val="clear" w:color="auto" w:fill="CCEEFF"/>
            <w:tcMar>
              <w:top w:w="30" w:type="dxa"/>
              <w:left w:w="140" w:type="dxa"/>
              <w:bottom w:w="30" w:type="dxa"/>
              <w:right w:w="20" w:type="dxa"/>
            </w:tcMar>
            <w:hideMark/>
          </w:tcPr>
          <w:p w:rsidR="00000000" w:rsidRDefault="005B0BC3">
            <w:pPr>
              <w:spacing w:after="100"/>
              <w:rPr>
                <w:rFonts w:eastAsia="Times New Roman"/>
              </w:rPr>
            </w:pPr>
            <w:r>
              <w:rPr>
                <w:rFonts w:eastAsia="Times New Roman"/>
                <w:color w:val="000000"/>
                <w:sz w:val="20"/>
                <w:szCs w:val="20"/>
              </w:rPr>
              <w:t>SCS, SIO, MSO and IUL indexed features (4)</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6,773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4,509 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371808546"/>
        </w:trPr>
        <w:tc>
          <w:tcPr>
            <w:tcW w:w="0" w:type="auto"/>
            <w:gridSpan w:val="3"/>
            <w:shd w:val="clear" w:color="auto" w:fill="FFFFFF"/>
            <w:tcMar>
              <w:top w:w="30" w:type="dxa"/>
              <w:left w:w="14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Total Embedded Derivatives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7,661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15,298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2,488 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15,640 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371808546"/>
          <w:trHeight w:val="280"/>
        </w:trPr>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371808546"/>
        </w:trPr>
        <w:tc>
          <w:tcPr>
            <w:tcW w:w="0" w:type="auto"/>
            <w:gridSpan w:val="3"/>
            <w:shd w:val="clear" w:color="auto" w:fill="FFFFFF"/>
            <w:tcMar>
              <w:top w:w="30" w:type="dxa"/>
              <w:left w:w="26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Total derivative instruments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82,241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20,019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27,028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107,088 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11,732 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23,954 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bl>
    <w:p w:rsidR="00000000" w:rsidRDefault="005B0BC3">
      <w:pPr>
        <w:ind w:hanging="360"/>
        <w:divId w:val="1765807596"/>
        <w:rPr>
          <w:rFonts w:eastAsia="Times New Roman"/>
        </w:rPr>
      </w:pPr>
      <w:r>
        <w:rPr>
          <w:rFonts w:eastAsia="Times New Roman"/>
          <w:color w:val="000000"/>
          <w:sz w:val="18"/>
          <w:szCs w:val="18"/>
        </w:rPr>
        <w:t>___________</w:t>
      </w:r>
    </w:p>
    <w:p w:rsidR="00000000" w:rsidRDefault="005B0BC3">
      <w:pPr>
        <w:ind w:hanging="360"/>
        <w:divId w:val="7298285"/>
        <w:rPr>
          <w:rFonts w:eastAsia="Times New Roman"/>
        </w:rPr>
      </w:pPr>
      <w:r>
        <w:rPr>
          <w:rFonts w:eastAsia="Times New Roman"/>
          <w:color w:val="000000"/>
          <w:sz w:val="18"/>
          <w:szCs w:val="18"/>
        </w:rPr>
        <w:t>(1)Reported in other invested assets in the consolidated balance sheets.</w:t>
      </w:r>
    </w:p>
    <w:p w:rsidR="00000000" w:rsidRDefault="005B0BC3">
      <w:pPr>
        <w:ind w:hanging="360"/>
        <w:divId w:val="205029338"/>
        <w:rPr>
          <w:rFonts w:eastAsia="Times New Roman"/>
        </w:rPr>
      </w:pPr>
      <w:r>
        <w:rPr>
          <w:rFonts w:eastAsia="Times New Roman"/>
          <w:color w:val="000000"/>
          <w:sz w:val="18"/>
          <w:szCs w:val="18"/>
        </w:rPr>
        <w:t>(2) Reported in GMIB reinsurance contract asset in</w:t>
      </w:r>
      <w:r>
        <w:rPr>
          <w:rFonts w:eastAsia="Times New Roman"/>
          <w:color w:val="000000"/>
          <w:sz w:val="18"/>
          <w:szCs w:val="18"/>
        </w:rPr>
        <w:t xml:space="preserve"> the consolidated balance sheets.</w:t>
      </w:r>
    </w:p>
    <w:p w:rsidR="00000000" w:rsidRDefault="005B0BC3">
      <w:pPr>
        <w:ind w:hanging="360"/>
        <w:divId w:val="242230258"/>
        <w:rPr>
          <w:rFonts w:eastAsia="Times New Roman"/>
        </w:rPr>
      </w:pPr>
      <w:r>
        <w:rPr>
          <w:rFonts w:eastAsia="Times New Roman"/>
          <w:color w:val="000000"/>
          <w:sz w:val="18"/>
          <w:szCs w:val="18"/>
        </w:rPr>
        <w:t>(3)    Reported in future policy benefits and other policyholders’ liabilities in the consolidated balance sheets.</w:t>
      </w:r>
    </w:p>
    <w:p w:rsidR="00000000" w:rsidRDefault="005B0BC3">
      <w:pPr>
        <w:ind w:hanging="360"/>
        <w:divId w:val="55012319"/>
        <w:rPr>
          <w:rFonts w:eastAsia="Times New Roman"/>
        </w:rPr>
      </w:pPr>
      <w:r>
        <w:rPr>
          <w:rFonts w:eastAsia="Times New Roman"/>
          <w:color w:val="000000"/>
          <w:sz w:val="18"/>
          <w:szCs w:val="18"/>
        </w:rPr>
        <w:t>(4)    Reported in policyholders’ account balances in the consolidated balance sheets.</w:t>
      </w:r>
    </w:p>
    <w:p w:rsidR="00000000" w:rsidRDefault="005B0BC3">
      <w:pPr>
        <w:ind w:hanging="360"/>
        <w:divId w:val="1636597347"/>
        <w:rPr>
          <w:rFonts w:eastAsia="Times New Roman"/>
        </w:rPr>
      </w:pPr>
      <w:r>
        <w:rPr>
          <w:rFonts w:eastAsia="Times New Roman"/>
          <w:color w:val="000000"/>
          <w:sz w:val="18"/>
          <w:szCs w:val="18"/>
        </w:rPr>
        <w:t>(5)    Decrease in f</w:t>
      </w:r>
      <w:r>
        <w:rPr>
          <w:rFonts w:eastAsia="Times New Roman"/>
          <w:color w:val="000000"/>
          <w:sz w:val="18"/>
          <w:szCs w:val="18"/>
        </w:rPr>
        <w:t>utures and swaps notional as of December 31, 2021 is primarily due to Venerable Transaction (see Note 1 of the Notes to these Consolidated Financial Statements).</w:t>
      </w:r>
    </w:p>
    <w:p w:rsidR="00000000" w:rsidRDefault="005B0BC3">
      <w:pPr>
        <w:ind w:hanging="360"/>
        <w:divId w:val="934436775"/>
        <w:rPr>
          <w:rFonts w:eastAsia="Times New Roman"/>
        </w:rPr>
      </w:pPr>
      <w:r>
        <w:rPr>
          <w:rFonts w:eastAsia="Times New Roman"/>
          <w:color w:val="000000"/>
          <w:sz w:val="18"/>
          <w:szCs w:val="18"/>
        </w:rPr>
        <w:t>(6)    Represents GMIB NLG ceded related to the Venerable Transaction.</w:t>
      </w:r>
    </w:p>
    <w:p w:rsidR="00000000" w:rsidRDefault="005B0BC3">
      <w:pPr>
        <w:jc w:val="center"/>
        <w:divId w:val="688919958"/>
        <w:rPr>
          <w:rFonts w:eastAsia="Times New Roman"/>
        </w:rPr>
      </w:pPr>
    </w:p>
    <w:p w:rsidR="00000000" w:rsidRDefault="005B0BC3">
      <w:pPr>
        <w:jc w:val="center"/>
        <w:divId w:val="688919958"/>
        <w:rPr>
          <w:rFonts w:eastAsia="Times New Roman"/>
        </w:rPr>
      </w:pPr>
      <w:r>
        <w:rPr>
          <w:rFonts w:eastAsia="Times New Roman"/>
          <w:color w:val="000000"/>
          <w:sz w:val="20"/>
          <w:szCs w:val="20"/>
        </w:rPr>
        <w:t>170</w:t>
      </w:r>
    </w:p>
    <w:p w:rsidR="00000000" w:rsidRDefault="005B0BC3">
      <w:pPr>
        <w:rPr>
          <w:rFonts w:eastAsia="Times New Roman"/>
        </w:rPr>
      </w:pPr>
      <w:r>
        <w:rPr>
          <w:rFonts w:eastAsia="Times New Roman"/>
        </w:rPr>
        <w:pict>
          <v:rect id="_x0000_i1208" style="width:0;height:1.5pt" o:hralign="center" o:hrstd="t" o:hr="t" fillcolor="#a0a0a0" stroked="f"/>
        </w:pict>
      </w:r>
    </w:p>
    <w:p w:rsidR="00000000" w:rsidRDefault="005B0BC3">
      <w:pPr>
        <w:jc w:val="center"/>
        <w:divId w:val="274405904"/>
        <w:rPr>
          <w:rFonts w:eastAsia="Times New Roman"/>
        </w:rPr>
      </w:pPr>
      <w:r>
        <w:rPr>
          <w:rFonts w:eastAsia="Times New Roman"/>
          <w:b/>
          <w:bCs/>
          <w:color w:val="000000"/>
          <w:sz w:val="20"/>
          <w:szCs w:val="20"/>
        </w:rPr>
        <w:t>EQUITABLE HOLDINGS, INC.</w:t>
      </w:r>
    </w:p>
    <w:p w:rsidR="00000000" w:rsidRDefault="005B0BC3">
      <w:pPr>
        <w:jc w:val="center"/>
        <w:divId w:val="274405904"/>
        <w:rPr>
          <w:rFonts w:eastAsia="Times New Roman"/>
        </w:rPr>
      </w:pPr>
      <w:r>
        <w:rPr>
          <w:rFonts w:eastAsia="Times New Roman"/>
          <w:b/>
          <w:bCs/>
          <w:color w:val="000000"/>
          <w:sz w:val="20"/>
          <w:szCs w:val="20"/>
        </w:rPr>
        <w:t>NOTES TO CONSOLIDATED FINANCIAL STATEMENTS, continued</w:t>
      </w:r>
    </w:p>
    <w:p w:rsidR="00000000" w:rsidRDefault="005B0BC3">
      <w:pPr>
        <w:ind w:firstLine="360"/>
        <w:divId w:val="1526793666"/>
        <w:rPr>
          <w:rFonts w:eastAsia="Times New Roman"/>
        </w:rPr>
      </w:pPr>
    </w:p>
    <w:p w:rsidR="00000000" w:rsidRDefault="005B0BC3">
      <w:pPr>
        <w:ind w:firstLine="360"/>
        <w:divId w:val="1779909329"/>
        <w:rPr>
          <w:rFonts w:eastAsia="Times New Roman"/>
        </w:rPr>
      </w:pPr>
    </w:p>
    <w:p w:rsidR="00000000" w:rsidRDefault="005B0BC3">
      <w:pPr>
        <w:divId w:val="1941520454"/>
        <w:rPr>
          <w:rFonts w:eastAsia="Times New Roman"/>
        </w:rPr>
      </w:pPr>
    </w:p>
    <w:p w:rsidR="00000000" w:rsidRDefault="005B0BC3">
      <w:pPr>
        <w:divId w:val="1741706193"/>
        <w:rPr>
          <w:rFonts w:eastAsia="Times New Roman"/>
        </w:rPr>
      </w:pPr>
      <w:r>
        <w:rPr>
          <w:rFonts w:eastAsia="Times New Roman"/>
          <w:color w:val="000000"/>
          <w:sz w:val="20"/>
          <w:szCs w:val="20"/>
        </w:rPr>
        <w:t>The following table presents the effects of derivative instruments on the consolidated statements of income and comprehensive income (l</w:t>
      </w:r>
      <w:r>
        <w:rPr>
          <w:rFonts w:eastAsia="Times New Roman"/>
          <w:color w:val="000000"/>
          <w:sz w:val="20"/>
          <w:szCs w:val="20"/>
        </w:rPr>
        <w:t>oss).</w:t>
      </w:r>
    </w:p>
    <w:p w:rsidR="00000000" w:rsidRDefault="005B0BC3">
      <w:pPr>
        <w:jc w:val="center"/>
        <w:rPr>
          <w:rFonts w:eastAsia="Times New Roman"/>
        </w:rPr>
      </w:pPr>
    </w:p>
    <w:p w:rsidR="00000000" w:rsidRDefault="005B0BC3">
      <w:pPr>
        <w:jc w:val="center"/>
        <w:rPr>
          <w:rFonts w:eastAsia="Times New Roman"/>
        </w:rPr>
      </w:pPr>
      <w:r>
        <w:rPr>
          <w:rFonts w:eastAsia="Times New Roman"/>
          <w:b/>
          <w:bCs/>
          <w:color w:val="000000"/>
          <w:sz w:val="20"/>
          <w:szCs w:val="20"/>
        </w:rPr>
        <w:t>Derivative Instruments by Category</w:t>
      </w:r>
    </w:p>
    <w:p w:rsidR="00000000" w:rsidRDefault="005B0BC3">
      <w:pPr>
        <w:jc w:val="center"/>
        <w:divId w:val="684207714"/>
        <w:rPr>
          <w:rFonts w:eastAsia="Times New Roman"/>
        </w:rPr>
      </w:pPr>
    </w:p>
    <w:p w:rsidR="00000000" w:rsidRDefault="005B0BC3">
      <w:pPr>
        <w:jc w:val="center"/>
        <w:divId w:val="684207714"/>
        <w:rPr>
          <w:rFonts w:eastAsia="Times New Roman"/>
        </w:rPr>
      </w:pPr>
      <w:r>
        <w:rPr>
          <w:rFonts w:eastAsia="Times New Roman"/>
          <w:color w:val="000000"/>
          <w:sz w:val="20"/>
          <w:szCs w:val="20"/>
        </w:rPr>
        <w:t>171</w:t>
      </w:r>
    </w:p>
    <w:p w:rsidR="00000000" w:rsidRDefault="005B0BC3">
      <w:pPr>
        <w:rPr>
          <w:rFonts w:eastAsia="Times New Roman"/>
        </w:rPr>
      </w:pPr>
      <w:r>
        <w:rPr>
          <w:rFonts w:eastAsia="Times New Roman"/>
        </w:rPr>
        <w:pict>
          <v:rect id="_x0000_i1209" style="width:0;height:1.5pt" o:hralign="center" o:hrstd="t" o:hr="t" fillcolor="#a0a0a0" stroked="f"/>
        </w:pict>
      </w:r>
    </w:p>
    <w:p w:rsidR="00000000" w:rsidRDefault="005B0BC3">
      <w:pPr>
        <w:jc w:val="center"/>
        <w:divId w:val="1029454037"/>
        <w:rPr>
          <w:rFonts w:eastAsia="Times New Roman"/>
        </w:rPr>
      </w:pPr>
      <w:r>
        <w:rPr>
          <w:rFonts w:eastAsia="Times New Roman"/>
          <w:b/>
          <w:bCs/>
          <w:color w:val="000000"/>
          <w:sz w:val="20"/>
          <w:szCs w:val="20"/>
        </w:rPr>
        <w:t>EQUITABLE HOLDINGS, INC.</w:t>
      </w:r>
    </w:p>
    <w:p w:rsidR="00000000" w:rsidRDefault="005B0BC3">
      <w:pPr>
        <w:jc w:val="center"/>
        <w:divId w:val="1029454037"/>
        <w:rPr>
          <w:rFonts w:eastAsia="Times New Roman"/>
        </w:rPr>
      </w:pPr>
      <w:r>
        <w:rPr>
          <w:rFonts w:eastAsia="Times New Roman"/>
          <w:b/>
          <w:bCs/>
          <w:color w:val="000000"/>
          <w:sz w:val="20"/>
          <w:szCs w:val="20"/>
        </w:rPr>
        <w:t>NOTES TO CONSOLIDATED FINANCIAL STATEMENTS, continued</w:t>
      </w:r>
    </w:p>
    <w:tbl>
      <w:tblPr>
        <w:tblW w:w="5000" w:type="pct"/>
        <w:tblCellMar>
          <w:top w:w="15" w:type="dxa"/>
          <w:left w:w="15" w:type="dxa"/>
          <w:bottom w:w="15" w:type="dxa"/>
          <w:right w:w="15" w:type="dxa"/>
        </w:tblCellMar>
        <w:tblLook w:val="04A0" w:firstRow="1" w:lastRow="0" w:firstColumn="1" w:lastColumn="0" w:noHBand="0" w:noVBand="1"/>
      </w:tblPr>
      <w:tblGrid>
        <w:gridCol w:w="55"/>
        <w:gridCol w:w="1013"/>
        <w:gridCol w:w="36"/>
        <w:gridCol w:w="121"/>
        <w:gridCol w:w="825"/>
        <w:gridCol w:w="37"/>
        <w:gridCol w:w="36"/>
        <w:gridCol w:w="36"/>
        <w:gridCol w:w="36"/>
        <w:gridCol w:w="36"/>
        <w:gridCol w:w="121"/>
        <w:gridCol w:w="798"/>
        <w:gridCol w:w="36"/>
        <w:gridCol w:w="36"/>
        <w:gridCol w:w="36"/>
        <w:gridCol w:w="36"/>
        <w:gridCol w:w="120"/>
        <w:gridCol w:w="334"/>
        <w:gridCol w:w="36"/>
        <w:gridCol w:w="36"/>
        <w:gridCol w:w="36"/>
        <w:gridCol w:w="36"/>
        <w:gridCol w:w="121"/>
        <w:gridCol w:w="789"/>
        <w:gridCol w:w="37"/>
        <w:gridCol w:w="36"/>
        <w:gridCol w:w="36"/>
        <w:gridCol w:w="36"/>
        <w:gridCol w:w="36"/>
        <w:gridCol w:w="121"/>
        <w:gridCol w:w="755"/>
        <w:gridCol w:w="36"/>
        <w:gridCol w:w="36"/>
        <w:gridCol w:w="36"/>
        <w:gridCol w:w="36"/>
        <w:gridCol w:w="120"/>
        <w:gridCol w:w="334"/>
        <w:gridCol w:w="36"/>
        <w:gridCol w:w="36"/>
        <w:gridCol w:w="36"/>
        <w:gridCol w:w="36"/>
        <w:gridCol w:w="121"/>
        <w:gridCol w:w="791"/>
        <w:gridCol w:w="37"/>
        <w:gridCol w:w="36"/>
        <w:gridCol w:w="36"/>
        <w:gridCol w:w="36"/>
        <w:gridCol w:w="36"/>
        <w:gridCol w:w="121"/>
        <w:gridCol w:w="757"/>
        <w:gridCol w:w="36"/>
        <w:gridCol w:w="36"/>
        <w:gridCol w:w="36"/>
        <w:gridCol w:w="36"/>
        <w:gridCol w:w="120"/>
        <w:gridCol w:w="334"/>
        <w:gridCol w:w="36"/>
      </w:tblGrid>
      <w:tr w:rsidR="00000000">
        <w:trPr>
          <w:divId w:val="62340575"/>
        </w:trPr>
        <w:tc>
          <w:tcPr>
            <w:tcW w:w="50" w:type="pct"/>
            <w:vAlign w:val="center"/>
            <w:hideMark/>
          </w:tcPr>
          <w:p w:rsidR="00000000" w:rsidRDefault="005B0BC3">
            <w:pPr>
              <w:jc w:val="center"/>
              <w:rPr>
                <w:rFonts w:eastAsia="Times New Roman"/>
              </w:rPr>
            </w:pPr>
          </w:p>
        </w:tc>
        <w:tc>
          <w:tcPr>
            <w:tcW w:w="9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2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26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1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0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25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2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1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25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62340575"/>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13"/>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b/>
                <w:bCs/>
                <w:color w:val="000000"/>
                <w:sz w:val="16"/>
                <w:szCs w:val="16"/>
              </w:rPr>
              <w:t>Year Ended December 31, 2021</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13"/>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color w:val="000000"/>
                <w:sz w:val="16"/>
                <w:szCs w:val="16"/>
              </w:rPr>
              <w:t>Year Ended December 31, 2020</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13"/>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color w:val="000000"/>
                <w:sz w:val="16"/>
                <w:szCs w:val="16"/>
              </w:rPr>
              <w:t>Year Ended December 31, 2019</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62340575"/>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b/>
                <w:bCs/>
                <w:color w:val="000000"/>
                <w:sz w:val="16"/>
                <w:szCs w:val="16"/>
              </w:rPr>
              <w:t>Net Derivatives Gain(Losses)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b/>
                <w:bCs/>
                <w:color w:val="000000"/>
                <w:sz w:val="16"/>
                <w:szCs w:val="16"/>
              </w:rPr>
              <w:t>Interest Credited To Policyholder Account Balances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b/>
                <w:bCs/>
                <w:color w:val="000000"/>
                <w:sz w:val="16"/>
                <w:szCs w:val="16"/>
              </w:rPr>
              <w:t>AOCI</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color w:val="000000"/>
                <w:sz w:val="16"/>
                <w:szCs w:val="16"/>
              </w:rPr>
              <w:t>Net Derivatives Gain(Losses)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color w:val="000000"/>
                <w:sz w:val="16"/>
                <w:szCs w:val="16"/>
              </w:rPr>
              <w:t>Interest Credited To Policyholder Account Balances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color w:val="000000"/>
                <w:sz w:val="16"/>
                <w:szCs w:val="16"/>
              </w:rPr>
              <w:t>AOCI</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color w:val="000000"/>
                <w:sz w:val="16"/>
                <w:szCs w:val="16"/>
              </w:rPr>
              <w:t>Net Derivatives Gain(Losses) (1)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color w:val="000000"/>
                <w:sz w:val="16"/>
                <w:szCs w:val="16"/>
              </w:rPr>
              <w:t>Interest Credited To Policyholder Account Balances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2"/>
            <w:tcBorders>
              <w:top w:val="single" w:sz="8" w:space="0" w:color="000000"/>
              <w:bottom w:val="single" w:sz="8" w:space="0" w:color="000000"/>
            </w:tcBorders>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color w:val="000000"/>
                <w:sz w:val="16"/>
                <w:szCs w:val="16"/>
              </w:rPr>
              <w:t>AOCI</w:t>
            </w:r>
          </w:p>
        </w:tc>
        <w:tc>
          <w:tcPr>
            <w:tcW w:w="0" w:type="auto"/>
            <w:vAlign w:val="center"/>
            <w:hideMark/>
          </w:tcPr>
          <w:p w:rsidR="00000000" w:rsidRDefault="005B0BC3">
            <w:pPr>
              <w:spacing w:after="100"/>
              <w:rPr>
                <w:rFonts w:eastAsia="Times New Roman"/>
                <w:sz w:val="20"/>
                <w:szCs w:val="20"/>
              </w:rPr>
            </w:pPr>
          </w:p>
        </w:tc>
      </w:tr>
      <w:tr w:rsidR="00000000">
        <w:trPr>
          <w:divId w:val="62340575"/>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45"/>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20"/>
                <w:szCs w:val="20"/>
              </w:rPr>
              <w:t>(in millions)</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62340575"/>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Derivatives: Designated for Hedge accounting</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62340575"/>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Cash Flow Hedges:</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62340575"/>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5B0BC3">
        <w:trPr>
          <w:divId w:val="62340575"/>
        </w:trPr>
        <w:tc>
          <w:tcPr>
            <w:tcW w:w="0" w:type="auto"/>
            <w:gridSpan w:val="3"/>
            <w:shd w:val="clear" w:color="auto" w:fill="CCEE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Currency Swaps</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(45)</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5B0BC3">
        <w:trPr>
          <w:divId w:val="62340575"/>
        </w:trPr>
        <w:tc>
          <w:tcPr>
            <w:tcW w:w="0" w:type="auto"/>
            <w:gridSpan w:val="3"/>
            <w:shd w:val="clear" w:color="auto" w:fill="FFFF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Interest Swaps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(69)</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(87)</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(87)</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(28)</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5B0BC3">
        <w:trPr>
          <w:divId w:val="62340575"/>
        </w:trPr>
        <w:tc>
          <w:tcPr>
            <w:tcW w:w="0" w:type="auto"/>
            <w:gridSpan w:val="3"/>
            <w:shd w:val="clear" w:color="auto" w:fill="CCEE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Designated for Hedge accounting</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2340575"/>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Derivatives: Not Designated for Hedge accounting</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62340575"/>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Equity contracts</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5B0BC3">
        <w:trPr>
          <w:divId w:val="62340575"/>
        </w:trPr>
        <w:tc>
          <w:tcPr>
            <w:tcW w:w="0" w:type="auto"/>
            <w:gridSpan w:val="3"/>
            <w:shd w:val="clear" w:color="auto" w:fill="FFFF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Futures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(567)</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(1,011)</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(1,311)</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5B0BC3">
        <w:trPr>
          <w:divId w:val="62340575"/>
        </w:trPr>
        <w:tc>
          <w:tcPr>
            <w:tcW w:w="0" w:type="auto"/>
            <w:gridSpan w:val="3"/>
            <w:shd w:val="clear" w:color="auto" w:fill="CCEE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Swaps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(3,614)</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(3,368)</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(2,426)</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5B0BC3">
        <w:trPr>
          <w:divId w:val="62340575"/>
        </w:trPr>
        <w:tc>
          <w:tcPr>
            <w:tcW w:w="0" w:type="auto"/>
            <w:gridSpan w:val="3"/>
            <w:shd w:val="clear" w:color="auto" w:fill="FFFF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Options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3,886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1,663 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2,229 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2340575"/>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Interest Rate contracts</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5B0BC3">
        <w:trPr>
          <w:divId w:val="62340575"/>
        </w:trPr>
        <w:tc>
          <w:tcPr>
            <w:tcW w:w="0" w:type="auto"/>
            <w:gridSpan w:val="3"/>
            <w:shd w:val="clear" w:color="auto" w:fill="FFFF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Futures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(728)</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1,740 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5B0BC3">
        <w:trPr>
          <w:divId w:val="62340575"/>
        </w:trPr>
        <w:tc>
          <w:tcPr>
            <w:tcW w:w="0" w:type="auto"/>
            <w:gridSpan w:val="3"/>
            <w:shd w:val="clear" w:color="auto" w:fill="CCEE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Swaps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(2,317)</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2,832 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2,033 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5B0BC3">
        <w:trPr>
          <w:divId w:val="62340575"/>
        </w:trPr>
        <w:tc>
          <w:tcPr>
            <w:tcW w:w="0" w:type="auto"/>
            <w:gridSpan w:val="3"/>
            <w:shd w:val="clear" w:color="auto" w:fill="FFFF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Swaptions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(35)</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2340575"/>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Credit contracts</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5B0BC3">
        <w:trPr>
          <w:divId w:val="62340575"/>
        </w:trPr>
        <w:tc>
          <w:tcPr>
            <w:tcW w:w="0" w:type="auto"/>
            <w:gridSpan w:val="3"/>
            <w:shd w:val="clear" w:color="auto" w:fill="FFFF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Credit Default Swaps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2340575"/>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Currency contracts</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5B0BC3">
        <w:trPr>
          <w:divId w:val="62340575"/>
        </w:trPr>
        <w:tc>
          <w:tcPr>
            <w:tcW w:w="0" w:type="auto"/>
            <w:gridSpan w:val="3"/>
            <w:shd w:val="clear" w:color="auto" w:fill="FFFF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Currency Swaps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5B0BC3">
        <w:trPr>
          <w:divId w:val="62340575"/>
        </w:trPr>
        <w:tc>
          <w:tcPr>
            <w:tcW w:w="0" w:type="auto"/>
            <w:gridSpan w:val="3"/>
            <w:shd w:val="clear" w:color="auto" w:fill="CCEE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Currency forwards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2340575"/>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Other</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5B0BC3">
        <w:trPr>
          <w:divId w:val="62340575"/>
        </w:trPr>
        <w:tc>
          <w:tcPr>
            <w:tcW w:w="0" w:type="auto"/>
            <w:gridSpan w:val="3"/>
            <w:shd w:val="clear" w:color="auto" w:fill="CCEE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Margin</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5B0BC3">
        <w:trPr>
          <w:divId w:val="62340575"/>
        </w:trPr>
        <w:tc>
          <w:tcPr>
            <w:tcW w:w="0" w:type="auto"/>
            <w:gridSpan w:val="3"/>
            <w:shd w:val="clear" w:color="auto" w:fill="FFFF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Collateral</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5B0BC3">
        <w:trPr>
          <w:divId w:val="62340575"/>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Not Designated for Hedge accounting</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(3,337)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1,861 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2340575"/>
          <w:trHeight w:val="300"/>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62340575"/>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Embedded Derivatives</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5B0BC3">
        <w:trPr>
          <w:divId w:val="62340575"/>
        </w:trPr>
        <w:tc>
          <w:tcPr>
            <w:tcW w:w="0" w:type="auto"/>
            <w:gridSpan w:val="3"/>
            <w:shd w:val="clear" w:color="auto" w:fill="FFFF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Amounts due from reinsurers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5B0BC3">
        <w:trPr>
          <w:divId w:val="62340575"/>
        </w:trPr>
        <w:tc>
          <w:tcPr>
            <w:tcW w:w="0" w:type="auto"/>
            <w:gridSpan w:val="3"/>
            <w:shd w:val="clear" w:color="auto" w:fill="CCEE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GMIB reinsurance contracts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(625)</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417 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433 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5B0BC3">
        <w:trPr>
          <w:divId w:val="62340575"/>
        </w:trPr>
        <w:tc>
          <w:tcPr>
            <w:tcW w:w="0" w:type="auto"/>
            <w:gridSpan w:val="3"/>
            <w:shd w:val="clear" w:color="auto" w:fill="FFFF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GMxB derivative features liability (2)</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2,841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(2,253)</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(2,442)</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5B0BC3">
        <w:trPr>
          <w:divId w:val="62340575"/>
        </w:trPr>
        <w:tc>
          <w:tcPr>
            <w:tcW w:w="0" w:type="auto"/>
            <w:gridSpan w:val="3"/>
            <w:shd w:val="clear" w:color="auto" w:fill="CCEE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SCS, SIO,MSO and IUL indexed features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(3,835)</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(1,738)</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(2,642)</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5B0BC3">
        <w:trPr>
          <w:divId w:val="62340575"/>
        </w:trPr>
        <w:tc>
          <w:tcPr>
            <w:tcW w:w="0" w:type="auto"/>
            <w:gridSpan w:val="3"/>
            <w:shd w:val="clear" w:color="auto" w:fill="FFFF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Embedded Derivatives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(1,102)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(3,574)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(4,651)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2340575"/>
          <w:trHeight w:val="300"/>
        </w:trPr>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5B0BC3">
        <w:trPr>
          <w:divId w:val="62340575"/>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 xml:space="preserve"> Total Derivatives </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(4,510)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(45)</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(1,722)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(4,012)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ind w:firstLine="360"/>
        <w:divId w:val="710038414"/>
        <w:rPr>
          <w:rFonts w:eastAsia="Times New Roman"/>
        </w:rPr>
      </w:pPr>
    </w:p>
    <w:p w:rsidR="00000000" w:rsidRDefault="005B0BC3">
      <w:pPr>
        <w:jc w:val="center"/>
        <w:divId w:val="537743299"/>
        <w:rPr>
          <w:rFonts w:eastAsia="Times New Roman"/>
        </w:rPr>
      </w:pPr>
    </w:p>
    <w:p w:rsidR="00000000" w:rsidRDefault="005B0BC3">
      <w:pPr>
        <w:jc w:val="center"/>
        <w:divId w:val="537743299"/>
        <w:rPr>
          <w:rFonts w:eastAsia="Times New Roman"/>
        </w:rPr>
      </w:pPr>
      <w:r>
        <w:rPr>
          <w:rFonts w:eastAsia="Times New Roman"/>
          <w:color w:val="000000"/>
          <w:sz w:val="20"/>
          <w:szCs w:val="20"/>
        </w:rPr>
        <w:t>172</w:t>
      </w:r>
    </w:p>
    <w:p w:rsidR="00000000" w:rsidRDefault="005B0BC3">
      <w:pPr>
        <w:rPr>
          <w:rFonts w:eastAsia="Times New Roman"/>
        </w:rPr>
      </w:pPr>
      <w:r>
        <w:rPr>
          <w:rFonts w:eastAsia="Times New Roman"/>
        </w:rPr>
        <w:pict>
          <v:rect id="_x0000_i1210" style="width:0;height:1.5pt" o:hralign="center" o:hrstd="t" o:hr="t" fillcolor="#a0a0a0" stroked="f"/>
        </w:pict>
      </w:r>
    </w:p>
    <w:p w:rsidR="00000000" w:rsidRDefault="005B0BC3">
      <w:pPr>
        <w:jc w:val="center"/>
        <w:divId w:val="1452437600"/>
        <w:rPr>
          <w:rFonts w:eastAsia="Times New Roman"/>
        </w:rPr>
      </w:pPr>
      <w:r>
        <w:rPr>
          <w:rFonts w:eastAsia="Times New Roman"/>
          <w:b/>
          <w:bCs/>
          <w:color w:val="000000"/>
          <w:sz w:val="20"/>
          <w:szCs w:val="20"/>
        </w:rPr>
        <w:t>EQUITABLE HOLDINGS, INC.</w:t>
      </w:r>
    </w:p>
    <w:p w:rsidR="00000000" w:rsidRDefault="005B0BC3">
      <w:pPr>
        <w:jc w:val="center"/>
        <w:divId w:val="1452437600"/>
        <w:rPr>
          <w:rFonts w:eastAsia="Times New Roman"/>
        </w:rPr>
      </w:pPr>
      <w:r>
        <w:rPr>
          <w:rFonts w:eastAsia="Times New Roman"/>
          <w:b/>
          <w:bCs/>
          <w:color w:val="000000"/>
          <w:sz w:val="20"/>
          <w:szCs w:val="20"/>
        </w:rPr>
        <w:t>NOTES TO CONSOLIDATED FINANCIAL STATEMENTS, continued</w:t>
      </w:r>
    </w:p>
    <w:p w:rsidR="00000000" w:rsidRDefault="005B0BC3">
      <w:pPr>
        <w:ind w:firstLine="360"/>
        <w:divId w:val="1230388169"/>
        <w:rPr>
          <w:rFonts w:eastAsia="Times New Roman"/>
        </w:rPr>
      </w:pPr>
    </w:p>
    <w:p w:rsidR="00000000" w:rsidRDefault="005B0BC3">
      <w:pPr>
        <w:ind w:firstLine="360"/>
        <w:divId w:val="455491119"/>
        <w:rPr>
          <w:rFonts w:eastAsia="Times New Roman"/>
        </w:rPr>
      </w:pPr>
      <w:r>
        <w:rPr>
          <w:rFonts w:eastAsia="Times New Roman"/>
          <w:color w:val="000000"/>
          <w:sz w:val="18"/>
          <w:szCs w:val="18"/>
        </w:rPr>
        <w:t>(1)Reported in net derivative gains (losses) in the consolidated statements of income (loss).</w:t>
      </w:r>
    </w:p>
    <w:p w:rsidR="00000000" w:rsidRDefault="005B0BC3">
      <w:pPr>
        <w:ind w:firstLine="360"/>
        <w:divId w:val="830832521"/>
        <w:rPr>
          <w:rFonts w:eastAsia="Times New Roman"/>
        </w:rPr>
      </w:pPr>
      <w:r>
        <w:rPr>
          <w:rFonts w:eastAsia="Times New Roman"/>
          <w:color w:val="000000"/>
          <w:sz w:val="18"/>
          <w:szCs w:val="18"/>
        </w:rPr>
        <w:t>(2)Excludes settlement fees of $45 million on CS Life reinsurance contract for th</w:t>
      </w:r>
      <w:r>
        <w:rPr>
          <w:rFonts w:eastAsia="Times New Roman"/>
          <w:color w:val="000000"/>
          <w:sz w:val="18"/>
          <w:szCs w:val="18"/>
        </w:rPr>
        <w:t xml:space="preserve">e </w:t>
      </w:r>
      <w:r>
        <w:rPr>
          <w:rFonts w:eastAsia="Times New Roman"/>
          <w:color w:val="000000"/>
          <w:sz w:val="20"/>
          <w:szCs w:val="20"/>
        </w:rPr>
        <w:t>year ended December 31, 2021</w:t>
      </w:r>
      <w:r>
        <w:rPr>
          <w:rFonts w:eastAsia="Times New Roman"/>
          <w:color w:val="000000"/>
          <w:sz w:val="18"/>
          <w:szCs w:val="18"/>
        </w:rPr>
        <w:t xml:space="preserve"> . </w:t>
      </w:r>
    </w:p>
    <w:p w:rsidR="00000000" w:rsidRDefault="005B0BC3">
      <w:pPr>
        <w:ind w:firstLine="720"/>
        <w:divId w:val="1516380176"/>
        <w:rPr>
          <w:rFonts w:eastAsia="Times New Roman"/>
        </w:rPr>
      </w:pPr>
    </w:p>
    <w:p w:rsidR="00000000" w:rsidRDefault="005B0BC3">
      <w:pPr>
        <w:ind w:firstLine="360"/>
        <w:divId w:val="233468224"/>
        <w:rPr>
          <w:rFonts w:eastAsia="Times New Roman"/>
        </w:rPr>
      </w:pPr>
    </w:p>
    <w:p w:rsidR="00000000" w:rsidRDefault="005B0BC3">
      <w:pPr>
        <w:divId w:val="1379040602"/>
        <w:rPr>
          <w:rFonts w:eastAsia="Times New Roman"/>
        </w:rPr>
      </w:pPr>
      <w:r>
        <w:rPr>
          <w:rFonts w:eastAsia="Times New Roman"/>
          <w:color w:val="000000"/>
          <w:sz w:val="20"/>
          <w:szCs w:val="20"/>
          <w:u w:val="single"/>
        </w:rPr>
        <w:t>The table that follow below present a roll-forward of cash flow hedges recognized in AOCI.</w:t>
      </w:r>
    </w:p>
    <w:p w:rsidR="00000000" w:rsidRDefault="005B0BC3">
      <w:pPr>
        <w:jc w:val="center"/>
        <w:rPr>
          <w:rFonts w:eastAsia="Times New Roman"/>
        </w:rPr>
      </w:pPr>
      <w:r>
        <w:rPr>
          <w:rFonts w:eastAsia="Times New Roman"/>
          <w:b/>
          <w:bCs/>
          <w:color w:val="000000"/>
          <w:sz w:val="20"/>
          <w:szCs w:val="20"/>
        </w:rPr>
        <w:t>Roll-forward of Cash flow hedges in AOCI</w:t>
      </w:r>
    </w:p>
    <w:p w:rsidR="00000000" w:rsidRDefault="005B0BC3">
      <w:pPr>
        <w:ind w:firstLine="360"/>
        <w:divId w:val="123618078"/>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5269"/>
        <w:gridCol w:w="37"/>
        <w:gridCol w:w="36"/>
        <w:gridCol w:w="36"/>
        <w:gridCol w:w="36"/>
        <w:gridCol w:w="36"/>
        <w:gridCol w:w="120"/>
        <w:gridCol w:w="711"/>
        <w:gridCol w:w="36"/>
        <w:gridCol w:w="36"/>
        <w:gridCol w:w="36"/>
        <w:gridCol w:w="36"/>
        <w:gridCol w:w="120"/>
        <w:gridCol w:w="711"/>
        <w:gridCol w:w="36"/>
        <w:gridCol w:w="36"/>
        <w:gridCol w:w="36"/>
        <w:gridCol w:w="36"/>
        <w:gridCol w:w="120"/>
        <w:gridCol w:w="712"/>
        <w:gridCol w:w="36"/>
      </w:tblGrid>
      <w:tr w:rsidR="00000000">
        <w:trPr>
          <w:divId w:val="1707558530"/>
        </w:trPr>
        <w:tc>
          <w:tcPr>
            <w:tcW w:w="50" w:type="pct"/>
            <w:vAlign w:val="center"/>
            <w:hideMark/>
          </w:tcPr>
          <w:p w:rsidR="00000000" w:rsidRDefault="005B0BC3">
            <w:pPr>
              <w:ind w:firstLine="360"/>
              <w:rPr>
                <w:rFonts w:eastAsia="Times New Roman"/>
              </w:rPr>
            </w:pPr>
          </w:p>
        </w:tc>
        <w:tc>
          <w:tcPr>
            <w:tcW w:w="328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7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7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7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707558530"/>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707558530"/>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8" w:space="0" w:color="000000"/>
            </w:tcBorders>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2019</w:t>
            </w:r>
          </w:p>
        </w:tc>
      </w:tr>
      <w:tr w:rsidR="00000000">
        <w:trPr>
          <w:divId w:val="1707558530"/>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5"/>
            <w:tcBorders>
              <w:top w:val="single" w:sz="8" w:space="0" w:color="000000"/>
            </w:tcBorders>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1707558530"/>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 xml:space="preserve">Balance, beginning of period </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(126)</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(38)</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07558530"/>
        </w:trPr>
        <w:tc>
          <w:tcPr>
            <w:tcW w:w="0" w:type="auto"/>
            <w:gridSpan w:val="3"/>
            <w:shd w:val="clear" w:color="auto" w:fill="FFFF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Amount recorded in AOCI</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707558530"/>
        </w:trPr>
        <w:tc>
          <w:tcPr>
            <w:tcW w:w="0" w:type="auto"/>
            <w:gridSpan w:val="3"/>
            <w:shd w:val="clear" w:color="auto" w:fill="CCEEFF"/>
            <w:tcMar>
              <w:top w:w="30" w:type="dxa"/>
              <w:left w:w="38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Currency Swaps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(35)</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07558530"/>
        </w:trPr>
        <w:tc>
          <w:tcPr>
            <w:tcW w:w="0" w:type="auto"/>
            <w:gridSpan w:val="3"/>
            <w:shd w:val="clear" w:color="auto" w:fill="FFFFFF"/>
            <w:tcMar>
              <w:top w:w="30" w:type="dxa"/>
              <w:left w:w="38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Interest Swaps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(183)</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(108)</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(45)</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07558530"/>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Total Amount recorded in AOCI</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(218)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07558530"/>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Amount reclassified from AOCI to income</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707558530"/>
        </w:trPr>
        <w:tc>
          <w:tcPr>
            <w:tcW w:w="0" w:type="auto"/>
            <w:gridSpan w:val="3"/>
            <w:shd w:val="clear" w:color="auto" w:fill="CCEEFF"/>
            <w:tcMar>
              <w:top w:w="30" w:type="dxa"/>
              <w:left w:w="38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Currency Swaps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07558530"/>
        </w:trPr>
        <w:tc>
          <w:tcPr>
            <w:tcW w:w="0" w:type="auto"/>
            <w:gridSpan w:val="3"/>
            <w:shd w:val="clear" w:color="auto" w:fill="FFFFFF"/>
            <w:tcMar>
              <w:top w:w="30" w:type="dxa"/>
              <w:left w:w="38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Interest Swaps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07558530"/>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Total Amount reclassified from AOCI to income</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07558530"/>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Ending Balance, December 31 (1)</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(208)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divId w:val="288711525"/>
        <w:rPr>
          <w:rFonts w:eastAsia="Times New Roman"/>
        </w:rPr>
      </w:pPr>
      <w:r>
        <w:rPr>
          <w:rFonts w:eastAsia="Times New Roman"/>
          <w:color w:val="000000"/>
          <w:sz w:val="18"/>
          <w:szCs w:val="18"/>
        </w:rPr>
        <w:t>_______________</w:t>
      </w:r>
    </w:p>
    <w:p w:rsidR="00000000" w:rsidRDefault="005B0BC3">
      <w:pPr>
        <w:ind w:hanging="360"/>
        <w:divId w:val="916859330"/>
        <w:rPr>
          <w:rFonts w:eastAsia="Times New Roman"/>
        </w:rPr>
      </w:pPr>
      <w:r>
        <w:rPr>
          <w:rFonts w:eastAsia="Times New Roman"/>
          <w:color w:val="000000"/>
          <w:sz w:val="18"/>
          <w:szCs w:val="18"/>
        </w:rPr>
        <w:t>(1) The Company does not estimate the amount of the deferred losses in AOCI at years ended December 31, 2021, 2020 and 2019 which will be released and reclassified into Net income (loss) over the next 12 months as the amounts cannot be reasonably estimated</w:t>
      </w:r>
      <w:r>
        <w:rPr>
          <w:rFonts w:eastAsia="Times New Roman"/>
          <w:color w:val="000000"/>
          <w:sz w:val="18"/>
          <w:szCs w:val="18"/>
        </w:rPr>
        <w:t>.</w:t>
      </w:r>
    </w:p>
    <w:p w:rsidR="00000000" w:rsidRDefault="005B0BC3">
      <w:pPr>
        <w:divId w:val="126901493"/>
        <w:rPr>
          <w:rFonts w:eastAsia="Times New Roman"/>
        </w:rPr>
      </w:pPr>
      <w:r>
        <w:rPr>
          <w:rFonts w:eastAsia="Times New Roman"/>
          <w:color w:val="000000"/>
          <w:sz w:val="20"/>
          <w:szCs w:val="20"/>
          <w:u w:val="single"/>
        </w:rPr>
        <w:t>Equity-Based and Treasury Futures Contracts Margin</w:t>
      </w:r>
    </w:p>
    <w:p w:rsidR="00000000" w:rsidRDefault="005B0BC3">
      <w:pPr>
        <w:divId w:val="912617618"/>
        <w:rPr>
          <w:rFonts w:eastAsia="Times New Roman"/>
        </w:rPr>
      </w:pPr>
      <w:r>
        <w:rPr>
          <w:rFonts w:eastAsia="Times New Roman"/>
          <w:color w:val="000000"/>
          <w:sz w:val="20"/>
          <w:szCs w:val="20"/>
        </w:rPr>
        <w:t>All outstanding equity-based and treasury futures contracts as of December 31, 2021 and December 31, 2020 are exchange-traded and net settled daily in cash. As of December 31, 2021 and December 31, 2020,</w:t>
      </w:r>
      <w:r>
        <w:rPr>
          <w:rFonts w:eastAsia="Times New Roman"/>
          <w:color w:val="000000"/>
          <w:sz w:val="20"/>
          <w:szCs w:val="20"/>
        </w:rPr>
        <w:t xml:space="preserve"> respectively, the Company had open exchange-traded futures positions on: (i) the S&amp;P 500, Nasdaq, Russell 2000 and Emerging Market indices, having initial margin requirements of $109 million and $307 million, (ii) the 2-year, 5-year and 10-year U.S. Treas</w:t>
      </w:r>
      <w:r>
        <w:rPr>
          <w:rFonts w:eastAsia="Times New Roman"/>
          <w:color w:val="000000"/>
          <w:sz w:val="20"/>
          <w:szCs w:val="20"/>
        </w:rPr>
        <w:t>ury Notes on U.S. Treasury bonds and ultra-long bonds, having initial margin requirements of $200 million and $264 million, and (iii) the Euro Stoxx, FTSE 100, Topix, ASX 200 and EAFE indices as well as corresponding currency futures on the Euro/U.S. dolla</w:t>
      </w:r>
      <w:r>
        <w:rPr>
          <w:rFonts w:eastAsia="Times New Roman"/>
          <w:color w:val="000000"/>
          <w:sz w:val="20"/>
          <w:szCs w:val="20"/>
        </w:rPr>
        <w:t>r, Pound/U.S. dollar, Australian dollar/U.S. dollar, and Yen/U.S. dollar, having initial margin requirements of $16 million and $35 million.</w:t>
      </w:r>
    </w:p>
    <w:p w:rsidR="00000000" w:rsidRDefault="005B0BC3">
      <w:pPr>
        <w:divId w:val="725295262"/>
        <w:rPr>
          <w:rFonts w:eastAsia="Times New Roman"/>
        </w:rPr>
      </w:pPr>
      <w:r>
        <w:rPr>
          <w:rFonts w:eastAsia="Times New Roman"/>
          <w:color w:val="000000"/>
          <w:sz w:val="20"/>
          <w:szCs w:val="20"/>
          <w:u w:val="single"/>
        </w:rPr>
        <w:t>Collateral Arrangements</w:t>
      </w:r>
    </w:p>
    <w:p w:rsidR="00000000" w:rsidRDefault="005B0BC3">
      <w:pPr>
        <w:divId w:val="1769040647"/>
        <w:rPr>
          <w:rFonts w:eastAsia="Times New Roman"/>
        </w:rPr>
      </w:pPr>
      <w:r>
        <w:rPr>
          <w:rFonts w:eastAsia="Times New Roman"/>
          <w:color w:val="000000"/>
          <w:sz w:val="20"/>
          <w:szCs w:val="20"/>
        </w:rPr>
        <w:t xml:space="preserve">The Company generally has executed a CSA under the ISDA Master Agreement it maintains with </w:t>
      </w:r>
      <w:r>
        <w:rPr>
          <w:rFonts w:eastAsia="Times New Roman"/>
          <w:color w:val="000000"/>
          <w:sz w:val="20"/>
          <w:szCs w:val="20"/>
        </w:rPr>
        <w:t>each of its OTC derivative counterparties that requires both posting and accepting collateral either in the form of cash or high-quality securities, such as U.S. Treasury securities, U.S. government and government agency securities and investment grade cor</w:t>
      </w:r>
      <w:r>
        <w:rPr>
          <w:rFonts w:eastAsia="Times New Roman"/>
          <w:color w:val="000000"/>
          <w:sz w:val="20"/>
          <w:szCs w:val="20"/>
        </w:rPr>
        <w:t>porate bonds. The Company nets the fair value of all derivative financial instruments with counterparties for which an ISDA Master Agreement and related CSA have been executed. As of December 31, 2021 and December 31, 2020, respectively, the Company held $</w:t>
      </w:r>
      <w:r>
        <w:rPr>
          <w:rFonts w:eastAsia="Times New Roman"/>
          <w:color w:val="000000"/>
          <w:sz w:val="20"/>
          <w:szCs w:val="20"/>
        </w:rPr>
        <w:t>6.2 billion and $3.8 billion in cash and securities collateral delivered by trade counterparties, representing the fair value of the related derivative agreements. The unrestricted cash collateral is reported in other invested assets. The Company posted co</w:t>
      </w:r>
      <w:r>
        <w:rPr>
          <w:rFonts w:eastAsia="Times New Roman"/>
          <w:color w:val="000000"/>
          <w:sz w:val="20"/>
          <w:szCs w:val="20"/>
        </w:rPr>
        <w:t xml:space="preserve">llateral of $178 million and $212 million as of December 31, 2021 and December 31, 2020, respectively, in the normal operation of its collateral arrangements. </w:t>
      </w:r>
    </w:p>
    <w:p w:rsidR="00000000" w:rsidRDefault="005B0BC3">
      <w:pPr>
        <w:divId w:val="521817524"/>
        <w:rPr>
          <w:rFonts w:eastAsia="Times New Roman"/>
        </w:rPr>
      </w:pPr>
      <w:r>
        <w:rPr>
          <w:rFonts w:eastAsia="Times New Roman"/>
          <w:color w:val="000000"/>
          <w:sz w:val="20"/>
          <w:szCs w:val="20"/>
        </w:rPr>
        <w:t>The following tables presents information about the Company’s offsetting of financial assets and liabilities and derivative instruments as of December 31, 2021 and December 31, 2020:</w:t>
      </w:r>
    </w:p>
    <w:p w:rsidR="00000000" w:rsidRDefault="005B0BC3">
      <w:pPr>
        <w:divId w:val="311756501"/>
        <w:rPr>
          <w:rFonts w:eastAsia="Times New Roman"/>
        </w:rPr>
      </w:pPr>
    </w:p>
    <w:p w:rsidR="00000000" w:rsidRDefault="005B0BC3">
      <w:pPr>
        <w:jc w:val="center"/>
        <w:rPr>
          <w:rFonts w:eastAsia="Times New Roman"/>
        </w:rPr>
      </w:pPr>
      <w:r>
        <w:rPr>
          <w:rFonts w:eastAsia="Times New Roman"/>
          <w:b/>
          <w:bCs/>
          <w:color w:val="000000"/>
          <w:sz w:val="20"/>
          <w:szCs w:val="20"/>
        </w:rPr>
        <w:t>Offsetting of Financial Assets and Liabilities and Derivative Instrumen</w:t>
      </w:r>
      <w:r>
        <w:rPr>
          <w:rFonts w:eastAsia="Times New Roman"/>
          <w:b/>
          <w:bCs/>
          <w:color w:val="000000"/>
          <w:sz w:val="20"/>
          <w:szCs w:val="20"/>
        </w:rPr>
        <w:t>ts</w:t>
      </w:r>
    </w:p>
    <w:p w:rsidR="00000000" w:rsidRDefault="005B0BC3">
      <w:pPr>
        <w:jc w:val="center"/>
        <w:divId w:val="373695621"/>
        <w:rPr>
          <w:rFonts w:eastAsia="Times New Roman"/>
        </w:rPr>
      </w:pPr>
    </w:p>
    <w:p w:rsidR="00000000" w:rsidRDefault="005B0BC3">
      <w:pPr>
        <w:jc w:val="center"/>
        <w:divId w:val="373695621"/>
        <w:rPr>
          <w:rFonts w:eastAsia="Times New Roman"/>
        </w:rPr>
      </w:pPr>
      <w:r>
        <w:rPr>
          <w:rFonts w:eastAsia="Times New Roman"/>
          <w:color w:val="000000"/>
          <w:sz w:val="20"/>
          <w:szCs w:val="20"/>
        </w:rPr>
        <w:t>173</w:t>
      </w:r>
    </w:p>
    <w:p w:rsidR="00000000" w:rsidRDefault="005B0BC3">
      <w:pPr>
        <w:rPr>
          <w:rFonts w:eastAsia="Times New Roman"/>
        </w:rPr>
      </w:pPr>
      <w:r>
        <w:rPr>
          <w:rFonts w:eastAsia="Times New Roman"/>
        </w:rPr>
        <w:pict>
          <v:rect id="_x0000_i1211" style="width:0;height:1.5pt" o:hralign="center" o:hrstd="t" o:hr="t" fillcolor="#a0a0a0" stroked="f"/>
        </w:pict>
      </w:r>
    </w:p>
    <w:p w:rsidR="00000000" w:rsidRDefault="005B0BC3">
      <w:pPr>
        <w:divId w:val="1589997629"/>
        <w:rPr>
          <w:rFonts w:eastAsia="Times New Roman"/>
        </w:rPr>
      </w:pPr>
    </w:p>
    <w:p w:rsidR="00000000" w:rsidRDefault="005B0BC3">
      <w:pPr>
        <w:jc w:val="center"/>
        <w:rPr>
          <w:rFonts w:eastAsia="Times New Roman"/>
        </w:rPr>
      </w:pPr>
    </w:p>
    <w:p w:rsidR="00000000" w:rsidRDefault="005B0BC3">
      <w:pPr>
        <w:jc w:val="center"/>
        <w:rPr>
          <w:rFonts w:eastAsia="Times New Roman"/>
        </w:rPr>
      </w:pPr>
      <w:r>
        <w:rPr>
          <w:rFonts w:eastAsia="Times New Roman"/>
          <w:b/>
          <w:bCs/>
          <w:color w:val="000000"/>
          <w:sz w:val="20"/>
          <w:szCs w:val="20"/>
        </w:rPr>
        <w:t xml:space="preserve">As of December 31, 2021 </w:t>
      </w:r>
    </w:p>
    <w:p w:rsidR="00000000" w:rsidRDefault="005B0BC3">
      <w:pPr>
        <w:divId w:val="203588020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2646"/>
        <w:gridCol w:w="38"/>
        <w:gridCol w:w="121"/>
        <w:gridCol w:w="849"/>
        <w:gridCol w:w="36"/>
        <w:gridCol w:w="36"/>
        <w:gridCol w:w="36"/>
        <w:gridCol w:w="36"/>
        <w:gridCol w:w="121"/>
        <w:gridCol w:w="963"/>
        <w:gridCol w:w="36"/>
        <w:gridCol w:w="36"/>
        <w:gridCol w:w="36"/>
        <w:gridCol w:w="36"/>
        <w:gridCol w:w="121"/>
        <w:gridCol w:w="1040"/>
        <w:gridCol w:w="36"/>
        <w:gridCol w:w="36"/>
        <w:gridCol w:w="36"/>
        <w:gridCol w:w="36"/>
        <w:gridCol w:w="121"/>
        <w:gridCol w:w="738"/>
        <w:gridCol w:w="36"/>
        <w:gridCol w:w="36"/>
        <w:gridCol w:w="36"/>
        <w:gridCol w:w="36"/>
        <w:gridCol w:w="120"/>
        <w:gridCol w:w="776"/>
        <w:gridCol w:w="36"/>
      </w:tblGrid>
      <w:tr w:rsidR="00000000">
        <w:trPr>
          <w:divId w:val="896359558"/>
        </w:trPr>
        <w:tc>
          <w:tcPr>
            <w:tcW w:w="50" w:type="pct"/>
            <w:vAlign w:val="center"/>
            <w:hideMark/>
          </w:tcPr>
          <w:p w:rsidR="00000000" w:rsidRDefault="005B0BC3">
            <w:pPr>
              <w:rPr>
                <w:rFonts w:eastAsia="Times New Roman"/>
              </w:rPr>
            </w:pPr>
          </w:p>
        </w:tc>
        <w:tc>
          <w:tcPr>
            <w:tcW w:w="166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896359558"/>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Gross Amount Recognized</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Gross Amount Offset in the Balance Sheets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Net Amount Presented in the Balance Sheets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Gross Amount not Offset in the Balance Sheets (3)</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Net Amount</w:t>
            </w:r>
          </w:p>
        </w:tc>
      </w:tr>
      <w:tr w:rsidR="00000000">
        <w:trPr>
          <w:divId w:val="896359558"/>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27"/>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896359558"/>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Assets:</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896359558"/>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Derivative assets (1)</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12,358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10,756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1,602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(961)</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896359558"/>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Other financial assets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1,989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1,989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1,989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896359558"/>
        </w:trPr>
        <w:tc>
          <w:tcPr>
            <w:tcW w:w="0" w:type="auto"/>
            <w:gridSpan w:val="3"/>
            <w:shd w:val="clear" w:color="auto" w:fill="CCEEFF"/>
            <w:tcMar>
              <w:top w:w="30" w:type="dxa"/>
              <w:left w:w="260" w:type="dxa"/>
              <w:bottom w:w="30" w:type="dxa"/>
              <w:right w:w="20" w:type="dxa"/>
            </w:tcMar>
            <w:hideMark/>
          </w:tcPr>
          <w:p w:rsidR="00000000" w:rsidRDefault="005B0BC3">
            <w:pPr>
              <w:spacing w:after="100"/>
              <w:rPr>
                <w:rFonts w:eastAsia="Times New Roman"/>
              </w:rPr>
            </w:pPr>
            <w:r>
              <w:rPr>
                <w:rFonts w:eastAsia="Times New Roman"/>
                <w:color w:val="000000"/>
                <w:sz w:val="20"/>
                <w:szCs w:val="20"/>
              </w:rPr>
              <w:t>Other invested assets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14,347</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10,756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3,591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(961)</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2,630</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896359558"/>
          <w:trHeight w:val="280"/>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896359558"/>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Liabilities:</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896359558"/>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Derivative liabilities (2)</w:t>
            </w: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10,770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10,756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896359558"/>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Other financial liabilities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3,919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3,919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3,919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896359558"/>
        </w:trPr>
        <w:tc>
          <w:tcPr>
            <w:tcW w:w="0" w:type="auto"/>
            <w:gridSpan w:val="3"/>
            <w:shd w:val="clear" w:color="auto" w:fill="FFFFFF"/>
            <w:tcMar>
              <w:top w:w="30" w:type="dxa"/>
              <w:left w:w="260" w:type="dxa"/>
              <w:bottom w:w="30" w:type="dxa"/>
              <w:right w:w="20" w:type="dxa"/>
            </w:tcMar>
            <w:hideMark/>
          </w:tcPr>
          <w:p w:rsidR="00000000" w:rsidRDefault="005B0BC3">
            <w:pPr>
              <w:spacing w:after="100"/>
              <w:rPr>
                <w:rFonts w:eastAsia="Times New Roman"/>
              </w:rPr>
            </w:pPr>
            <w:r>
              <w:rPr>
                <w:rFonts w:eastAsia="Times New Roman"/>
                <w:color w:val="000000"/>
                <w:sz w:val="20"/>
                <w:szCs w:val="20"/>
              </w:rPr>
              <w:t>Other liabilities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14,689</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10,756</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3,933</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3,933</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ind w:hanging="360"/>
        <w:divId w:val="487673363"/>
        <w:rPr>
          <w:rFonts w:eastAsia="Times New Roman"/>
        </w:rPr>
      </w:pPr>
      <w:r>
        <w:rPr>
          <w:rFonts w:eastAsia="Times New Roman"/>
          <w:color w:val="000000"/>
          <w:sz w:val="18"/>
          <w:szCs w:val="18"/>
        </w:rPr>
        <w:t>______________</w:t>
      </w:r>
    </w:p>
    <w:p w:rsidR="00000000" w:rsidRDefault="005B0BC3">
      <w:pPr>
        <w:ind w:hanging="360"/>
        <w:divId w:val="1468859440"/>
        <w:rPr>
          <w:rFonts w:eastAsia="Times New Roman"/>
        </w:rPr>
      </w:pPr>
      <w:r>
        <w:rPr>
          <w:rFonts w:eastAsia="Times New Roman"/>
          <w:color w:val="000000"/>
          <w:sz w:val="18"/>
          <w:szCs w:val="18"/>
        </w:rPr>
        <w:t>(1)Excludes Investment Management and Research segment’s derivative assets of consolidated VIEs/VOEs.</w:t>
      </w:r>
    </w:p>
    <w:p w:rsidR="00000000" w:rsidRDefault="005B0BC3">
      <w:pPr>
        <w:ind w:hanging="360"/>
        <w:divId w:val="777799655"/>
        <w:rPr>
          <w:rFonts w:eastAsia="Times New Roman"/>
        </w:rPr>
      </w:pPr>
      <w:r>
        <w:rPr>
          <w:rFonts w:eastAsia="Times New Roman"/>
          <w:color w:val="000000"/>
          <w:sz w:val="18"/>
          <w:szCs w:val="18"/>
        </w:rPr>
        <w:t>(2)Excludes Investment Management and Research segment’s derivative liabili</w:t>
      </w:r>
      <w:r>
        <w:rPr>
          <w:rFonts w:eastAsia="Times New Roman"/>
          <w:color w:val="000000"/>
          <w:sz w:val="18"/>
          <w:szCs w:val="18"/>
        </w:rPr>
        <w:t>ties of consolidated VIEs/VOEs.</w:t>
      </w:r>
    </w:p>
    <w:p w:rsidR="00000000" w:rsidRDefault="005B0BC3">
      <w:pPr>
        <w:ind w:hanging="360"/>
        <w:divId w:val="2077704592"/>
        <w:rPr>
          <w:rFonts w:eastAsia="Times New Roman"/>
        </w:rPr>
      </w:pPr>
      <w:r>
        <w:rPr>
          <w:rFonts w:eastAsia="Times New Roman"/>
          <w:color w:val="000000"/>
          <w:sz w:val="18"/>
          <w:szCs w:val="18"/>
        </w:rPr>
        <w:t xml:space="preserve">(3)Financial instruments sent (held). </w:t>
      </w:r>
    </w:p>
    <w:p w:rsidR="00000000" w:rsidRDefault="005B0BC3">
      <w:pPr>
        <w:jc w:val="center"/>
        <w:rPr>
          <w:rFonts w:eastAsia="Times New Roman"/>
        </w:rPr>
      </w:pPr>
      <w:r>
        <w:rPr>
          <w:rFonts w:eastAsia="Times New Roman"/>
          <w:color w:val="000000"/>
          <w:sz w:val="20"/>
          <w:szCs w:val="20"/>
        </w:rPr>
        <w:t>As of December 31, 2020</w:t>
      </w:r>
    </w:p>
    <w:p w:rsidR="00000000" w:rsidRDefault="005B0BC3">
      <w:pPr>
        <w:divId w:val="1397892728"/>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593"/>
        <w:gridCol w:w="38"/>
        <w:gridCol w:w="121"/>
        <w:gridCol w:w="839"/>
        <w:gridCol w:w="36"/>
        <w:gridCol w:w="36"/>
        <w:gridCol w:w="36"/>
        <w:gridCol w:w="36"/>
        <w:gridCol w:w="121"/>
        <w:gridCol w:w="963"/>
        <w:gridCol w:w="36"/>
        <w:gridCol w:w="36"/>
        <w:gridCol w:w="36"/>
        <w:gridCol w:w="36"/>
        <w:gridCol w:w="121"/>
        <w:gridCol w:w="1040"/>
        <w:gridCol w:w="36"/>
        <w:gridCol w:w="36"/>
        <w:gridCol w:w="36"/>
        <w:gridCol w:w="36"/>
        <w:gridCol w:w="121"/>
        <w:gridCol w:w="717"/>
        <w:gridCol w:w="36"/>
        <w:gridCol w:w="36"/>
        <w:gridCol w:w="36"/>
        <w:gridCol w:w="36"/>
        <w:gridCol w:w="120"/>
        <w:gridCol w:w="788"/>
        <w:gridCol w:w="36"/>
        <w:gridCol w:w="36"/>
        <w:gridCol w:w="36"/>
      </w:tblGrid>
      <w:tr w:rsidR="00000000">
        <w:trPr>
          <w:jc w:val="center"/>
        </w:trPr>
        <w:tc>
          <w:tcPr>
            <w:tcW w:w="50" w:type="pct"/>
            <w:vAlign w:val="center"/>
            <w:hideMark/>
          </w:tcPr>
          <w:p w:rsidR="00000000" w:rsidRDefault="005B0BC3">
            <w:pPr>
              <w:rPr>
                <w:rFonts w:eastAsia="Times New Roman"/>
              </w:rPr>
            </w:pPr>
          </w:p>
        </w:tc>
        <w:tc>
          <w:tcPr>
            <w:tcW w:w="164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4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Gross Amount Recognized</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Gross Amount Offset in the Balance Sheets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Net Amount Presented in </w:t>
            </w:r>
            <w:r>
              <w:rPr>
                <w:rFonts w:eastAsia="Times New Roman"/>
                <w:b/>
                <w:bCs/>
                <w:color w:val="000000"/>
                <w:sz w:val="16"/>
                <w:szCs w:val="16"/>
              </w:rPr>
              <w:t>the Balance Sheets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Gross Amount not Offset in the Balance Sheets (3)</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Net Amount</w:t>
            </w:r>
          </w:p>
        </w:tc>
        <w:tc>
          <w:tcPr>
            <w:tcW w:w="0" w:type="auto"/>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7"/>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Assets:</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Derivative assets (1)</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9,244 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8,249 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995 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(53)</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942 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Other financial assets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1,733 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1,733 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1,733 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jc w:val="center"/>
        </w:trPr>
        <w:tc>
          <w:tcPr>
            <w:tcW w:w="0" w:type="auto"/>
            <w:gridSpan w:val="3"/>
            <w:shd w:val="clear" w:color="auto" w:fill="CCEEFF"/>
            <w:tcMar>
              <w:top w:w="30" w:type="dxa"/>
              <w:left w:w="260" w:type="dxa"/>
              <w:bottom w:w="30" w:type="dxa"/>
              <w:right w:w="20" w:type="dxa"/>
            </w:tcMar>
            <w:hideMark/>
          </w:tcPr>
          <w:p w:rsidR="00000000" w:rsidRDefault="005B0BC3">
            <w:pPr>
              <w:spacing w:after="100"/>
              <w:rPr>
                <w:rFonts w:eastAsia="Times New Roman"/>
              </w:rPr>
            </w:pPr>
            <w:r>
              <w:rPr>
                <w:rFonts w:eastAsia="Times New Roman"/>
                <w:color w:val="000000"/>
                <w:sz w:val="20"/>
                <w:szCs w:val="20"/>
              </w:rPr>
              <w:t>Other invested assets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10,977 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8,249 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2,728 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(53)</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2,675 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Liabilities:</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Derivative liabilities (2)</w:t>
            </w: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8,261 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8,249 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Other financial liabilities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3,674 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3,674 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3,674 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jc w:val="center"/>
        </w:trPr>
        <w:tc>
          <w:tcPr>
            <w:tcW w:w="0" w:type="auto"/>
            <w:gridSpan w:val="3"/>
            <w:shd w:val="clear" w:color="auto" w:fill="FFFFFF"/>
            <w:tcMar>
              <w:top w:w="30" w:type="dxa"/>
              <w:left w:w="260" w:type="dxa"/>
              <w:bottom w:w="30" w:type="dxa"/>
              <w:right w:w="20" w:type="dxa"/>
            </w:tcMar>
            <w:hideMark/>
          </w:tcPr>
          <w:p w:rsidR="00000000" w:rsidRDefault="005B0BC3">
            <w:pPr>
              <w:spacing w:after="100"/>
              <w:rPr>
                <w:rFonts w:eastAsia="Times New Roman"/>
              </w:rPr>
            </w:pPr>
            <w:r>
              <w:rPr>
                <w:rFonts w:eastAsia="Times New Roman"/>
                <w:color w:val="000000"/>
                <w:sz w:val="20"/>
                <w:szCs w:val="20"/>
              </w:rPr>
              <w:t>Other liabilities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11,935 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8,249 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3,686 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3,686 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bl>
    <w:p w:rsidR="00000000" w:rsidRDefault="005B0BC3">
      <w:pPr>
        <w:ind w:hanging="360"/>
        <w:divId w:val="138691198"/>
        <w:rPr>
          <w:rFonts w:eastAsia="Times New Roman"/>
        </w:rPr>
      </w:pPr>
      <w:r>
        <w:rPr>
          <w:rFonts w:eastAsia="Times New Roman"/>
          <w:color w:val="000000"/>
          <w:sz w:val="18"/>
          <w:szCs w:val="18"/>
        </w:rPr>
        <w:t>______________</w:t>
      </w:r>
    </w:p>
    <w:p w:rsidR="00000000" w:rsidRDefault="005B0BC3">
      <w:pPr>
        <w:ind w:hanging="360"/>
        <w:divId w:val="1850756853"/>
        <w:rPr>
          <w:rFonts w:eastAsia="Times New Roman"/>
        </w:rPr>
      </w:pPr>
      <w:r>
        <w:rPr>
          <w:rFonts w:eastAsia="Times New Roman"/>
          <w:color w:val="000000"/>
          <w:sz w:val="18"/>
          <w:szCs w:val="18"/>
        </w:rPr>
        <w:t>(1)Excludes Investment Management and Research segment’s derivative assets of consolidated VIEs/VOEs.</w:t>
      </w:r>
    </w:p>
    <w:p w:rsidR="00000000" w:rsidRDefault="005B0BC3">
      <w:pPr>
        <w:ind w:hanging="360"/>
        <w:divId w:val="439909987"/>
        <w:rPr>
          <w:rFonts w:eastAsia="Times New Roman"/>
        </w:rPr>
      </w:pPr>
      <w:r>
        <w:rPr>
          <w:rFonts w:eastAsia="Times New Roman"/>
          <w:color w:val="000000"/>
          <w:sz w:val="18"/>
          <w:szCs w:val="18"/>
        </w:rPr>
        <w:t>(2)</w:t>
      </w:r>
      <w:r>
        <w:rPr>
          <w:rFonts w:eastAsia="Times New Roman"/>
          <w:color w:val="000000"/>
          <w:sz w:val="18"/>
          <w:szCs w:val="18"/>
        </w:rPr>
        <w:t>Excludes Investment Management and Research segment’s derivative liabilities of consolidated VIEs/VOEs.</w:t>
      </w:r>
    </w:p>
    <w:p w:rsidR="00000000" w:rsidRDefault="005B0BC3">
      <w:pPr>
        <w:ind w:hanging="360"/>
        <w:divId w:val="925384107"/>
        <w:rPr>
          <w:rFonts w:eastAsia="Times New Roman"/>
        </w:rPr>
      </w:pPr>
      <w:r>
        <w:rPr>
          <w:rFonts w:eastAsia="Times New Roman"/>
          <w:color w:val="000000"/>
          <w:sz w:val="18"/>
          <w:szCs w:val="18"/>
        </w:rPr>
        <w:t>(3)Financial instruments sent (held).</w:t>
      </w:r>
    </w:p>
    <w:p w:rsidR="00000000" w:rsidRDefault="005B0BC3">
      <w:pPr>
        <w:divId w:val="1602570228"/>
        <w:rPr>
          <w:rFonts w:eastAsia="Times New Roman"/>
        </w:rPr>
      </w:pPr>
      <w:r>
        <w:rPr>
          <w:rFonts w:eastAsia="Times New Roman"/>
          <w:b/>
          <w:bCs/>
          <w:color w:val="000000"/>
          <w:sz w:val="20"/>
          <w:szCs w:val="20"/>
        </w:rPr>
        <w:t xml:space="preserve">5)    GOODWILL </w:t>
      </w:r>
    </w:p>
    <w:p w:rsidR="00000000" w:rsidRDefault="005B0BC3">
      <w:pPr>
        <w:divId w:val="1970285361"/>
        <w:rPr>
          <w:rFonts w:eastAsia="Times New Roman"/>
        </w:rPr>
      </w:pPr>
      <w:r>
        <w:rPr>
          <w:rFonts w:eastAsia="Times New Roman"/>
          <w:color w:val="000000"/>
          <w:sz w:val="20"/>
          <w:szCs w:val="20"/>
          <w:u w:val="single"/>
        </w:rPr>
        <w:t>Goodwill</w:t>
      </w:r>
    </w:p>
    <w:p w:rsidR="00000000" w:rsidRDefault="005B0BC3">
      <w:pPr>
        <w:divId w:val="50231230"/>
        <w:rPr>
          <w:rFonts w:eastAsia="Times New Roman"/>
        </w:rPr>
      </w:pPr>
      <w:r>
        <w:rPr>
          <w:rFonts w:eastAsia="Times New Roman"/>
          <w:color w:val="000000"/>
          <w:sz w:val="20"/>
          <w:szCs w:val="20"/>
        </w:rPr>
        <w:t>Goodwill represents the excess of purchase price over the estimated fair value of identifiable net assets acquired in a business combination. The Company tests goodwill for recoverability each annual reporting period at December 31 and at interim periods i</w:t>
      </w:r>
      <w:r>
        <w:rPr>
          <w:rFonts w:eastAsia="Times New Roman"/>
          <w:color w:val="000000"/>
          <w:sz w:val="20"/>
          <w:szCs w:val="20"/>
        </w:rPr>
        <w:t xml:space="preserve">f facts or circumstances are indicative of potential impairment. </w:t>
      </w:r>
    </w:p>
    <w:p w:rsidR="00000000" w:rsidRDefault="005B0BC3">
      <w:pPr>
        <w:divId w:val="1468401100"/>
        <w:rPr>
          <w:rFonts w:eastAsia="Times New Roman"/>
        </w:rPr>
      </w:pPr>
      <w:r>
        <w:rPr>
          <w:rFonts w:eastAsia="Times New Roman"/>
          <w:color w:val="000000"/>
          <w:sz w:val="20"/>
          <w:szCs w:val="20"/>
        </w:rPr>
        <w:t>The carrying value of goodwill from the Company’s Investment Management reporting unit totaled $4.6 billion at both December 31, 2021 and 2020, resulting from its investment in AB as well as</w:t>
      </w:r>
      <w:r>
        <w:rPr>
          <w:rFonts w:eastAsia="Times New Roman"/>
          <w:color w:val="000000"/>
          <w:sz w:val="20"/>
          <w:szCs w:val="20"/>
        </w:rPr>
        <w:t xml:space="preserve"> direct strategic acquisitions of AB, including its purchase of Sanford C. Bernstein, Inc. </w:t>
      </w:r>
    </w:p>
    <w:p w:rsidR="00000000" w:rsidRDefault="005B0BC3">
      <w:pPr>
        <w:divId w:val="1612973087"/>
        <w:rPr>
          <w:rFonts w:eastAsia="Times New Roman"/>
        </w:rPr>
      </w:pPr>
      <w:r>
        <w:rPr>
          <w:rFonts w:eastAsia="Times New Roman"/>
          <w:color w:val="000000"/>
          <w:sz w:val="20"/>
          <w:szCs w:val="20"/>
        </w:rPr>
        <w:t>As of December 31, 2021 and 2020, the Company’s annual testing resulted in no impairment of this goodwill, as the fair value of the reporting unit exceeded its carr</w:t>
      </w:r>
      <w:r>
        <w:rPr>
          <w:rFonts w:eastAsia="Times New Roman"/>
          <w:color w:val="000000"/>
          <w:sz w:val="20"/>
          <w:szCs w:val="20"/>
        </w:rPr>
        <w:t xml:space="preserve">ying amount at each respective date. </w:t>
      </w:r>
    </w:p>
    <w:p w:rsidR="00000000" w:rsidRDefault="005B0BC3">
      <w:pPr>
        <w:divId w:val="647629999"/>
        <w:rPr>
          <w:rFonts w:eastAsia="Times New Roman"/>
        </w:rPr>
      </w:pPr>
      <w:r>
        <w:rPr>
          <w:rFonts w:eastAsia="Times New Roman"/>
          <w:color w:val="000000"/>
          <w:sz w:val="20"/>
          <w:szCs w:val="20"/>
          <w:u w:val="single"/>
        </w:rPr>
        <w:t>Other Intangible Assets</w:t>
      </w:r>
    </w:p>
    <w:p w:rsidR="00000000" w:rsidRDefault="005B0BC3">
      <w:pPr>
        <w:jc w:val="center"/>
        <w:divId w:val="349645553"/>
        <w:rPr>
          <w:rFonts w:eastAsia="Times New Roman"/>
        </w:rPr>
      </w:pPr>
    </w:p>
    <w:p w:rsidR="00000000" w:rsidRDefault="005B0BC3">
      <w:pPr>
        <w:jc w:val="center"/>
        <w:divId w:val="349645553"/>
        <w:rPr>
          <w:rFonts w:eastAsia="Times New Roman"/>
        </w:rPr>
      </w:pPr>
      <w:r>
        <w:rPr>
          <w:rFonts w:eastAsia="Times New Roman"/>
          <w:color w:val="000000"/>
          <w:sz w:val="20"/>
          <w:szCs w:val="20"/>
        </w:rPr>
        <w:t>174</w:t>
      </w:r>
    </w:p>
    <w:p w:rsidR="00000000" w:rsidRDefault="005B0BC3">
      <w:pPr>
        <w:rPr>
          <w:rFonts w:eastAsia="Times New Roman"/>
        </w:rPr>
      </w:pPr>
      <w:r>
        <w:rPr>
          <w:rFonts w:eastAsia="Times New Roman"/>
        </w:rPr>
        <w:pict>
          <v:rect id="_x0000_i1212" style="width:0;height:1.5pt" o:hralign="center" o:hrstd="t" o:hr="t" fillcolor="#a0a0a0" stroked="f"/>
        </w:pict>
      </w:r>
    </w:p>
    <w:p w:rsidR="00000000" w:rsidRDefault="005B0BC3">
      <w:pPr>
        <w:jc w:val="center"/>
        <w:divId w:val="1729567303"/>
        <w:rPr>
          <w:rFonts w:eastAsia="Times New Roman"/>
        </w:rPr>
      </w:pPr>
      <w:r>
        <w:rPr>
          <w:rFonts w:eastAsia="Times New Roman"/>
          <w:b/>
          <w:bCs/>
          <w:color w:val="000000"/>
          <w:sz w:val="20"/>
          <w:szCs w:val="20"/>
        </w:rPr>
        <w:t>EQUITABLE HOLDINGS, INC.</w:t>
      </w:r>
    </w:p>
    <w:p w:rsidR="00000000" w:rsidRDefault="005B0BC3">
      <w:pPr>
        <w:jc w:val="center"/>
        <w:divId w:val="1729567303"/>
        <w:rPr>
          <w:rFonts w:eastAsia="Times New Roman"/>
        </w:rPr>
      </w:pPr>
      <w:r>
        <w:rPr>
          <w:rFonts w:eastAsia="Times New Roman"/>
          <w:b/>
          <w:bCs/>
          <w:color w:val="000000"/>
          <w:sz w:val="20"/>
          <w:szCs w:val="20"/>
        </w:rPr>
        <w:t>NOTES TO CONSOLIDATED FINANCIAL STATEMENTS, continued</w:t>
      </w:r>
    </w:p>
    <w:p w:rsidR="00000000" w:rsidRDefault="005B0BC3">
      <w:pPr>
        <w:divId w:val="665550818"/>
        <w:rPr>
          <w:rFonts w:eastAsia="Times New Roman"/>
        </w:rPr>
      </w:pPr>
      <w:r>
        <w:rPr>
          <w:rFonts w:eastAsia="Times New Roman"/>
          <w:color w:val="000000"/>
          <w:sz w:val="20"/>
          <w:szCs w:val="20"/>
        </w:rPr>
        <w:t>The Company’s intangible assets primarily relate to the Bernstein Acquisi</w:t>
      </w:r>
      <w:r>
        <w:rPr>
          <w:rFonts w:eastAsia="Times New Roman"/>
          <w:color w:val="000000"/>
          <w:sz w:val="20"/>
          <w:szCs w:val="20"/>
        </w:rPr>
        <w:t xml:space="preserve">tion and purchases of AB Units and reflect amounts assigned to acquired investment management contracts based on their estimated fair values at the time of acquisition, less accumulated amortization. </w:t>
      </w:r>
    </w:p>
    <w:p w:rsidR="00000000" w:rsidRDefault="005B0BC3">
      <w:pPr>
        <w:divId w:val="597183039"/>
        <w:rPr>
          <w:rFonts w:eastAsia="Times New Roman"/>
        </w:rPr>
      </w:pPr>
      <w:r>
        <w:rPr>
          <w:rFonts w:eastAsia="Times New Roman"/>
          <w:color w:val="000000"/>
          <w:sz w:val="20"/>
          <w:szCs w:val="20"/>
        </w:rPr>
        <w:t>The gross carrying amount of AB-related intangible asse</w:t>
      </w:r>
      <w:r>
        <w:rPr>
          <w:rFonts w:eastAsia="Times New Roman"/>
          <w:color w:val="000000"/>
          <w:sz w:val="20"/>
          <w:szCs w:val="20"/>
        </w:rPr>
        <w:t>ts was $932 million as of December 31, 2021 and $926 million as of December 31, 2020, and the accumulated amortization of these intangible assets was $809 million and $786 million as of December 31, 2021 and 2020, respectively. Amortization expense for AB-</w:t>
      </w:r>
      <w:r>
        <w:rPr>
          <w:rFonts w:eastAsia="Times New Roman"/>
          <w:color w:val="000000"/>
          <w:sz w:val="20"/>
          <w:szCs w:val="20"/>
        </w:rPr>
        <w:t>related intangible assets totaled $21 million , $37 million, and $44 million for 2021, 2020 and 2019, respectively. Estimated annual amortization expense for each of the next five years is approximately $20 million, $18 million, $18 million, $17 million an</w:t>
      </w:r>
      <w:r>
        <w:rPr>
          <w:rFonts w:eastAsia="Times New Roman"/>
          <w:color w:val="000000"/>
          <w:sz w:val="20"/>
          <w:szCs w:val="20"/>
        </w:rPr>
        <w:t>d $15 million, respectively.</w:t>
      </w:r>
    </w:p>
    <w:p w:rsidR="00000000" w:rsidRDefault="005B0BC3">
      <w:pPr>
        <w:divId w:val="27680743"/>
        <w:rPr>
          <w:rFonts w:eastAsia="Times New Roman"/>
        </w:rPr>
      </w:pPr>
      <w:r>
        <w:rPr>
          <w:rFonts w:eastAsia="Times New Roman"/>
          <w:color w:val="000000"/>
          <w:sz w:val="20"/>
          <w:szCs w:val="20"/>
        </w:rPr>
        <w:t>On June 20, 2014, AB acquired an 81.7% ownership interest in CPH, a Danish asset management firm that manages global core equity assets for institutional investors. AB subsequently purchased additional shares of CPH bringing it</w:t>
      </w:r>
      <w:r>
        <w:rPr>
          <w:rFonts w:eastAsia="Times New Roman"/>
          <w:color w:val="000000"/>
          <w:sz w:val="20"/>
          <w:szCs w:val="20"/>
        </w:rPr>
        <w:t>s ownership interest to 100% as of December 31, 2019. AB ownership interest in CPH is 100% as of December 31, 2021. The acquisitions described above did not have a significant impact on the Company’s consolidated revenues or net income. As a result, supple</w:t>
      </w:r>
      <w:r>
        <w:rPr>
          <w:rFonts w:eastAsia="Times New Roman"/>
          <w:color w:val="000000"/>
          <w:sz w:val="20"/>
          <w:szCs w:val="20"/>
        </w:rPr>
        <w:t>mental pro forma information has not been provided. Additional information regarding the contingent payment obligations associated with these and other acquisitions made by AB is included in Note 8 of the Notes to these Consolidated Financial Statements.</w:t>
      </w:r>
    </w:p>
    <w:p w:rsidR="00000000" w:rsidRDefault="005B0BC3">
      <w:pPr>
        <w:divId w:val="1344548879"/>
        <w:rPr>
          <w:rFonts w:eastAsia="Times New Roman"/>
        </w:rPr>
      </w:pPr>
      <w:r>
        <w:rPr>
          <w:rFonts w:eastAsia="Times New Roman"/>
          <w:b/>
          <w:bCs/>
          <w:color w:val="000000"/>
          <w:sz w:val="20"/>
          <w:szCs w:val="20"/>
        </w:rPr>
        <w:t>6</w:t>
      </w:r>
      <w:r>
        <w:rPr>
          <w:rFonts w:eastAsia="Times New Roman"/>
          <w:b/>
          <w:bCs/>
          <w:color w:val="000000"/>
          <w:sz w:val="20"/>
          <w:szCs w:val="20"/>
        </w:rPr>
        <w:t>)    CLOSED BLOCK</w:t>
      </w:r>
    </w:p>
    <w:p w:rsidR="00000000" w:rsidRDefault="005B0BC3">
      <w:pPr>
        <w:divId w:val="964382894"/>
        <w:rPr>
          <w:rFonts w:eastAsia="Times New Roman"/>
        </w:rPr>
      </w:pPr>
      <w:r>
        <w:rPr>
          <w:rFonts w:eastAsia="Times New Roman"/>
          <w:color w:val="000000"/>
          <w:sz w:val="20"/>
          <w:szCs w:val="20"/>
        </w:rPr>
        <w:t>As a result of demutualization, the Company’s Closed Block was established in 1992 for the benefit of certain individual participating policies that were in force on that date. Assets, liabilities and earnings of the Closed Block are spec</w:t>
      </w:r>
      <w:r>
        <w:rPr>
          <w:rFonts w:eastAsia="Times New Roman"/>
          <w:color w:val="000000"/>
          <w:sz w:val="20"/>
          <w:szCs w:val="20"/>
        </w:rPr>
        <w:t>ifically identified to support its participating policyholders.</w:t>
      </w:r>
    </w:p>
    <w:p w:rsidR="00000000" w:rsidRDefault="005B0BC3">
      <w:pPr>
        <w:divId w:val="1345127581"/>
        <w:rPr>
          <w:rFonts w:eastAsia="Times New Roman"/>
        </w:rPr>
      </w:pPr>
      <w:r>
        <w:rPr>
          <w:rFonts w:eastAsia="Times New Roman"/>
          <w:color w:val="000000"/>
          <w:sz w:val="20"/>
          <w:szCs w:val="20"/>
        </w:rPr>
        <w:t>Assets allocated to the Closed Block inure solely to the benefit of the Closed Block policyholders and will not revert to the benefit of the Company. No reallocation, transfer, borrowing or le</w:t>
      </w:r>
      <w:r>
        <w:rPr>
          <w:rFonts w:eastAsia="Times New Roman"/>
          <w:color w:val="000000"/>
          <w:sz w:val="20"/>
          <w:szCs w:val="20"/>
        </w:rPr>
        <w:t>nding of assets can be made between the Closed Block and other portions of the Company’s General Account, any of its Separate Accounts or any affiliate of the Company without the approval of the NYDFS. Closed Block assets and liabilities are carried on the</w:t>
      </w:r>
      <w:r>
        <w:rPr>
          <w:rFonts w:eastAsia="Times New Roman"/>
          <w:color w:val="000000"/>
          <w:sz w:val="20"/>
          <w:szCs w:val="20"/>
        </w:rPr>
        <w:t xml:space="preserve"> same basis as similar assets and liabilities held in the General Account.</w:t>
      </w:r>
    </w:p>
    <w:p w:rsidR="00000000" w:rsidRDefault="005B0BC3">
      <w:pPr>
        <w:divId w:val="2018538969"/>
        <w:rPr>
          <w:rFonts w:eastAsia="Times New Roman"/>
        </w:rPr>
      </w:pPr>
      <w:r>
        <w:rPr>
          <w:rFonts w:eastAsia="Times New Roman"/>
          <w:color w:val="000000"/>
          <w:sz w:val="20"/>
          <w:szCs w:val="20"/>
        </w:rPr>
        <w:t xml:space="preserve">The excess of Closed Block liabilities over Closed Block assets (adjusted to exclude the impact of related amounts in AOCI) represents the expected maximum future post-tax earnings </w:t>
      </w:r>
      <w:r>
        <w:rPr>
          <w:rFonts w:eastAsia="Times New Roman"/>
          <w:color w:val="000000"/>
          <w:sz w:val="20"/>
          <w:szCs w:val="20"/>
        </w:rPr>
        <w:t>from the Closed Block that would be recognized in income from continuing operations over the period the policies and contracts in the Closed Block remain in force. As of January 1, 2001, the Company has developed an actuarial calculation of the expected ti</w:t>
      </w:r>
      <w:r>
        <w:rPr>
          <w:rFonts w:eastAsia="Times New Roman"/>
          <w:color w:val="000000"/>
          <w:sz w:val="20"/>
          <w:szCs w:val="20"/>
        </w:rPr>
        <w:t>ming of the Closed Block’s earnings.</w:t>
      </w:r>
    </w:p>
    <w:p w:rsidR="00000000" w:rsidRDefault="005B0BC3">
      <w:pPr>
        <w:divId w:val="559247793"/>
        <w:rPr>
          <w:rFonts w:eastAsia="Times New Roman"/>
        </w:rPr>
      </w:pPr>
      <w:r>
        <w:rPr>
          <w:rFonts w:eastAsia="Times New Roman"/>
          <w:color w:val="000000"/>
          <w:sz w:val="20"/>
          <w:szCs w:val="20"/>
        </w:rPr>
        <w:t>If the actual cumulative earnings from the Closed Block are greater than the expected cumulative earnings, only the expected earnings will be recognized in net income. Actual cumulative earnings in excess of expected cu</w:t>
      </w:r>
      <w:r>
        <w:rPr>
          <w:rFonts w:eastAsia="Times New Roman"/>
          <w:color w:val="000000"/>
          <w:sz w:val="20"/>
          <w:szCs w:val="20"/>
        </w:rPr>
        <w:t>mulative earnings at any point in time are recorded as a policyholder dividend obligation because they will ultimately be paid to Closed Block policyholders as an additional policyholder dividend unless offset by future performance that is less favorable t</w:t>
      </w:r>
      <w:r>
        <w:rPr>
          <w:rFonts w:eastAsia="Times New Roman"/>
          <w:color w:val="000000"/>
          <w:sz w:val="20"/>
          <w:szCs w:val="20"/>
        </w:rPr>
        <w:t>han originally expected. If a policyholder dividend obligation has been previously established and the actual Closed Block earnings in a subsequent period are less than the expected earnings for that period, the policyholder dividend obligation would be re</w:t>
      </w:r>
      <w:r>
        <w:rPr>
          <w:rFonts w:eastAsia="Times New Roman"/>
          <w:color w:val="000000"/>
          <w:sz w:val="20"/>
          <w:szCs w:val="20"/>
        </w:rPr>
        <w:t>duced (but not below zero). If, over the period the policies and contracts in the Closed Block remain in force, the actual cumulative earnings of the Closed Block are less than the expected cumulative earnings, only actual earnings would be recognized in i</w:t>
      </w:r>
      <w:r>
        <w:rPr>
          <w:rFonts w:eastAsia="Times New Roman"/>
          <w:color w:val="000000"/>
          <w:sz w:val="20"/>
          <w:szCs w:val="20"/>
        </w:rPr>
        <w:t>ncome from continuing operations. If the Closed Block has insufficient funds to make guaranteed policy benefit payments, such payments will be made from assets outside the Closed Block.</w:t>
      </w:r>
    </w:p>
    <w:p w:rsidR="00000000" w:rsidRDefault="005B0BC3">
      <w:pPr>
        <w:divId w:val="989821035"/>
        <w:rPr>
          <w:rFonts w:eastAsia="Times New Roman"/>
        </w:rPr>
      </w:pPr>
      <w:r>
        <w:rPr>
          <w:rFonts w:eastAsia="Times New Roman"/>
          <w:color w:val="000000"/>
          <w:sz w:val="20"/>
          <w:szCs w:val="20"/>
        </w:rPr>
        <w:t>Many expenses related to Closed Block operations, including amortizati</w:t>
      </w:r>
      <w:r>
        <w:rPr>
          <w:rFonts w:eastAsia="Times New Roman"/>
          <w:color w:val="000000"/>
          <w:sz w:val="20"/>
          <w:szCs w:val="20"/>
        </w:rPr>
        <w:t>on of DAC, are charged to operations outside of the Closed Block; accordingly, net revenues of the Closed Block do not represent the actual profitability of the Closed Block operations. Operating costs and expenses outside of the Closed Block are, therefor</w:t>
      </w:r>
      <w:r>
        <w:rPr>
          <w:rFonts w:eastAsia="Times New Roman"/>
          <w:color w:val="000000"/>
          <w:sz w:val="20"/>
          <w:szCs w:val="20"/>
        </w:rPr>
        <w:t>e, disproportionate to the business outside of the Closed Block.</w:t>
      </w:r>
    </w:p>
    <w:p w:rsidR="00000000" w:rsidRDefault="005B0BC3">
      <w:pPr>
        <w:divId w:val="1171945030"/>
        <w:rPr>
          <w:rFonts w:eastAsia="Times New Roman"/>
        </w:rPr>
      </w:pPr>
      <w:r>
        <w:rPr>
          <w:rFonts w:eastAsia="Times New Roman"/>
          <w:color w:val="000000"/>
          <w:sz w:val="20"/>
          <w:szCs w:val="20"/>
        </w:rPr>
        <w:t>Summarized financial information for the Company’s Closed Block is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6268"/>
        <w:gridCol w:w="37"/>
        <w:gridCol w:w="120"/>
        <w:gridCol w:w="788"/>
        <w:gridCol w:w="36"/>
        <w:gridCol w:w="36"/>
        <w:gridCol w:w="36"/>
        <w:gridCol w:w="36"/>
        <w:gridCol w:w="120"/>
        <w:gridCol w:w="753"/>
        <w:gridCol w:w="36"/>
      </w:tblGrid>
      <w:tr w:rsidR="00000000">
        <w:trPr>
          <w:divId w:val="2108037871"/>
        </w:trPr>
        <w:tc>
          <w:tcPr>
            <w:tcW w:w="50" w:type="pct"/>
            <w:vAlign w:val="center"/>
            <w:hideMark/>
          </w:tcPr>
          <w:p w:rsidR="00000000" w:rsidRDefault="005B0BC3">
            <w:pPr>
              <w:rPr>
                <w:rFonts w:eastAsia="Times New Roman"/>
              </w:rPr>
            </w:pPr>
          </w:p>
        </w:tc>
        <w:tc>
          <w:tcPr>
            <w:tcW w:w="379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0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0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2108037871"/>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December 31,</w:t>
            </w:r>
          </w:p>
        </w:tc>
      </w:tr>
      <w:tr w:rsidR="00000000">
        <w:trPr>
          <w:divId w:val="2108037871"/>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r>
      <w:tr w:rsidR="00000000">
        <w:trPr>
          <w:divId w:val="2108037871"/>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2108037871"/>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Closed Block Liabilities:</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2108037871"/>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Future policy benefits, policyholders’ account balances and other</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5,928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6,201 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jc w:val="center"/>
        <w:divId w:val="1332565202"/>
        <w:rPr>
          <w:rFonts w:eastAsia="Times New Roman"/>
        </w:rPr>
      </w:pPr>
      <w:r>
        <w:rPr>
          <w:rFonts w:eastAsia="Times New Roman"/>
          <w:color w:val="000000"/>
          <w:sz w:val="20"/>
          <w:szCs w:val="20"/>
        </w:rPr>
        <w:t>175</w:t>
      </w:r>
    </w:p>
    <w:p w:rsidR="00000000" w:rsidRDefault="005B0BC3">
      <w:pPr>
        <w:rPr>
          <w:rFonts w:eastAsia="Times New Roman"/>
        </w:rPr>
      </w:pPr>
      <w:r>
        <w:rPr>
          <w:rFonts w:eastAsia="Times New Roman"/>
        </w:rPr>
        <w:pict>
          <v:rect id="_x0000_i1213" style="width:0;height:1.5pt" o:hralign="center" o:hrstd="t" o:hr="t" fillcolor="#a0a0a0" stroked="f"/>
        </w:pict>
      </w:r>
    </w:p>
    <w:p w:rsidR="00000000" w:rsidRDefault="005B0BC3">
      <w:pPr>
        <w:jc w:val="center"/>
        <w:divId w:val="1036348482"/>
        <w:rPr>
          <w:rFonts w:eastAsia="Times New Roman"/>
        </w:rPr>
      </w:pPr>
      <w:r>
        <w:rPr>
          <w:rFonts w:eastAsia="Times New Roman"/>
          <w:b/>
          <w:bCs/>
          <w:color w:val="000000"/>
          <w:sz w:val="20"/>
          <w:szCs w:val="20"/>
        </w:rPr>
        <w:t>EQUITABLE HOLDINGS, INC.</w:t>
      </w:r>
    </w:p>
    <w:p w:rsidR="00000000" w:rsidRDefault="005B0BC3">
      <w:pPr>
        <w:jc w:val="center"/>
        <w:divId w:val="1036348482"/>
        <w:rPr>
          <w:rFonts w:eastAsia="Times New Roman"/>
        </w:rPr>
      </w:pPr>
      <w:r>
        <w:rPr>
          <w:rFonts w:eastAsia="Times New Roman"/>
          <w:b/>
          <w:bCs/>
          <w:color w:val="000000"/>
          <w:sz w:val="20"/>
          <w:szCs w:val="20"/>
        </w:rPr>
        <w:t>NOTES TO CONSOLIDATED FINANCIAL STATEMENTS, continued</w:t>
      </w:r>
    </w:p>
    <w:tbl>
      <w:tblPr>
        <w:tblW w:w="5000" w:type="pct"/>
        <w:tblCellMar>
          <w:top w:w="15" w:type="dxa"/>
          <w:left w:w="15" w:type="dxa"/>
          <w:bottom w:w="15" w:type="dxa"/>
          <w:right w:w="15" w:type="dxa"/>
        </w:tblCellMar>
        <w:tblLook w:val="04A0" w:firstRow="1" w:lastRow="0" w:firstColumn="1" w:lastColumn="0" w:noHBand="0" w:noVBand="1"/>
      </w:tblPr>
      <w:tblGrid>
        <w:gridCol w:w="39"/>
        <w:gridCol w:w="6268"/>
        <w:gridCol w:w="37"/>
        <w:gridCol w:w="121"/>
        <w:gridCol w:w="788"/>
        <w:gridCol w:w="36"/>
        <w:gridCol w:w="36"/>
        <w:gridCol w:w="36"/>
        <w:gridCol w:w="36"/>
        <w:gridCol w:w="121"/>
        <w:gridCol w:w="752"/>
        <w:gridCol w:w="36"/>
      </w:tblGrid>
      <w:tr w:rsidR="00000000">
        <w:trPr>
          <w:divId w:val="1013149681"/>
        </w:trPr>
        <w:tc>
          <w:tcPr>
            <w:tcW w:w="50" w:type="pct"/>
            <w:vAlign w:val="center"/>
            <w:hideMark/>
          </w:tcPr>
          <w:p w:rsidR="00000000" w:rsidRDefault="005B0BC3">
            <w:pPr>
              <w:jc w:val="center"/>
              <w:rPr>
                <w:rFonts w:eastAsia="Times New Roman"/>
              </w:rPr>
            </w:pPr>
          </w:p>
        </w:tc>
        <w:tc>
          <w:tcPr>
            <w:tcW w:w="379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0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0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013149681"/>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December 31,</w:t>
            </w:r>
          </w:p>
        </w:tc>
      </w:tr>
      <w:tr w:rsidR="00000000">
        <w:trPr>
          <w:divId w:val="1013149681"/>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r>
      <w:tr w:rsidR="00000000">
        <w:trPr>
          <w:divId w:val="1013149681"/>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Policyholder dividend obligation</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160 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013149681"/>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Other liabilities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013149681"/>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Closed Block liabilities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5,967</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6,400 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013149681"/>
          <w:trHeight w:val="280"/>
        </w:trPr>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013149681"/>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Assets Designated to the Closed Block:</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013149681"/>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divId w:val="1096094895"/>
              <w:rPr>
                <w:rFonts w:eastAsia="Times New Roman"/>
              </w:rPr>
            </w:pPr>
            <w:r>
              <w:rPr>
                <w:rFonts w:eastAsia="Times New Roman"/>
                <w:color w:val="000000"/>
                <w:sz w:val="20"/>
                <w:szCs w:val="20"/>
              </w:rPr>
              <w:t>Fixed maturities AFS, at fair value (amortized cost of $3,185 and $3,359) (allowance for credit losses of $0 and $0)</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3,390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3,718 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013149681"/>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divId w:val="2031642792"/>
              <w:rPr>
                <w:rFonts w:eastAsia="Times New Roman"/>
              </w:rPr>
            </w:pPr>
            <w:r>
              <w:rPr>
                <w:rFonts w:eastAsia="Times New Roman"/>
                <w:color w:val="000000"/>
                <w:sz w:val="20"/>
                <w:szCs w:val="20"/>
              </w:rPr>
              <w:t>Mortgage loans on real estate (net of allowance for credit losses of $4 and $6)</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1,771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1,773 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013149681"/>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Policy loans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648 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013149681"/>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Cash and other invested assets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013149681"/>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169 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013149681"/>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assets designated to the Closed Block</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5,916</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6,336 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013149681"/>
          <w:trHeight w:val="280"/>
        </w:trPr>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013149681"/>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Excess of Closed Block liabilities over assets designated to the Closed Block</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013149681"/>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Amounts included in AOCI:</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013149681"/>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divId w:val="171839516"/>
              <w:rPr>
                <w:rFonts w:eastAsia="Times New Roman"/>
              </w:rPr>
            </w:pPr>
            <w:r>
              <w:rPr>
                <w:rFonts w:eastAsia="Times New Roman"/>
                <w:color w:val="000000"/>
                <w:sz w:val="20"/>
                <w:szCs w:val="20"/>
              </w:rPr>
              <w:t>Net unrealized investment gains (losses), net of policyholders’ dividend obligation: $0 and $160; and net of income tax: $(43) and $(42)</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167 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013149681"/>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Maximum future earnings to be recognized from Closed Block assets and liabilities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223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231 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ind w:hanging="360"/>
        <w:divId w:val="236791409"/>
        <w:rPr>
          <w:rFonts w:eastAsia="Times New Roman"/>
        </w:rPr>
      </w:pPr>
    </w:p>
    <w:p w:rsidR="00000000" w:rsidRDefault="005B0BC3">
      <w:pPr>
        <w:divId w:val="1075663083"/>
        <w:rPr>
          <w:rFonts w:eastAsia="Times New Roman"/>
        </w:rPr>
      </w:pPr>
      <w:r>
        <w:rPr>
          <w:rFonts w:eastAsia="Times New Roman"/>
          <w:color w:val="000000"/>
          <w:sz w:val="20"/>
          <w:szCs w:val="20"/>
        </w:rPr>
        <w:t>The Company’s Closed Block revenues and expenses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5321"/>
        <w:gridCol w:w="38"/>
        <w:gridCol w:w="36"/>
        <w:gridCol w:w="36"/>
        <w:gridCol w:w="36"/>
        <w:gridCol w:w="36"/>
        <w:gridCol w:w="120"/>
        <w:gridCol w:w="720"/>
        <w:gridCol w:w="36"/>
        <w:gridCol w:w="36"/>
        <w:gridCol w:w="36"/>
        <w:gridCol w:w="36"/>
        <w:gridCol w:w="120"/>
        <w:gridCol w:w="680"/>
        <w:gridCol w:w="36"/>
        <w:gridCol w:w="36"/>
        <w:gridCol w:w="36"/>
        <w:gridCol w:w="36"/>
        <w:gridCol w:w="120"/>
        <w:gridCol w:w="680"/>
        <w:gridCol w:w="36"/>
      </w:tblGrid>
      <w:tr w:rsidR="00000000">
        <w:trPr>
          <w:divId w:val="1781222189"/>
        </w:trPr>
        <w:tc>
          <w:tcPr>
            <w:tcW w:w="50" w:type="pct"/>
            <w:vAlign w:val="center"/>
            <w:hideMark/>
          </w:tcPr>
          <w:p w:rsidR="00000000" w:rsidRDefault="005B0BC3">
            <w:pPr>
              <w:rPr>
                <w:rFonts w:eastAsia="Times New Roman"/>
              </w:rPr>
            </w:pPr>
          </w:p>
        </w:tc>
        <w:tc>
          <w:tcPr>
            <w:tcW w:w="329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7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7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7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781222189"/>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781222189"/>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1781222189"/>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1781222189"/>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Revenues: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781222189"/>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Premiums and other income</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182 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81222189"/>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Net investment income (loss)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237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251 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278 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81222189"/>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Investment gains (losses), net</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81222189"/>
        </w:trPr>
        <w:tc>
          <w:tcPr>
            <w:tcW w:w="0" w:type="auto"/>
            <w:gridSpan w:val="3"/>
            <w:shd w:val="clear" w:color="auto" w:fill="FFFF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revenues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385</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408 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459 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81222189"/>
          <w:trHeight w:val="280"/>
        </w:trPr>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781222189"/>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Benefits and Other Deductions: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781222189"/>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xml:space="preserve">Policyholders’ </w:t>
            </w:r>
            <w:r>
              <w:rPr>
                <w:rFonts w:eastAsia="Times New Roman"/>
                <w:color w:val="000000"/>
                <w:sz w:val="20"/>
                <w:szCs w:val="20"/>
              </w:rPr>
              <w:t>benefits and dividends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399 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439 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81222189"/>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Other operating costs and expenses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81222189"/>
        </w:trPr>
        <w:tc>
          <w:tcPr>
            <w:tcW w:w="0" w:type="auto"/>
            <w:gridSpan w:val="3"/>
            <w:shd w:val="clear" w:color="auto" w:fill="CCEE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benefits and other deductions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375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400 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441 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81222189"/>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Net income (loss), before income taxes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18 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81222189"/>
        </w:trPr>
        <w:tc>
          <w:tcPr>
            <w:tcW w:w="0" w:type="auto"/>
            <w:gridSpan w:val="3"/>
            <w:shd w:val="clear" w:color="auto" w:fill="CCEE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Income tax (expense) benefit</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81222189"/>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Net income (loss)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16 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divId w:val="693380681"/>
        <w:rPr>
          <w:rFonts w:eastAsia="Times New Roman"/>
        </w:rPr>
      </w:pPr>
    </w:p>
    <w:p w:rsidR="00000000" w:rsidRDefault="005B0BC3">
      <w:pPr>
        <w:divId w:val="1224026184"/>
        <w:rPr>
          <w:rFonts w:eastAsia="Times New Roman"/>
        </w:rPr>
      </w:pPr>
      <w:r>
        <w:rPr>
          <w:rFonts w:eastAsia="Times New Roman"/>
          <w:color w:val="000000"/>
          <w:sz w:val="20"/>
          <w:szCs w:val="20"/>
        </w:rPr>
        <w:t>A reconciliation of the Company’s policyholder</w:t>
      </w:r>
      <w:r>
        <w:rPr>
          <w:rFonts w:eastAsia="Times New Roman"/>
          <w:color w:val="000000"/>
          <w:sz w:val="20"/>
          <w:szCs w:val="20"/>
        </w:rPr>
        <w:t xml:space="preserve"> dividend obligation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324"/>
        <w:gridCol w:w="36"/>
        <w:gridCol w:w="36"/>
        <w:gridCol w:w="36"/>
        <w:gridCol w:w="36"/>
        <w:gridCol w:w="36"/>
        <w:gridCol w:w="120"/>
        <w:gridCol w:w="721"/>
        <w:gridCol w:w="36"/>
        <w:gridCol w:w="36"/>
        <w:gridCol w:w="36"/>
        <w:gridCol w:w="36"/>
        <w:gridCol w:w="120"/>
        <w:gridCol w:w="680"/>
        <w:gridCol w:w="36"/>
        <w:gridCol w:w="36"/>
        <w:gridCol w:w="36"/>
        <w:gridCol w:w="36"/>
        <w:gridCol w:w="120"/>
        <w:gridCol w:w="680"/>
        <w:gridCol w:w="36"/>
      </w:tblGrid>
      <w:tr w:rsidR="00000000">
        <w:trPr>
          <w:jc w:val="center"/>
        </w:trPr>
        <w:tc>
          <w:tcPr>
            <w:tcW w:w="50" w:type="pct"/>
            <w:vAlign w:val="center"/>
            <w:hideMark/>
          </w:tcPr>
          <w:p w:rsidR="00000000" w:rsidRDefault="005B0BC3">
            <w:pPr>
              <w:rPr>
                <w:rFonts w:eastAsia="Times New Roman"/>
              </w:rPr>
            </w:pPr>
          </w:p>
        </w:tc>
        <w:tc>
          <w:tcPr>
            <w:tcW w:w="329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7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7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7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ascii="Calibri" w:eastAsia="Times New Roman" w:hAnsi="Calibri" w:cs="Calibri"/>
                <w:color w:val="000000"/>
                <w:sz w:val="18"/>
                <w:szCs w:val="18"/>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jc w:val="center"/>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Beginning balance</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Unrealized investment gains (losses)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(160)</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Ending balance</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160 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jc w:val="center"/>
        </w:trPr>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bl>
    <w:p w:rsidR="00000000" w:rsidRDefault="005B0BC3">
      <w:pPr>
        <w:divId w:val="367028466"/>
        <w:rPr>
          <w:rFonts w:eastAsia="Times New Roman"/>
        </w:rPr>
      </w:pPr>
    </w:p>
    <w:p w:rsidR="00000000" w:rsidRDefault="005B0BC3">
      <w:pPr>
        <w:jc w:val="center"/>
        <w:divId w:val="983582579"/>
        <w:rPr>
          <w:rFonts w:eastAsia="Times New Roman"/>
        </w:rPr>
      </w:pPr>
      <w:r>
        <w:rPr>
          <w:rFonts w:eastAsia="Times New Roman"/>
          <w:color w:val="000000"/>
          <w:sz w:val="20"/>
          <w:szCs w:val="20"/>
        </w:rPr>
        <w:t>176</w:t>
      </w:r>
    </w:p>
    <w:p w:rsidR="00000000" w:rsidRDefault="005B0BC3">
      <w:pPr>
        <w:rPr>
          <w:rFonts w:eastAsia="Times New Roman"/>
        </w:rPr>
      </w:pPr>
      <w:r>
        <w:rPr>
          <w:rFonts w:eastAsia="Times New Roman"/>
        </w:rPr>
        <w:pict>
          <v:rect id="_x0000_i1214" style="width:0;height:1.5pt" o:hralign="center" o:hrstd="t" o:hr="t" fillcolor="#a0a0a0" stroked="f"/>
        </w:pict>
      </w:r>
    </w:p>
    <w:p w:rsidR="00000000" w:rsidRDefault="005B0BC3">
      <w:pPr>
        <w:jc w:val="center"/>
        <w:divId w:val="419449175"/>
        <w:rPr>
          <w:rFonts w:eastAsia="Times New Roman"/>
        </w:rPr>
      </w:pPr>
      <w:r>
        <w:rPr>
          <w:rFonts w:eastAsia="Times New Roman"/>
          <w:b/>
          <w:bCs/>
          <w:color w:val="000000"/>
          <w:sz w:val="20"/>
          <w:szCs w:val="20"/>
        </w:rPr>
        <w:t>EQUITABLE HOLDINGS, INC.</w:t>
      </w:r>
    </w:p>
    <w:p w:rsidR="00000000" w:rsidRDefault="005B0BC3">
      <w:pPr>
        <w:jc w:val="center"/>
        <w:divId w:val="419449175"/>
        <w:rPr>
          <w:rFonts w:eastAsia="Times New Roman"/>
        </w:rPr>
      </w:pPr>
      <w:r>
        <w:rPr>
          <w:rFonts w:eastAsia="Times New Roman"/>
          <w:b/>
          <w:bCs/>
          <w:color w:val="000000"/>
          <w:sz w:val="20"/>
          <w:szCs w:val="20"/>
        </w:rPr>
        <w:t>NOTES TO CONSOLIDATED FINANCIAL STATEMENTS, continued</w:t>
      </w:r>
    </w:p>
    <w:p w:rsidR="00000000" w:rsidRDefault="005B0BC3">
      <w:pPr>
        <w:divId w:val="964848177"/>
        <w:rPr>
          <w:rFonts w:eastAsia="Times New Roman"/>
        </w:rPr>
      </w:pPr>
      <w:r>
        <w:rPr>
          <w:rFonts w:eastAsia="Times New Roman"/>
          <w:b/>
          <w:bCs/>
          <w:color w:val="000000"/>
          <w:sz w:val="20"/>
          <w:szCs w:val="20"/>
        </w:rPr>
        <w:t xml:space="preserve">7)    DAC AND POLICYHOLDER BONUS INTEREST CREDITS </w:t>
      </w:r>
    </w:p>
    <w:p w:rsidR="00000000" w:rsidRDefault="005B0BC3">
      <w:pPr>
        <w:divId w:val="300769381"/>
        <w:rPr>
          <w:rFonts w:eastAsia="Times New Roman"/>
        </w:rPr>
      </w:pPr>
      <w:r>
        <w:rPr>
          <w:rFonts w:eastAsia="Times New Roman"/>
          <w:color w:val="000000"/>
          <w:sz w:val="20"/>
          <w:szCs w:val="20"/>
        </w:rPr>
        <w:t>Changes in the DAC asset for the years ended December 31, 2021, 2020 and 2019 were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4982"/>
        <w:gridCol w:w="37"/>
        <w:gridCol w:w="120"/>
        <w:gridCol w:w="881"/>
        <w:gridCol w:w="36"/>
        <w:gridCol w:w="36"/>
        <w:gridCol w:w="36"/>
        <w:gridCol w:w="36"/>
        <w:gridCol w:w="120"/>
        <w:gridCol w:w="842"/>
        <w:gridCol w:w="36"/>
        <w:gridCol w:w="36"/>
        <w:gridCol w:w="36"/>
        <w:gridCol w:w="36"/>
        <w:gridCol w:w="120"/>
        <w:gridCol w:w="842"/>
        <w:gridCol w:w="36"/>
      </w:tblGrid>
      <w:tr w:rsidR="00000000">
        <w:trPr>
          <w:divId w:val="1278637530"/>
        </w:trPr>
        <w:tc>
          <w:tcPr>
            <w:tcW w:w="50" w:type="pct"/>
            <w:vAlign w:val="center"/>
            <w:hideMark/>
          </w:tcPr>
          <w:p w:rsidR="00000000" w:rsidRDefault="005B0BC3">
            <w:pPr>
              <w:rPr>
                <w:rFonts w:eastAsia="Times New Roman"/>
              </w:rPr>
            </w:pPr>
          </w:p>
        </w:tc>
        <w:tc>
          <w:tcPr>
            <w:tcW w:w="302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278637530"/>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December 31,</w:t>
            </w:r>
          </w:p>
        </w:tc>
      </w:tr>
      <w:tr w:rsidR="00000000">
        <w:trPr>
          <w:divId w:val="1278637530"/>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1278637530"/>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1278637530"/>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Balance, beginning of year (1)</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4,243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5,840 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6,705 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278637530"/>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Capitalization of commissions, sales and issue expenses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669 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754 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278637530"/>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Amortization:</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278637530"/>
        </w:trPr>
        <w:tc>
          <w:tcPr>
            <w:tcW w:w="0" w:type="auto"/>
            <w:gridSpan w:val="3"/>
            <w:shd w:val="clear" w:color="auto" w:fill="FFFF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Impact of assumptions updates and model changes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(1,109)</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278637530"/>
        </w:trPr>
        <w:tc>
          <w:tcPr>
            <w:tcW w:w="0" w:type="auto"/>
            <w:gridSpan w:val="3"/>
            <w:shd w:val="clear" w:color="auto" w:fill="CCEE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All other</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(451)</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(504)</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(643)</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278637530"/>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Total amortization</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(393)</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(1,613)</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(597)</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278637530"/>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Change in unrealized investment gains and losses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(654)</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(994)</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278637530"/>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Reclassified to assets HFS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(31)</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278637530"/>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Balance, end of year</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5,491</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4,243 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5,837 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278637530"/>
        </w:trPr>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278637530"/>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bl>
    <w:p w:rsidR="00000000" w:rsidRDefault="005B0BC3">
      <w:pPr>
        <w:ind w:hanging="720"/>
        <w:divId w:val="1271471487"/>
        <w:rPr>
          <w:rFonts w:eastAsia="Times New Roman"/>
        </w:rPr>
      </w:pPr>
      <w:r>
        <w:rPr>
          <w:rFonts w:eastAsia="Times New Roman"/>
          <w:color w:val="000000"/>
          <w:sz w:val="18"/>
          <w:szCs w:val="18"/>
        </w:rPr>
        <w:t>______________</w:t>
      </w:r>
    </w:p>
    <w:p w:rsidR="00000000" w:rsidRDefault="005B0BC3">
      <w:pPr>
        <w:ind w:hanging="360"/>
        <w:divId w:val="736829483"/>
        <w:rPr>
          <w:rFonts w:eastAsia="Times New Roman"/>
        </w:rPr>
      </w:pPr>
      <w:r>
        <w:rPr>
          <w:rFonts w:eastAsia="Times New Roman"/>
          <w:color w:val="000000"/>
          <w:sz w:val="18"/>
          <w:szCs w:val="18"/>
        </w:rPr>
        <w:t>(1) December 31, 2020 DAC beginning balance is $3 </w:t>
      </w:r>
      <w:r>
        <w:rPr>
          <w:rFonts w:eastAsia="Times New Roman"/>
          <w:color w:val="000000"/>
          <w:sz w:val="18"/>
          <w:szCs w:val="18"/>
        </w:rPr>
        <w:t>million more than December 31, 2019 ending balance due to impact of CECL.</w:t>
      </w:r>
    </w:p>
    <w:p w:rsidR="00000000" w:rsidRDefault="005B0BC3">
      <w:pPr>
        <w:divId w:val="574701548"/>
        <w:rPr>
          <w:rFonts w:eastAsia="Times New Roman"/>
        </w:rPr>
      </w:pPr>
      <w:r>
        <w:rPr>
          <w:rFonts w:eastAsia="Times New Roman"/>
          <w:color w:val="000000"/>
          <w:sz w:val="20"/>
          <w:szCs w:val="20"/>
        </w:rPr>
        <w:t xml:space="preserve">The deferred asset for policyholder bonus interest credits is reported in other assets in the consolidated balance sheets and changes in the deferred asset for policyholder bonus interest credits are reported in Interest credited to policyholders’ account </w:t>
      </w:r>
      <w:r>
        <w:rPr>
          <w:rFonts w:eastAsia="Times New Roman"/>
          <w:color w:val="000000"/>
          <w:sz w:val="20"/>
          <w:szCs w:val="20"/>
        </w:rPr>
        <w:t>balances. For the years ended December 31, 2021, 2020 and 2019 changes were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4982"/>
        <w:gridCol w:w="37"/>
        <w:gridCol w:w="120"/>
        <w:gridCol w:w="881"/>
        <w:gridCol w:w="36"/>
        <w:gridCol w:w="36"/>
        <w:gridCol w:w="36"/>
        <w:gridCol w:w="36"/>
        <w:gridCol w:w="120"/>
        <w:gridCol w:w="842"/>
        <w:gridCol w:w="36"/>
        <w:gridCol w:w="36"/>
        <w:gridCol w:w="36"/>
        <w:gridCol w:w="36"/>
        <w:gridCol w:w="120"/>
        <w:gridCol w:w="842"/>
        <w:gridCol w:w="36"/>
      </w:tblGrid>
      <w:tr w:rsidR="00000000">
        <w:trPr>
          <w:divId w:val="199632123"/>
        </w:trPr>
        <w:tc>
          <w:tcPr>
            <w:tcW w:w="50" w:type="pct"/>
            <w:vAlign w:val="center"/>
            <w:hideMark/>
          </w:tcPr>
          <w:p w:rsidR="00000000" w:rsidRDefault="005B0BC3">
            <w:pPr>
              <w:rPr>
                <w:rFonts w:eastAsia="Times New Roman"/>
              </w:rPr>
            </w:pPr>
          </w:p>
        </w:tc>
        <w:tc>
          <w:tcPr>
            <w:tcW w:w="302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99632123"/>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r>
      <w:tr w:rsidR="00000000">
        <w:trPr>
          <w:divId w:val="199632123"/>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199632123"/>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199632123"/>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Balance, beginning of year</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430 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448 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99632123"/>
        </w:trPr>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99632123"/>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Amortization charged to income</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(31)</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(26)</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(18)</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99632123"/>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Balance, end of year</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373</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404 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430 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ind w:firstLine="720"/>
        <w:divId w:val="1118766957"/>
        <w:rPr>
          <w:rFonts w:eastAsia="Times New Roman"/>
        </w:rPr>
      </w:pPr>
      <w:r>
        <w:rPr>
          <w:rFonts w:eastAsia="Times New Roman"/>
          <w:b/>
          <w:bCs/>
          <w:color w:val="000000"/>
          <w:sz w:val="20"/>
          <w:szCs w:val="20"/>
        </w:rPr>
        <w:t xml:space="preserve">8)    FAIR VALUE DISCLOSURES </w:t>
      </w:r>
    </w:p>
    <w:p w:rsidR="00000000" w:rsidRDefault="005B0BC3">
      <w:pPr>
        <w:divId w:val="1827209990"/>
        <w:rPr>
          <w:rFonts w:eastAsia="Times New Roman"/>
        </w:rPr>
      </w:pPr>
      <w:r>
        <w:rPr>
          <w:rFonts w:eastAsia="Times New Roman"/>
          <w:color w:val="000000"/>
          <w:sz w:val="20"/>
          <w:szCs w:val="20"/>
        </w:rPr>
        <w:t>U.S. GAAP establishes a fair value hierarchy that requires an entity to maximize the use of observable inputs and minimize the use of unobservable inputs when measuring fair value, and identifies three levels of inputs that may be used to measure fair valu</w:t>
      </w:r>
      <w:r>
        <w:rPr>
          <w:rFonts w:eastAsia="Times New Roman"/>
          <w:color w:val="000000"/>
          <w:sz w:val="20"/>
          <w:szCs w:val="20"/>
        </w:rPr>
        <w:t>e:</w:t>
      </w:r>
    </w:p>
    <w:p w:rsidR="00000000" w:rsidRDefault="005B0BC3">
      <w:pPr>
        <w:ind w:hanging="360"/>
        <w:jc w:val="both"/>
        <w:divId w:val="1977371922"/>
        <w:rPr>
          <w:rFonts w:eastAsia="Times New Roman"/>
        </w:rPr>
      </w:pPr>
      <w:r>
        <w:rPr>
          <w:rFonts w:eastAsia="Times New Roman"/>
          <w:color w:val="000000"/>
          <w:sz w:val="20"/>
          <w:szCs w:val="20"/>
        </w:rPr>
        <w:t>Level 1    Unadjusted quoted prices for identical instruments in active markets. Level 1 fair values generally are supported by market transactions that occur with sufficient frequency and volume to provide pricing information on an ongoing basis.</w:t>
      </w:r>
    </w:p>
    <w:p w:rsidR="00000000" w:rsidRDefault="005B0BC3">
      <w:pPr>
        <w:ind w:hanging="360"/>
        <w:jc w:val="both"/>
        <w:divId w:val="1233663020"/>
        <w:rPr>
          <w:rFonts w:eastAsia="Times New Roman"/>
        </w:rPr>
      </w:pPr>
      <w:r>
        <w:rPr>
          <w:rFonts w:eastAsia="Times New Roman"/>
          <w:color w:val="000000"/>
          <w:sz w:val="20"/>
          <w:szCs w:val="20"/>
        </w:rPr>
        <w:t>Level</w:t>
      </w:r>
      <w:r>
        <w:rPr>
          <w:rFonts w:eastAsia="Times New Roman"/>
          <w:color w:val="000000"/>
          <w:sz w:val="20"/>
          <w:szCs w:val="20"/>
        </w:rPr>
        <w:t xml:space="preserve"> 2    Observable inputs other than Level 1 prices, such as quoted prices for similar instruments, quoted prices in markets that are not active, and inputs to model-derived valuations that are directly observable or can be corroborated by observable market </w:t>
      </w:r>
      <w:r>
        <w:rPr>
          <w:rFonts w:eastAsia="Times New Roman"/>
          <w:color w:val="000000"/>
          <w:sz w:val="20"/>
          <w:szCs w:val="20"/>
        </w:rPr>
        <w:t>data.</w:t>
      </w:r>
    </w:p>
    <w:p w:rsidR="00000000" w:rsidRDefault="005B0BC3">
      <w:pPr>
        <w:ind w:hanging="360"/>
        <w:jc w:val="both"/>
        <w:divId w:val="326372490"/>
        <w:rPr>
          <w:rFonts w:eastAsia="Times New Roman"/>
        </w:rPr>
      </w:pPr>
      <w:r>
        <w:rPr>
          <w:rFonts w:eastAsia="Times New Roman"/>
          <w:color w:val="000000"/>
          <w:sz w:val="20"/>
          <w:szCs w:val="20"/>
        </w:rPr>
        <w:t xml:space="preserve">Level 3    Unobservable inputs supported by little or no market activity and often requiring significant management judgment or estimation, such as an entity’s own assumptions about the cash flows or other significant components of value that market </w:t>
      </w:r>
      <w:r>
        <w:rPr>
          <w:rFonts w:eastAsia="Times New Roman"/>
          <w:color w:val="000000"/>
          <w:sz w:val="20"/>
          <w:szCs w:val="20"/>
        </w:rPr>
        <w:t>participants would use in pricing the asset or liability.</w:t>
      </w:r>
    </w:p>
    <w:p w:rsidR="00000000" w:rsidRDefault="005B0BC3">
      <w:pPr>
        <w:divId w:val="324818037"/>
        <w:rPr>
          <w:rFonts w:eastAsia="Times New Roman"/>
        </w:rPr>
      </w:pPr>
      <w:r>
        <w:rPr>
          <w:rFonts w:eastAsia="Times New Roman"/>
          <w:color w:val="000000"/>
          <w:sz w:val="20"/>
          <w:szCs w:val="20"/>
        </w:rPr>
        <w:t>The Company uses unadjusted quoted market prices to measure fair value for those instruments that are actively traded in financial markets. In cases where quoted market prices are not available, fai</w:t>
      </w:r>
      <w:r>
        <w:rPr>
          <w:rFonts w:eastAsia="Times New Roman"/>
          <w:color w:val="000000"/>
          <w:sz w:val="20"/>
          <w:szCs w:val="20"/>
        </w:rPr>
        <w:t>r values are measured using present value or other valuation techniques. The fair value determinations are made at a specific point in time, based on available market information and judgments about the financial instrument, including estimates of the timi</w:t>
      </w:r>
      <w:r>
        <w:rPr>
          <w:rFonts w:eastAsia="Times New Roman"/>
          <w:color w:val="000000"/>
          <w:sz w:val="20"/>
          <w:szCs w:val="20"/>
        </w:rPr>
        <w:t>ng and amount of expected future cash flows and the credit standing of counterparties. Such adjustments do not reflect any premium or discount that could result from offering for sale at one time the Company’s entire holdings of a particular financial inst</w:t>
      </w:r>
      <w:r>
        <w:rPr>
          <w:rFonts w:eastAsia="Times New Roman"/>
          <w:color w:val="000000"/>
          <w:sz w:val="20"/>
          <w:szCs w:val="20"/>
        </w:rPr>
        <w:t>rument, nor do they consider the tax impact of the realization of unrealized gains or losses. In many cases, the fair value cannot be substantiated by direct comparison to independent markets, nor can the disclosed value be realized in immediate settlement</w:t>
      </w:r>
      <w:r>
        <w:rPr>
          <w:rFonts w:eastAsia="Times New Roman"/>
          <w:color w:val="000000"/>
          <w:sz w:val="20"/>
          <w:szCs w:val="20"/>
        </w:rPr>
        <w:t xml:space="preserve"> of the instrument.</w:t>
      </w:r>
    </w:p>
    <w:p w:rsidR="00000000" w:rsidRDefault="005B0BC3">
      <w:pPr>
        <w:jc w:val="center"/>
        <w:divId w:val="454641216"/>
        <w:rPr>
          <w:rFonts w:eastAsia="Times New Roman"/>
        </w:rPr>
      </w:pPr>
      <w:r>
        <w:rPr>
          <w:rFonts w:eastAsia="Times New Roman"/>
          <w:color w:val="000000"/>
          <w:sz w:val="20"/>
          <w:szCs w:val="20"/>
        </w:rPr>
        <w:t>177</w:t>
      </w:r>
    </w:p>
    <w:p w:rsidR="00000000" w:rsidRDefault="005B0BC3">
      <w:pPr>
        <w:rPr>
          <w:rFonts w:eastAsia="Times New Roman"/>
        </w:rPr>
      </w:pPr>
      <w:r>
        <w:rPr>
          <w:rFonts w:eastAsia="Times New Roman"/>
        </w:rPr>
        <w:pict>
          <v:rect id="_x0000_i1215" style="width:0;height:1.5pt" o:hralign="center" o:hrstd="t" o:hr="t" fillcolor="#a0a0a0" stroked="f"/>
        </w:pict>
      </w:r>
    </w:p>
    <w:p w:rsidR="00000000" w:rsidRDefault="005B0BC3">
      <w:pPr>
        <w:jc w:val="center"/>
        <w:divId w:val="606817181"/>
        <w:rPr>
          <w:rFonts w:eastAsia="Times New Roman"/>
        </w:rPr>
      </w:pPr>
      <w:r>
        <w:rPr>
          <w:rFonts w:eastAsia="Times New Roman"/>
          <w:b/>
          <w:bCs/>
          <w:color w:val="000000"/>
          <w:sz w:val="20"/>
          <w:szCs w:val="20"/>
        </w:rPr>
        <w:t>EQUITABLE HOLDINGS, INC.</w:t>
      </w:r>
    </w:p>
    <w:p w:rsidR="00000000" w:rsidRDefault="005B0BC3">
      <w:pPr>
        <w:jc w:val="center"/>
        <w:divId w:val="606817181"/>
        <w:rPr>
          <w:rFonts w:eastAsia="Times New Roman"/>
        </w:rPr>
      </w:pPr>
      <w:r>
        <w:rPr>
          <w:rFonts w:eastAsia="Times New Roman"/>
          <w:b/>
          <w:bCs/>
          <w:color w:val="000000"/>
          <w:sz w:val="20"/>
          <w:szCs w:val="20"/>
        </w:rPr>
        <w:t>NOTES TO CONSOLIDATED FINANCIAL STATEMENTS, continued</w:t>
      </w:r>
    </w:p>
    <w:p w:rsidR="00000000" w:rsidRDefault="005B0BC3">
      <w:pPr>
        <w:divId w:val="1370686433"/>
        <w:rPr>
          <w:rFonts w:eastAsia="Times New Roman"/>
        </w:rPr>
      </w:pPr>
      <w:r>
        <w:rPr>
          <w:rFonts w:eastAsia="Times New Roman"/>
          <w:color w:val="000000"/>
          <w:sz w:val="20"/>
          <w:szCs w:val="20"/>
        </w:rPr>
        <w:t xml:space="preserve">Management is responsible for the determination of the value of investments carried at fair value and the supporting </w:t>
      </w:r>
      <w:r>
        <w:rPr>
          <w:rFonts w:eastAsia="Times New Roman"/>
          <w:color w:val="000000"/>
          <w:sz w:val="20"/>
          <w:szCs w:val="20"/>
        </w:rPr>
        <w:t>methodologies and assumptions. Under the terms of various service agreements, the Company often utilizes independent valuation service providers to gather, analyze, and interpret market information and derive fair values based upon relevant methodologies a</w:t>
      </w:r>
      <w:r>
        <w:rPr>
          <w:rFonts w:eastAsia="Times New Roman"/>
          <w:color w:val="000000"/>
          <w:sz w:val="20"/>
          <w:szCs w:val="20"/>
        </w:rPr>
        <w:t>nd assumptions for individual securities. These independent valuation service providers typically obtain data about market transactions and other key valuation model inputs from multiple sources and, through the use of widely accepted valuation models, pro</w:t>
      </w:r>
      <w:r>
        <w:rPr>
          <w:rFonts w:eastAsia="Times New Roman"/>
          <w:color w:val="000000"/>
          <w:sz w:val="20"/>
          <w:szCs w:val="20"/>
        </w:rPr>
        <w:t>vide a single fair value measurement for individual securities for which a fair value has been requested. As further described below with respect to specific asset classes, these inputs include, but are not limited to, market prices for recent trades and t</w:t>
      </w:r>
      <w:r>
        <w:rPr>
          <w:rFonts w:eastAsia="Times New Roman"/>
          <w:color w:val="000000"/>
          <w:sz w:val="20"/>
          <w:szCs w:val="20"/>
        </w:rPr>
        <w:t>ransactions in comparable securities, benchmark yields, interest rate yield curves, credit spreads, quoted prices for similar securities, and other market-observable information, as applicable. Specific attributes of the security being valued also are cons</w:t>
      </w:r>
      <w:r>
        <w:rPr>
          <w:rFonts w:eastAsia="Times New Roman"/>
          <w:color w:val="000000"/>
          <w:sz w:val="20"/>
          <w:szCs w:val="20"/>
        </w:rPr>
        <w:t>idered, including its term, interest rate, credit rating, industry sector, and when applicable, collateral quality and other security- or issuer-specific information. When insufficient market observable information is available upon which to measure fair v</w:t>
      </w:r>
      <w:r>
        <w:rPr>
          <w:rFonts w:eastAsia="Times New Roman"/>
          <w:color w:val="000000"/>
          <w:sz w:val="20"/>
          <w:szCs w:val="20"/>
        </w:rPr>
        <w:t>alue, the Company either will request brokers knowledgeable about these securities to provide a non-binding quote or will employ internal valuation models. Fair values received from independent valuation service providers and brokers and those internally m</w:t>
      </w:r>
      <w:r>
        <w:rPr>
          <w:rFonts w:eastAsia="Times New Roman"/>
          <w:color w:val="000000"/>
          <w:sz w:val="20"/>
          <w:szCs w:val="20"/>
        </w:rPr>
        <w:t>odeled or otherwise estimated are assessed for reasonableness.</w:t>
      </w:r>
    </w:p>
    <w:p w:rsidR="00000000" w:rsidRDefault="005B0BC3">
      <w:pPr>
        <w:divId w:val="1274633392"/>
        <w:rPr>
          <w:rFonts w:eastAsia="Times New Roman"/>
        </w:rPr>
      </w:pPr>
      <w:r>
        <w:rPr>
          <w:rFonts w:eastAsia="Times New Roman"/>
          <w:color w:val="000000"/>
          <w:sz w:val="20"/>
          <w:szCs w:val="20"/>
          <w:u w:val="single"/>
        </w:rPr>
        <w:t>Assets and Liabilities Measured at Fair Value on a Nonrecurring Basis</w:t>
      </w:r>
    </w:p>
    <w:p w:rsidR="00000000" w:rsidRDefault="005B0BC3">
      <w:pPr>
        <w:divId w:val="1970738624"/>
        <w:rPr>
          <w:rFonts w:eastAsia="Times New Roman"/>
        </w:rPr>
      </w:pPr>
      <w:r>
        <w:rPr>
          <w:rFonts w:eastAsia="Times New Roman"/>
          <w:color w:val="000000"/>
          <w:sz w:val="20"/>
          <w:szCs w:val="20"/>
        </w:rPr>
        <w:t>Fair value measurements are required on a non-recurring basis for certain assets only when an impairment or other events oc</w:t>
      </w:r>
      <w:r>
        <w:rPr>
          <w:rFonts w:eastAsia="Times New Roman"/>
          <w:color w:val="000000"/>
          <w:sz w:val="20"/>
          <w:szCs w:val="20"/>
        </w:rPr>
        <w:t>cur. For the periods ended December 31, 2021 and December 31, 2020, the Company recognized impairment adjustments and impairment losses, respectively, to adjust the carrying value of held-for-sale asset and liabilities to their fair value less cost to sell</w:t>
      </w:r>
      <w:r>
        <w:rPr>
          <w:rFonts w:eastAsia="Times New Roman"/>
          <w:color w:val="000000"/>
          <w:sz w:val="20"/>
          <w:szCs w:val="20"/>
        </w:rPr>
        <w:t>. The value is measured on a nonrecurring basis and categorized within Level 3 of the fair value hierarchy. The fair value was determined using a market approach, estimated based on the negotiated value of the asset and liabilities. See Note 23 of the Note</w:t>
      </w:r>
      <w:r>
        <w:rPr>
          <w:rFonts w:eastAsia="Times New Roman"/>
          <w:color w:val="000000"/>
          <w:sz w:val="20"/>
          <w:szCs w:val="20"/>
        </w:rPr>
        <w:t xml:space="preserve">s to these Consolidated Financial Statements for additional details of the Held-for-Sale assets and liabilities. </w:t>
      </w:r>
    </w:p>
    <w:p w:rsidR="00000000" w:rsidRDefault="005B0BC3">
      <w:pPr>
        <w:divId w:val="1973974242"/>
        <w:rPr>
          <w:rFonts w:eastAsia="Times New Roman"/>
        </w:rPr>
      </w:pPr>
      <w:r>
        <w:rPr>
          <w:rFonts w:eastAsia="Times New Roman"/>
          <w:color w:val="000000"/>
          <w:sz w:val="20"/>
          <w:szCs w:val="20"/>
          <w:u w:val="single"/>
        </w:rPr>
        <w:t>Assets and Liabilities Measured at Fair Value on a Recurring Basis</w:t>
      </w:r>
    </w:p>
    <w:p w:rsidR="00000000" w:rsidRDefault="005B0BC3">
      <w:pPr>
        <w:divId w:val="979193904"/>
        <w:rPr>
          <w:rFonts w:eastAsia="Times New Roman"/>
        </w:rPr>
      </w:pPr>
      <w:r>
        <w:rPr>
          <w:rFonts w:eastAsia="Times New Roman"/>
          <w:color w:val="000000"/>
          <w:sz w:val="20"/>
          <w:szCs w:val="20"/>
        </w:rPr>
        <w:t>Assets and liabilities measured at fair value on a recurring basis are summ</w:t>
      </w:r>
      <w:r>
        <w:rPr>
          <w:rFonts w:eastAsia="Times New Roman"/>
          <w:color w:val="000000"/>
          <w:sz w:val="20"/>
          <w:szCs w:val="20"/>
        </w:rPr>
        <w:t xml:space="preserve">arized below. </w:t>
      </w:r>
    </w:p>
    <w:p w:rsidR="00000000" w:rsidRDefault="005B0BC3">
      <w:pPr>
        <w:jc w:val="center"/>
        <w:rPr>
          <w:rFonts w:eastAsia="Times New Roman"/>
        </w:rPr>
      </w:pPr>
      <w:r>
        <w:rPr>
          <w:rFonts w:eastAsia="Times New Roman"/>
          <w:b/>
          <w:bCs/>
          <w:color w:val="000000"/>
          <w:sz w:val="20"/>
          <w:szCs w:val="20"/>
        </w:rPr>
        <w:t>Fair Value Measurements as of December 31, 2021</w:t>
      </w:r>
    </w:p>
    <w:p w:rsidR="00000000" w:rsidRDefault="005B0BC3">
      <w:pPr>
        <w:jc w:val="center"/>
        <w:divId w:val="1429305975"/>
        <w:rPr>
          <w:rFonts w:eastAsia="Times New Roman"/>
        </w:rPr>
      </w:pPr>
      <w:r>
        <w:rPr>
          <w:rFonts w:eastAsia="Times New Roman"/>
          <w:color w:val="000000"/>
          <w:sz w:val="20"/>
          <w:szCs w:val="20"/>
        </w:rPr>
        <w:t>178</w:t>
      </w:r>
    </w:p>
    <w:p w:rsidR="00000000" w:rsidRDefault="005B0BC3">
      <w:pPr>
        <w:rPr>
          <w:rFonts w:eastAsia="Times New Roman"/>
        </w:rPr>
      </w:pPr>
      <w:r>
        <w:rPr>
          <w:rFonts w:eastAsia="Times New Roman"/>
        </w:rPr>
        <w:pict>
          <v:rect id="_x0000_i1216" style="width:0;height:1.5pt" o:hralign="center" o:hrstd="t" o:hr="t" fillcolor="#a0a0a0" stroked="f"/>
        </w:pict>
      </w:r>
    </w:p>
    <w:p w:rsidR="00000000" w:rsidRDefault="005B0BC3">
      <w:pPr>
        <w:jc w:val="center"/>
        <w:divId w:val="1618371084"/>
        <w:rPr>
          <w:rFonts w:eastAsia="Times New Roman"/>
        </w:rPr>
      </w:pPr>
      <w:r>
        <w:rPr>
          <w:rFonts w:eastAsia="Times New Roman"/>
          <w:b/>
          <w:bCs/>
          <w:color w:val="000000"/>
          <w:sz w:val="20"/>
          <w:szCs w:val="20"/>
        </w:rPr>
        <w:t>EQUITABLE HOLDINGS, INC.</w:t>
      </w:r>
    </w:p>
    <w:p w:rsidR="00000000" w:rsidRDefault="005B0BC3">
      <w:pPr>
        <w:jc w:val="center"/>
        <w:divId w:val="1618371084"/>
        <w:rPr>
          <w:rFonts w:eastAsia="Times New Roman"/>
        </w:rPr>
      </w:pPr>
      <w:r>
        <w:rPr>
          <w:rFonts w:eastAsia="Times New Roman"/>
          <w:b/>
          <w:bCs/>
          <w:color w:val="000000"/>
          <w:sz w:val="20"/>
          <w:szCs w:val="20"/>
        </w:rPr>
        <w:t>NOTES TO CONSOLIDATED FINANCIAL STATEMENTS, continued</w:t>
      </w:r>
    </w:p>
    <w:tbl>
      <w:tblPr>
        <w:tblW w:w="5000" w:type="pct"/>
        <w:tblCellMar>
          <w:top w:w="15" w:type="dxa"/>
          <w:left w:w="15" w:type="dxa"/>
          <w:bottom w:w="15" w:type="dxa"/>
          <w:right w:w="15" w:type="dxa"/>
        </w:tblCellMar>
        <w:tblLook w:val="04A0" w:firstRow="1" w:lastRow="0" w:firstColumn="1" w:lastColumn="0" w:noHBand="0" w:noVBand="1"/>
      </w:tblPr>
      <w:tblGrid>
        <w:gridCol w:w="41"/>
        <w:gridCol w:w="3894"/>
        <w:gridCol w:w="39"/>
        <w:gridCol w:w="120"/>
        <w:gridCol w:w="878"/>
        <w:gridCol w:w="36"/>
        <w:gridCol w:w="36"/>
        <w:gridCol w:w="36"/>
        <w:gridCol w:w="36"/>
        <w:gridCol w:w="120"/>
        <w:gridCol w:w="834"/>
        <w:gridCol w:w="36"/>
        <w:gridCol w:w="36"/>
        <w:gridCol w:w="36"/>
        <w:gridCol w:w="36"/>
        <w:gridCol w:w="120"/>
        <w:gridCol w:w="836"/>
        <w:gridCol w:w="36"/>
        <w:gridCol w:w="36"/>
        <w:gridCol w:w="36"/>
        <w:gridCol w:w="36"/>
        <w:gridCol w:w="120"/>
        <w:gridCol w:w="836"/>
        <w:gridCol w:w="36"/>
      </w:tblGrid>
      <w:tr w:rsidR="00000000">
        <w:trPr>
          <w:divId w:val="682629405"/>
        </w:trPr>
        <w:tc>
          <w:tcPr>
            <w:tcW w:w="50" w:type="pct"/>
            <w:vAlign w:val="center"/>
            <w:hideMark/>
          </w:tcPr>
          <w:p w:rsidR="00000000" w:rsidRDefault="005B0BC3">
            <w:pPr>
              <w:jc w:val="center"/>
              <w:rPr>
                <w:rFonts w:eastAsia="Times New Roman"/>
              </w:rPr>
            </w:pPr>
          </w:p>
        </w:tc>
        <w:tc>
          <w:tcPr>
            <w:tcW w:w="237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682629405"/>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Level 1</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Level 2</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Level 3</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Total</w:t>
            </w:r>
          </w:p>
        </w:tc>
      </w:tr>
      <w:tr w:rsidR="00000000">
        <w:trPr>
          <w:divId w:val="682629405"/>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682629405"/>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Assets</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682629405"/>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Investments</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682629405"/>
        </w:trPr>
        <w:tc>
          <w:tcPr>
            <w:tcW w:w="0" w:type="auto"/>
            <w:gridSpan w:val="3"/>
            <w:shd w:val="clear" w:color="auto" w:fill="FFFF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Fixed maturities, AFS:</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682629405"/>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divId w:val="62459651"/>
              <w:rPr>
                <w:rFonts w:eastAsia="Times New Roman"/>
              </w:rPr>
            </w:pPr>
            <w:r>
              <w:rPr>
                <w:rFonts w:eastAsia="Times New Roman"/>
                <w:color w:val="000000"/>
                <w:sz w:val="20"/>
                <w:szCs w:val="20"/>
              </w:rPr>
              <w:t>Corporate (1)</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51,007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1,504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52,511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82629405"/>
        </w:trPr>
        <w:tc>
          <w:tcPr>
            <w:tcW w:w="0" w:type="auto"/>
            <w:gridSpan w:val="3"/>
            <w:shd w:val="clear" w:color="auto" w:fill="FFFF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U.S. Treasury, government and agency</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15,385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15,385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82629405"/>
        </w:trPr>
        <w:tc>
          <w:tcPr>
            <w:tcW w:w="0" w:type="auto"/>
            <w:gridSpan w:val="3"/>
            <w:shd w:val="clear" w:color="auto" w:fill="CCEE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States and political subdivisions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82629405"/>
        </w:trPr>
        <w:tc>
          <w:tcPr>
            <w:tcW w:w="0" w:type="auto"/>
            <w:gridSpan w:val="3"/>
            <w:shd w:val="clear" w:color="auto" w:fill="FFFF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Foreign governments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1,152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82629405"/>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divId w:val="77096568"/>
              <w:rPr>
                <w:rFonts w:eastAsia="Times New Roman"/>
              </w:rPr>
            </w:pPr>
            <w:r>
              <w:rPr>
                <w:rFonts w:eastAsia="Times New Roman"/>
                <w:color w:val="000000"/>
                <w:sz w:val="20"/>
                <w:szCs w:val="20"/>
              </w:rPr>
              <w:t>Residential mortgage-backed (2)</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82629405"/>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divId w:val="1083994497"/>
              <w:rPr>
                <w:rFonts w:eastAsia="Times New Roman"/>
              </w:rPr>
            </w:pPr>
            <w:r>
              <w:rPr>
                <w:rFonts w:eastAsia="Times New Roman"/>
                <w:color w:val="000000"/>
                <w:sz w:val="20"/>
                <w:szCs w:val="20"/>
              </w:rPr>
              <w:t>Asset-backed (3)</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5,926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5,934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82629405"/>
        </w:trPr>
        <w:tc>
          <w:tcPr>
            <w:tcW w:w="0" w:type="auto"/>
            <w:gridSpan w:val="3"/>
            <w:shd w:val="clear" w:color="auto" w:fill="CCEE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Commercial mortgage-backed</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2,401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2,421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82629405"/>
        </w:trPr>
        <w:tc>
          <w:tcPr>
            <w:tcW w:w="0" w:type="auto"/>
            <w:gridSpan w:val="3"/>
            <w:shd w:val="clear" w:color="auto" w:fill="FFFF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Redeemable preferred stock</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82629405"/>
        </w:trPr>
        <w:tc>
          <w:tcPr>
            <w:tcW w:w="0" w:type="auto"/>
            <w:gridSpan w:val="3"/>
            <w:shd w:val="clear" w:color="auto" w:fill="CCEEFF"/>
            <w:tcMar>
              <w:top w:w="30" w:type="dxa"/>
              <w:left w:w="26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fixed maturities, AFS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76,649</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1,567</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78,216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82629405"/>
        </w:trPr>
        <w:tc>
          <w:tcPr>
            <w:tcW w:w="0" w:type="auto"/>
            <w:gridSpan w:val="3"/>
            <w:shd w:val="clear" w:color="auto" w:fill="FFFF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xml:space="preserve">Fixed maturities, at fair value using the fair value option </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201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1,641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82629405"/>
        </w:trPr>
        <w:tc>
          <w:tcPr>
            <w:tcW w:w="0" w:type="auto"/>
            <w:gridSpan w:val="3"/>
            <w:shd w:val="clear" w:color="auto" w:fill="CCEEFF"/>
            <w:tcMar>
              <w:top w:w="30" w:type="dxa"/>
              <w:left w:w="26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Other equity investments (7)</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82629405"/>
        </w:trPr>
        <w:tc>
          <w:tcPr>
            <w:tcW w:w="0" w:type="auto"/>
            <w:gridSpan w:val="3"/>
            <w:shd w:val="clear" w:color="auto" w:fill="FFFFFF"/>
            <w:tcMar>
              <w:top w:w="30" w:type="dxa"/>
              <w:left w:w="26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Trading securities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631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82629405"/>
        </w:trPr>
        <w:tc>
          <w:tcPr>
            <w:tcW w:w="0" w:type="auto"/>
            <w:gridSpan w:val="3"/>
            <w:shd w:val="clear" w:color="auto" w:fill="CCEE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Other invested assets:</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682629405"/>
        </w:trPr>
        <w:tc>
          <w:tcPr>
            <w:tcW w:w="0" w:type="auto"/>
            <w:gridSpan w:val="3"/>
            <w:shd w:val="clear" w:color="auto" w:fill="FFFFFF"/>
            <w:tcMar>
              <w:top w:w="30" w:type="dxa"/>
              <w:left w:w="26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Short-term investments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82629405"/>
        </w:trPr>
        <w:tc>
          <w:tcPr>
            <w:tcW w:w="0" w:type="auto"/>
            <w:gridSpan w:val="3"/>
            <w:shd w:val="clear" w:color="auto" w:fill="CCEEFF"/>
            <w:tcMar>
              <w:top w:w="30" w:type="dxa"/>
              <w:left w:w="26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Assets of consolidated VIEs/VOEs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82629405"/>
        </w:trPr>
        <w:tc>
          <w:tcPr>
            <w:tcW w:w="0" w:type="auto"/>
            <w:gridSpan w:val="3"/>
            <w:shd w:val="clear" w:color="auto" w:fill="FFFFFF"/>
            <w:tcMar>
              <w:top w:w="30" w:type="dxa"/>
              <w:left w:w="26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Swaps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b/>
                <w:bCs/>
                <w:color w:val="000000"/>
                <w:sz w:val="20"/>
                <w:szCs w:val="20"/>
              </w:rPr>
              <w:t>473)</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(473)</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82629405"/>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divId w:val="56169640"/>
              <w:rPr>
                <w:rFonts w:eastAsia="Times New Roman"/>
              </w:rPr>
            </w:pPr>
            <w:r>
              <w:rPr>
                <w:rFonts w:eastAsia="Times New Roman"/>
                <w:color w:val="000000"/>
                <w:sz w:val="20"/>
                <w:szCs w:val="20"/>
              </w:rPr>
              <w:t>Credit default swaps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82629405"/>
        </w:trPr>
        <w:tc>
          <w:tcPr>
            <w:tcW w:w="0" w:type="auto"/>
            <w:gridSpan w:val="3"/>
            <w:shd w:val="clear" w:color="auto" w:fill="FFFFFF"/>
            <w:tcMar>
              <w:top w:w="30" w:type="dxa"/>
              <w:left w:w="26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Futures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82629405"/>
        </w:trPr>
        <w:tc>
          <w:tcPr>
            <w:tcW w:w="0" w:type="auto"/>
            <w:gridSpan w:val="3"/>
            <w:shd w:val="clear" w:color="auto" w:fill="CCEEFF"/>
            <w:tcMar>
              <w:top w:w="30" w:type="dxa"/>
              <w:left w:w="26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Options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6,959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6,959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82629405"/>
        </w:trPr>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682629405"/>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other invested assets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165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6,965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7,141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82629405"/>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Cash equivalents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3,275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293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3,568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82629405"/>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Segregated securities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1,504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1,504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82629405"/>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Amounts due from reinsurer (6)</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5,813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5,813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82629405"/>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GMIB reinsurance contracts asset</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1,848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1,848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82629405"/>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Separate Accounts assets (4)</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144,124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2,572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146,697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82629405"/>
        </w:trPr>
        <w:tc>
          <w:tcPr>
            <w:tcW w:w="0" w:type="auto"/>
            <w:gridSpan w:val="3"/>
            <w:shd w:val="clear" w:color="auto" w:fill="FFFFFF"/>
            <w:tcMar>
              <w:top w:w="30" w:type="dxa"/>
              <w:left w:w="50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Assets</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148,226</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90,106</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9,511</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247,843</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82629405"/>
          <w:trHeight w:val="280"/>
        </w:trPr>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682629405"/>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682629405"/>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divId w:val="2010328117"/>
              <w:rPr>
                <w:rFonts w:eastAsia="Times New Roman"/>
              </w:rPr>
            </w:pPr>
            <w:r>
              <w:rPr>
                <w:rFonts w:eastAsia="Times New Roman"/>
                <w:color w:val="000000"/>
                <w:sz w:val="20"/>
                <w:szCs w:val="20"/>
              </w:rPr>
              <w:t>Notes issued by consolidated VIE’s, at fair value using the fair value option (5)</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82629405"/>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GMxB derivative features’ liability</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8,525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8,525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82629405"/>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SCS, SIO, MSO and IUL indexed features’ liability</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6,773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6,773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82629405"/>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Liabilities of consolidated VIEs and VOEs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82629405"/>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Contingent payment arrangements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82629405"/>
        </w:trPr>
        <w:tc>
          <w:tcPr>
            <w:tcW w:w="0" w:type="auto"/>
            <w:gridSpan w:val="3"/>
            <w:shd w:val="clear" w:color="auto" w:fill="FFFFFF"/>
            <w:tcMar>
              <w:top w:w="30" w:type="dxa"/>
              <w:left w:w="50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Liabilities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8,052</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8,563</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16,631</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divId w:val="1822651032"/>
        <w:rPr>
          <w:rFonts w:eastAsia="Times New Roman"/>
        </w:rPr>
      </w:pPr>
      <w:r>
        <w:rPr>
          <w:rFonts w:eastAsia="Times New Roman"/>
          <w:color w:val="000000"/>
          <w:sz w:val="20"/>
          <w:szCs w:val="20"/>
        </w:rPr>
        <w:t>______________</w:t>
      </w:r>
    </w:p>
    <w:p w:rsidR="00000000" w:rsidRDefault="005B0BC3">
      <w:pPr>
        <w:ind w:hanging="360"/>
        <w:divId w:val="1617372438"/>
        <w:rPr>
          <w:rFonts w:eastAsia="Times New Roman"/>
        </w:rPr>
      </w:pPr>
      <w:r>
        <w:rPr>
          <w:rFonts w:eastAsia="Times New Roman"/>
          <w:color w:val="000000"/>
          <w:sz w:val="18"/>
          <w:szCs w:val="18"/>
        </w:rPr>
        <w:t>(1)Corporate fixed maturities in</w:t>
      </w:r>
      <w:r>
        <w:rPr>
          <w:rFonts w:eastAsia="Times New Roman"/>
          <w:color w:val="000000"/>
          <w:sz w:val="18"/>
          <w:szCs w:val="18"/>
        </w:rPr>
        <w:t>cludes both public and private issues.</w:t>
      </w:r>
    </w:p>
    <w:p w:rsidR="00000000" w:rsidRDefault="005B0BC3">
      <w:pPr>
        <w:ind w:hanging="360"/>
        <w:divId w:val="1603224861"/>
        <w:rPr>
          <w:rFonts w:eastAsia="Times New Roman"/>
        </w:rPr>
      </w:pPr>
      <w:r>
        <w:rPr>
          <w:rFonts w:eastAsia="Times New Roman"/>
          <w:color w:val="000000"/>
          <w:sz w:val="18"/>
          <w:szCs w:val="18"/>
        </w:rPr>
        <w:t>(2)Includes publicly traded agency pass-through securities and collateralized obligations.</w:t>
      </w:r>
    </w:p>
    <w:p w:rsidR="00000000" w:rsidRDefault="005B0BC3">
      <w:pPr>
        <w:ind w:hanging="360"/>
        <w:divId w:val="304313859"/>
        <w:rPr>
          <w:rFonts w:eastAsia="Times New Roman"/>
        </w:rPr>
      </w:pPr>
      <w:r>
        <w:rPr>
          <w:rFonts w:eastAsia="Times New Roman"/>
          <w:color w:val="000000"/>
          <w:sz w:val="18"/>
          <w:szCs w:val="18"/>
        </w:rPr>
        <w:t xml:space="preserve">(3)Includes credit-tranched securities collateralized by sub-prime mortgages, credit risk transfer securities and other asset </w:t>
      </w:r>
      <w:r>
        <w:rPr>
          <w:rFonts w:eastAsia="Times New Roman"/>
          <w:color w:val="000000"/>
          <w:sz w:val="18"/>
          <w:szCs w:val="18"/>
        </w:rPr>
        <w:t>types.</w:t>
      </w:r>
    </w:p>
    <w:p w:rsidR="00000000" w:rsidRDefault="005B0BC3">
      <w:pPr>
        <w:ind w:hanging="360"/>
        <w:divId w:val="1936011604"/>
        <w:rPr>
          <w:rFonts w:eastAsia="Times New Roman"/>
        </w:rPr>
      </w:pPr>
      <w:r>
        <w:rPr>
          <w:rFonts w:eastAsia="Times New Roman"/>
          <w:color w:val="000000"/>
          <w:sz w:val="18"/>
          <w:szCs w:val="18"/>
        </w:rPr>
        <w:t>(4)</w:t>
      </w:r>
      <w:r>
        <w:rPr>
          <w:rFonts w:eastAsia="Times New Roman"/>
          <w:color w:val="000000"/>
          <w:sz w:val="18"/>
          <w:szCs w:val="18"/>
        </w:rPr>
        <w:t>Separate Accounts assets included in the fair value hierarchy exclude investments in entities that calculate NAV per share (or its equivalent) as a practical expedient. Such investments excluded from the fair value hierarchy include investments in real est</w:t>
      </w:r>
      <w:r>
        <w:rPr>
          <w:rFonts w:eastAsia="Times New Roman"/>
          <w:color w:val="000000"/>
          <w:sz w:val="18"/>
          <w:szCs w:val="18"/>
        </w:rPr>
        <w:t>ate. As of December 31, 2021, the fair value of such investments was $404 million.</w:t>
      </w:r>
    </w:p>
    <w:p w:rsidR="00000000" w:rsidRDefault="005B0BC3">
      <w:pPr>
        <w:ind w:hanging="360"/>
        <w:divId w:val="14041086"/>
        <w:rPr>
          <w:rFonts w:eastAsia="Times New Roman"/>
        </w:rPr>
      </w:pPr>
      <w:r>
        <w:rPr>
          <w:rFonts w:eastAsia="Times New Roman"/>
          <w:color w:val="000000"/>
          <w:sz w:val="18"/>
          <w:szCs w:val="18"/>
        </w:rPr>
        <w:t>(5)Includes CLO short-term debt of $92 million, which is inclusive as fair valued within Notes issued by consolidated VIE’s, at fair value using the fair value option Accrue</w:t>
      </w:r>
      <w:r>
        <w:rPr>
          <w:rFonts w:eastAsia="Times New Roman"/>
          <w:color w:val="000000"/>
          <w:sz w:val="18"/>
          <w:szCs w:val="18"/>
        </w:rPr>
        <w:t>d interest payable of $6 million is reported in Notes issued by consolidated VIE’s, at fair value using the fair value option in the consolidated balance sheets, which is not required to be measured at fair value on a recurring basis.</w:t>
      </w:r>
    </w:p>
    <w:p w:rsidR="00000000" w:rsidRDefault="005B0BC3">
      <w:pPr>
        <w:ind w:hanging="360"/>
        <w:divId w:val="205417064"/>
        <w:rPr>
          <w:rFonts w:eastAsia="Times New Roman"/>
        </w:rPr>
      </w:pPr>
      <w:r>
        <w:rPr>
          <w:rFonts w:eastAsia="Times New Roman"/>
          <w:color w:val="000000"/>
          <w:sz w:val="18"/>
          <w:szCs w:val="18"/>
        </w:rPr>
        <w:t>(6)This represents GM</w:t>
      </w:r>
      <w:r>
        <w:rPr>
          <w:rFonts w:eastAsia="Times New Roman"/>
          <w:color w:val="000000"/>
          <w:sz w:val="18"/>
          <w:szCs w:val="18"/>
        </w:rPr>
        <w:t>IB NLG ceded reserves related to the Venerable Transaction. See Note 1 of the Notes to these Consolidated Financial Statements for details of the Venerable Transaction.</w:t>
      </w:r>
    </w:p>
    <w:p w:rsidR="00000000" w:rsidRDefault="005B0BC3">
      <w:pPr>
        <w:jc w:val="center"/>
        <w:divId w:val="1191337465"/>
        <w:rPr>
          <w:rFonts w:eastAsia="Times New Roman"/>
        </w:rPr>
      </w:pPr>
      <w:r>
        <w:rPr>
          <w:rFonts w:eastAsia="Times New Roman"/>
          <w:color w:val="000000"/>
          <w:sz w:val="20"/>
          <w:szCs w:val="20"/>
        </w:rPr>
        <w:t>179</w:t>
      </w:r>
    </w:p>
    <w:p w:rsidR="00000000" w:rsidRDefault="005B0BC3">
      <w:pPr>
        <w:rPr>
          <w:rFonts w:eastAsia="Times New Roman"/>
        </w:rPr>
      </w:pPr>
      <w:r>
        <w:rPr>
          <w:rFonts w:eastAsia="Times New Roman"/>
        </w:rPr>
        <w:pict>
          <v:rect id="_x0000_i1217" style="width:0;height:1.5pt" o:hralign="center" o:hrstd="t" o:hr="t" fillcolor="#a0a0a0" stroked="f"/>
        </w:pict>
      </w:r>
    </w:p>
    <w:p w:rsidR="00000000" w:rsidRDefault="005B0BC3">
      <w:pPr>
        <w:jc w:val="center"/>
        <w:divId w:val="1040476847"/>
        <w:rPr>
          <w:rFonts w:eastAsia="Times New Roman"/>
        </w:rPr>
      </w:pPr>
      <w:r>
        <w:rPr>
          <w:rFonts w:eastAsia="Times New Roman"/>
          <w:b/>
          <w:bCs/>
          <w:color w:val="000000"/>
          <w:sz w:val="20"/>
          <w:szCs w:val="20"/>
        </w:rPr>
        <w:t>EQUITABLE HOLDINGS, INC.</w:t>
      </w:r>
    </w:p>
    <w:p w:rsidR="00000000" w:rsidRDefault="005B0BC3">
      <w:pPr>
        <w:jc w:val="center"/>
        <w:divId w:val="1040476847"/>
        <w:rPr>
          <w:rFonts w:eastAsia="Times New Roman"/>
        </w:rPr>
      </w:pPr>
      <w:r>
        <w:rPr>
          <w:rFonts w:eastAsia="Times New Roman"/>
          <w:b/>
          <w:bCs/>
          <w:color w:val="000000"/>
          <w:sz w:val="20"/>
          <w:szCs w:val="20"/>
        </w:rPr>
        <w:t>NOTES TO CONSOLIDATED</w:t>
      </w:r>
      <w:r>
        <w:rPr>
          <w:rFonts w:eastAsia="Times New Roman"/>
          <w:b/>
          <w:bCs/>
          <w:color w:val="000000"/>
          <w:sz w:val="20"/>
          <w:szCs w:val="20"/>
        </w:rPr>
        <w:t xml:space="preserve"> FINANCIAL STATEMENTS, continued</w:t>
      </w:r>
    </w:p>
    <w:p w:rsidR="00000000" w:rsidRDefault="005B0BC3">
      <w:pPr>
        <w:ind w:hanging="360"/>
        <w:divId w:val="1896698937"/>
        <w:rPr>
          <w:rFonts w:eastAsia="Times New Roman"/>
        </w:rPr>
      </w:pPr>
      <w:r>
        <w:rPr>
          <w:rFonts w:eastAsia="Times New Roman"/>
          <w:color w:val="000000"/>
          <w:sz w:val="20"/>
          <w:szCs w:val="20"/>
        </w:rPr>
        <w:t xml:space="preserve">(7)Includes short position equity securities of </w:t>
      </w:r>
      <w:r>
        <w:rPr>
          <w:rFonts w:eastAsia="Times New Roman"/>
          <w:color w:val="000000"/>
          <w:sz w:val="18"/>
          <w:szCs w:val="18"/>
        </w:rPr>
        <w:t>$33 million</w:t>
      </w:r>
      <w:r>
        <w:rPr>
          <w:rFonts w:eastAsia="Times New Roman"/>
          <w:color w:val="000000"/>
          <w:sz w:val="20"/>
          <w:szCs w:val="20"/>
        </w:rPr>
        <w:t xml:space="preserve"> that are reported in other liabilities.</w:t>
      </w:r>
    </w:p>
    <w:p w:rsidR="00000000" w:rsidRDefault="005B0BC3">
      <w:pPr>
        <w:divId w:val="568541960"/>
        <w:rPr>
          <w:rFonts w:eastAsia="Times New Roman"/>
        </w:rPr>
      </w:pPr>
    </w:p>
    <w:p w:rsidR="00000000" w:rsidRDefault="005B0BC3">
      <w:pPr>
        <w:ind w:firstLine="360"/>
        <w:divId w:val="948584346"/>
        <w:rPr>
          <w:rFonts w:eastAsia="Times New Roman"/>
        </w:rPr>
      </w:pPr>
    </w:p>
    <w:p w:rsidR="00000000" w:rsidRDefault="005B0BC3">
      <w:pPr>
        <w:ind w:firstLine="360"/>
        <w:jc w:val="both"/>
        <w:divId w:val="514153302"/>
        <w:rPr>
          <w:rFonts w:eastAsia="Times New Roman"/>
        </w:rPr>
      </w:pPr>
    </w:p>
    <w:p w:rsidR="00000000" w:rsidRDefault="005B0BC3">
      <w:pPr>
        <w:jc w:val="center"/>
        <w:rPr>
          <w:rFonts w:eastAsia="Times New Roman"/>
        </w:rPr>
      </w:pPr>
      <w:r>
        <w:rPr>
          <w:rFonts w:eastAsia="Times New Roman"/>
          <w:color w:val="000000"/>
          <w:sz w:val="20"/>
          <w:szCs w:val="20"/>
        </w:rPr>
        <w:t>Fair Value Measurements as of December 31, 2020 (1)</w:t>
      </w:r>
    </w:p>
    <w:tbl>
      <w:tblPr>
        <w:tblW w:w="5000" w:type="pct"/>
        <w:tblCellMar>
          <w:top w:w="15" w:type="dxa"/>
          <w:left w:w="15" w:type="dxa"/>
          <w:bottom w:w="15" w:type="dxa"/>
          <w:right w:w="15" w:type="dxa"/>
        </w:tblCellMar>
        <w:tblLook w:val="04A0" w:firstRow="1" w:lastRow="0" w:firstColumn="1" w:lastColumn="0" w:noHBand="0" w:noVBand="1"/>
      </w:tblPr>
      <w:tblGrid>
        <w:gridCol w:w="40"/>
        <w:gridCol w:w="3895"/>
        <w:gridCol w:w="38"/>
        <w:gridCol w:w="120"/>
        <w:gridCol w:w="878"/>
        <w:gridCol w:w="36"/>
        <w:gridCol w:w="36"/>
        <w:gridCol w:w="36"/>
        <w:gridCol w:w="36"/>
        <w:gridCol w:w="120"/>
        <w:gridCol w:w="835"/>
        <w:gridCol w:w="36"/>
        <w:gridCol w:w="36"/>
        <w:gridCol w:w="36"/>
        <w:gridCol w:w="36"/>
        <w:gridCol w:w="120"/>
        <w:gridCol w:w="836"/>
        <w:gridCol w:w="36"/>
        <w:gridCol w:w="36"/>
        <w:gridCol w:w="36"/>
        <w:gridCol w:w="36"/>
        <w:gridCol w:w="120"/>
        <w:gridCol w:w="836"/>
        <w:gridCol w:w="36"/>
      </w:tblGrid>
      <w:tr w:rsidR="00000000">
        <w:trPr>
          <w:divId w:val="663704268"/>
        </w:trPr>
        <w:tc>
          <w:tcPr>
            <w:tcW w:w="50" w:type="pct"/>
            <w:vAlign w:val="center"/>
            <w:hideMark/>
          </w:tcPr>
          <w:p w:rsidR="00000000" w:rsidRDefault="005B0BC3">
            <w:pPr>
              <w:jc w:val="center"/>
              <w:rPr>
                <w:rFonts w:eastAsia="Times New Roman"/>
              </w:rPr>
            </w:pPr>
          </w:p>
        </w:tc>
        <w:tc>
          <w:tcPr>
            <w:tcW w:w="237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663704268"/>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Level 1</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Level 2</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Level 3</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Total</w:t>
            </w:r>
          </w:p>
        </w:tc>
      </w:tr>
      <w:tr w:rsidR="00000000">
        <w:trPr>
          <w:divId w:val="663704268"/>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(in millions)</w:t>
            </w:r>
          </w:p>
        </w:tc>
      </w:tr>
      <w:tr w:rsidR="00000000">
        <w:trPr>
          <w:divId w:val="663704268"/>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Assets</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663704268"/>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Investments</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663704268"/>
        </w:trPr>
        <w:tc>
          <w:tcPr>
            <w:tcW w:w="0" w:type="auto"/>
            <w:gridSpan w:val="3"/>
            <w:shd w:val="clear" w:color="auto" w:fill="FFFF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Fixed maturities, AFS:</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663704268"/>
        </w:trPr>
        <w:tc>
          <w:tcPr>
            <w:tcW w:w="0" w:type="auto"/>
            <w:gridSpan w:val="3"/>
            <w:shd w:val="clear" w:color="auto" w:fill="CCEE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Corporate (2)</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56,457 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1,702 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58,159 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63704268"/>
        </w:trPr>
        <w:tc>
          <w:tcPr>
            <w:tcW w:w="0" w:type="auto"/>
            <w:gridSpan w:val="3"/>
            <w:shd w:val="clear" w:color="auto" w:fill="FFFF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U.S. Treasury, government and agency</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16,118 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16,118 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63704268"/>
        </w:trPr>
        <w:tc>
          <w:tcPr>
            <w:tcW w:w="0" w:type="auto"/>
            <w:gridSpan w:val="3"/>
            <w:shd w:val="clear" w:color="auto" w:fill="CCEE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States and political subdivisions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596 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635 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63704268"/>
        </w:trPr>
        <w:tc>
          <w:tcPr>
            <w:tcW w:w="0" w:type="auto"/>
            <w:gridSpan w:val="3"/>
            <w:shd w:val="clear" w:color="auto" w:fill="FFFF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Foreign governments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1,103 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1,103 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63704268"/>
        </w:trPr>
        <w:tc>
          <w:tcPr>
            <w:tcW w:w="0" w:type="auto"/>
            <w:gridSpan w:val="3"/>
            <w:shd w:val="clear" w:color="auto" w:fill="CCEE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Residential mortgage-backed (3)</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63704268"/>
        </w:trPr>
        <w:tc>
          <w:tcPr>
            <w:tcW w:w="0" w:type="auto"/>
            <w:gridSpan w:val="3"/>
            <w:shd w:val="clear" w:color="auto" w:fill="FFFF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Asset-backed (4)</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3,591 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3,611 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63704268"/>
        </w:trPr>
        <w:tc>
          <w:tcPr>
            <w:tcW w:w="0" w:type="auto"/>
            <w:gridSpan w:val="3"/>
            <w:shd w:val="clear" w:color="auto" w:fill="CCEE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Commercial mortgage-backed (3)</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1,203 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1,203 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63704268"/>
        </w:trPr>
        <w:tc>
          <w:tcPr>
            <w:tcW w:w="0" w:type="auto"/>
            <w:gridSpan w:val="3"/>
            <w:shd w:val="clear" w:color="auto" w:fill="FFFF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Redeemable preferred stock</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404 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262 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666 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63704268"/>
        </w:trPr>
        <w:tc>
          <w:tcPr>
            <w:tcW w:w="0" w:type="auto"/>
            <w:gridSpan w:val="3"/>
            <w:shd w:val="clear" w:color="auto" w:fill="CCEEFF"/>
            <w:tcMar>
              <w:top w:w="30" w:type="dxa"/>
              <w:left w:w="26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fixed maturities, AFS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404 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79,473 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1,761 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81,638 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63704268"/>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Fixed maturities, at fair value using the fair value option</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309 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389 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63704268"/>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Other equity investments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63704268"/>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Trading securities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441 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5,073 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5,553 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63704268"/>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Other invested assets:</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r>
      <w:tr w:rsidR="00000000">
        <w:trPr>
          <w:divId w:val="663704268"/>
        </w:trPr>
        <w:tc>
          <w:tcPr>
            <w:tcW w:w="0" w:type="auto"/>
            <w:gridSpan w:val="3"/>
            <w:shd w:val="clear" w:color="auto" w:fill="FFFF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Short-term investments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63704268"/>
        </w:trPr>
        <w:tc>
          <w:tcPr>
            <w:tcW w:w="0" w:type="auto"/>
            <w:gridSpan w:val="3"/>
            <w:shd w:val="clear" w:color="auto" w:fill="CCEE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Assets of consolidated VIEs/VOEs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231 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318 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63704268"/>
        </w:trPr>
        <w:tc>
          <w:tcPr>
            <w:tcW w:w="0" w:type="auto"/>
            <w:gridSpan w:val="3"/>
            <w:shd w:val="clear" w:color="auto" w:fill="FFFF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Swaps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(99)</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(99)</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63704268"/>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divId w:val="631524297"/>
              <w:rPr>
                <w:rFonts w:eastAsia="Times New Roman"/>
              </w:rPr>
            </w:pPr>
            <w:r>
              <w:rPr>
                <w:rFonts w:eastAsia="Times New Roman"/>
                <w:color w:val="000000"/>
                <w:sz w:val="20"/>
                <w:szCs w:val="20"/>
              </w:rPr>
              <w:t>Credit default swaps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63704268"/>
        </w:trPr>
        <w:tc>
          <w:tcPr>
            <w:tcW w:w="0" w:type="auto"/>
            <w:gridSpan w:val="3"/>
            <w:shd w:val="clear" w:color="auto" w:fill="FFFF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Futures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63704268"/>
        </w:trPr>
        <w:tc>
          <w:tcPr>
            <w:tcW w:w="0" w:type="auto"/>
            <w:gridSpan w:val="3"/>
            <w:shd w:val="clear" w:color="auto" w:fill="CCEE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Options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4,670 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4,670 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63704268"/>
        </w:trPr>
        <w:tc>
          <w:tcPr>
            <w:tcW w:w="0" w:type="auto"/>
            <w:gridSpan w:val="3"/>
            <w:shd w:val="clear" w:color="auto" w:fill="FFFF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Swaptions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63704268"/>
        </w:trPr>
        <w:tc>
          <w:tcPr>
            <w:tcW w:w="0" w:type="auto"/>
            <w:gridSpan w:val="3"/>
            <w:shd w:val="clear" w:color="auto" w:fill="CCEE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other invested assets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4,908 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4,994 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63704268"/>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Cash equivalents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4,309 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297 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4,606 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63704268"/>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Segregated securities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1,753 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1,753 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63704268"/>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GMIB reinsurance contracts asset</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2,488 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2,488 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63704268"/>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Separate Accounts assets (5)</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132,698 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2,674 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135,373 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63704268"/>
        </w:trPr>
        <w:tc>
          <w:tcPr>
            <w:tcW w:w="0" w:type="auto"/>
            <w:gridSpan w:val="3"/>
            <w:shd w:val="clear" w:color="auto" w:fill="FFFFFF"/>
            <w:tcMar>
              <w:top w:w="30" w:type="dxa"/>
              <w:left w:w="38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Assets</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137,937 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94,487 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4,454 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236,878 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63704268"/>
          <w:trHeight w:val="280"/>
        </w:trPr>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663704268"/>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663704268"/>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divId w:val="203834572"/>
              <w:rPr>
                <w:rFonts w:eastAsia="Times New Roman"/>
              </w:rPr>
            </w:pPr>
            <w:r>
              <w:rPr>
                <w:rFonts w:eastAsia="Times New Roman"/>
                <w:color w:val="000000"/>
                <w:sz w:val="20"/>
                <w:szCs w:val="20"/>
              </w:rPr>
              <w:t>Notes issued by consolidated VIE’s, at fair value using the fair value option (6)</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312 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312 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63704268"/>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GMxB derivative features’ liability</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11,131 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11,131 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63704268"/>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SCS, SIO, MSO and IUL indexed features’ liability</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4,509 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4,509 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63704268"/>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Liabilities of consolidated VIEs and VOEs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63704268"/>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Contingent payment arrangements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63704268"/>
        </w:trPr>
        <w:tc>
          <w:tcPr>
            <w:tcW w:w="0" w:type="auto"/>
            <w:gridSpan w:val="3"/>
            <w:shd w:val="clear" w:color="auto" w:fill="FFFFFF"/>
            <w:tcMar>
              <w:top w:w="30" w:type="dxa"/>
              <w:left w:w="38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Liabilities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4,827 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11,159 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15,988 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ind w:hanging="360"/>
        <w:divId w:val="2106605659"/>
        <w:rPr>
          <w:rFonts w:eastAsia="Times New Roman"/>
        </w:rPr>
      </w:pPr>
      <w:r>
        <w:rPr>
          <w:rFonts w:eastAsia="Times New Roman"/>
          <w:color w:val="000000"/>
          <w:sz w:val="18"/>
          <w:szCs w:val="18"/>
        </w:rPr>
        <w:t>______________</w:t>
      </w:r>
    </w:p>
    <w:p w:rsidR="00000000" w:rsidRDefault="005B0BC3">
      <w:pPr>
        <w:ind w:hanging="360"/>
        <w:divId w:val="2136479480"/>
        <w:rPr>
          <w:rFonts w:eastAsia="Times New Roman"/>
        </w:rPr>
      </w:pPr>
      <w:r>
        <w:rPr>
          <w:rFonts w:eastAsia="Times New Roman"/>
          <w:color w:val="000000"/>
          <w:sz w:val="18"/>
          <w:szCs w:val="18"/>
        </w:rPr>
        <w:t>(1)Excludes amounts reclassified</w:t>
      </w:r>
      <w:r>
        <w:rPr>
          <w:rFonts w:eastAsia="Times New Roman"/>
          <w:color w:val="000000"/>
          <w:sz w:val="18"/>
          <w:szCs w:val="18"/>
        </w:rPr>
        <w:t xml:space="preserve"> as HFS.</w:t>
      </w:r>
    </w:p>
    <w:p w:rsidR="00000000" w:rsidRDefault="005B0BC3">
      <w:pPr>
        <w:ind w:hanging="360"/>
        <w:divId w:val="1194657072"/>
        <w:rPr>
          <w:rFonts w:eastAsia="Times New Roman"/>
        </w:rPr>
      </w:pPr>
      <w:r>
        <w:rPr>
          <w:rFonts w:eastAsia="Times New Roman"/>
          <w:color w:val="000000"/>
          <w:sz w:val="18"/>
          <w:szCs w:val="18"/>
        </w:rPr>
        <w:t>(2)Corporate fixed maturities includes both public and private issues.</w:t>
      </w:r>
    </w:p>
    <w:p w:rsidR="00000000" w:rsidRDefault="005B0BC3">
      <w:pPr>
        <w:ind w:hanging="360"/>
        <w:divId w:val="503328276"/>
        <w:rPr>
          <w:rFonts w:eastAsia="Times New Roman"/>
        </w:rPr>
      </w:pPr>
      <w:r>
        <w:rPr>
          <w:rFonts w:eastAsia="Times New Roman"/>
          <w:color w:val="000000"/>
          <w:sz w:val="18"/>
          <w:szCs w:val="18"/>
        </w:rPr>
        <w:t>(3)Includes publicly traded agency pass-through securities and collateralized obligations.</w:t>
      </w:r>
    </w:p>
    <w:p w:rsidR="00000000" w:rsidRDefault="005B0BC3">
      <w:pPr>
        <w:ind w:hanging="360"/>
        <w:divId w:val="1174765231"/>
        <w:rPr>
          <w:rFonts w:eastAsia="Times New Roman"/>
        </w:rPr>
      </w:pPr>
      <w:r>
        <w:rPr>
          <w:rFonts w:eastAsia="Times New Roman"/>
          <w:color w:val="000000"/>
          <w:sz w:val="18"/>
          <w:szCs w:val="18"/>
        </w:rPr>
        <w:t>(4)</w:t>
      </w:r>
      <w:r>
        <w:rPr>
          <w:rFonts w:eastAsia="Times New Roman"/>
          <w:color w:val="000000"/>
          <w:sz w:val="18"/>
          <w:szCs w:val="18"/>
        </w:rPr>
        <w:t>Includes credit-tranched securities collateralized by sub-prime mortgages and other asset types and credit tenant loans.</w:t>
      </w:r>
    </w:p>
    <w:p w:rsidR="00000000" w:rsidRDefault="005B0BC3">
      <w:pPr>
        <w:jc w:val="center"/>
        <w:divId w:val="1035690446"/>
        <w:rPr>
          <w:rFonts w:eastAsia="Times New Roman"/>
        </w:rPr>
      </w:pPr>
      <w:r>
        <w:rPr>
          <w:rFonts w:eastAsia="Times New Roman"/>
          <w:color w:val="000000"/>
          <w:sz w:val="20"/>
          <w:szCs w:val="20"/>
        </w:rPr>
        <w:t>180</w:t>
      </w:r>
    </w:p>
    <w:p w:rsidR="00000000" w:rsidRDefault="005B0BC3">
      <w:pPr>
        <w:rPr>
          <w:rFonts w:eastAsia="Times New Roman"/>
        </w:rPr>
      </w:pPr>
      <w:r>
        <w:rPr>
          <w:rFonts w:eastAsia="Times New Roman"/>
        </w:rPr>
        <w:pict>
          <v:rect id="_x0000_i1218" style="width:0;height:1.5pt" o:hralign="center" o:hrstd="t" o:hr="t" fillcolor="#a0a0a0" stroked="f"/>
        </w:pict>
      </w:r>
    </w:p>
    <w:p w:rsidR="00000000" w:rsidRDefault="005B0BC3">
      <w:pPr>
        <w:jc w:val="center"/>
        <w:divId w:val="1106072930"/>
        <w:rPr>
          <w:rFonts w:eastAsia="Times New Roman"/>
        </w:rPr>
      </w:pPr>
      <w:r>
        <w:rPr>
          <w:rFonts w:eastAsia="Times New Roman"/>
          <w:b/>
          <w:bCs/>
          <w:color w:val="000000"/>
          <w:sz w:val="20"/>
          <w:szCs w:val="20"/>
        </w:rPr>
        <w:t>EQUITABLE HOLDINGS, INC.</w:t>
      </w:r>
    </w:p>
    <w:p w:rsidR="00000000" w:rsidRDefault="005B0BC3">
      <w:pPr>
        <w:jc w:val="center"/>
        <w:divId w:val="1106072930"/>
        <w:rPr>
          <w:rFonts w:eastAsia="Times New Roman"/>
        </w:rPr>
      </w:pPr>
      <w:r>
        <w:rPr>
          <w:rFonts w:eastAsia="Times New Roman"/>
          <w:b/>
          <w:bCs/>
          <w:color w:val="000000"/>
          <w:sz w:val="20"/>
          <w:szCs w:val="20"/>
        </w:rPr>
        <w:t>NOTES TO CONSOLIDATED FINANCIAL STATEMENTS, continued</w:t>
      </w:r>
    </w:p>
    <w:p w:rsidR="00000000" w:rsidRDefault="005B0BC3">
      <w:pPr>
        <w:ind w:hanging="360"/>
        <w:divId w:val="843519074"/>
        <w:rPr>
          <w:rFonts w:eastAsia="Times New Roman"/>
        </w:rPr>
      </w:pPr>
      <w:r>
        <w:rPr>
          <w:rFonts w:eastAsia="Times New Roman"/>
          <w:color w:val="000000"/>
          <w:sz w:val="18"/>
          <w:szCs w:val="18"/>
        </w:rPr>
        <w:t>(5)Separate Acc</w:t>
      </w:r>
      <w:r>
        <w:rPr>
          <w:rFonts w:eastAsia="Times New Roman"/>
          <w:color w:val="000000"/>
          <w:sz w:val="18"/>
          <w:szCs w:val="18"/>
        </w:rPr>
        <w:t>ounts assets included in the fair value hierarchy exclude investments in entities that calculate NAV per share (or its equivalent) as a practical expedient. Such investments excluded from the fair value hierarchy include investments in real estate and comm</w:t>
      </w:r>
      <w:r>
        <w:rPr>
          <w:rFonts w:eastAsia="Times New Roman"/>
          <w:color w:val="000000"/>
          <w:sz w:val="18"/>
          <w:szCs w:val="18"/>
        </w:rPr>
        <w:t>ercial mortgages. As of December 31, 2020, the fair value of such investments was $356 million.</w:t>
      </w:r>
    </w:p>
    <w:p w:rsidR="00000000" w:rsidRDefault="005B0BC3">
      <w:pPr>
        <w:ind w:hanging="360"/>
        <w:divId w:val="79106859"/>
        <w:rPr>
          <w:rFonts w:eastAsia="Times New Roman"/>
        </w:rPr>
      </w:pPr>
      <w:r>
        <w:rPr>
          <w:rFonts w:eastAsia="Times New Roman"/>
          <w:color w:val="000000"/>
          <w:sz w:val="18"/>
          <w:szCs w:val="18"/>
        </w:rPr>
        <w:t>(6)Accrued interest payable of $1 million is reported in Notes issued by consolidated VIE’s, at fair value using the fair value option in the consolidated balan</w:t>
      </w:r>
      <w:r>
        <w:rPr>
          <w:rFonts w:eastAsia="Times New Roman"/>
          <w:color w:val="000000"/>
          <w:sz w:val="18"/>
          <w:szCs w:val="18"/>
        </w:rPr>
        <w:t xml:space="preserve">ce sheets, which is not required to be measured at fair value on a recurring basis. </w:t>
      </w:r>
    </w:p>
    <w:p w:rsidR="00000000" w:rsidRDefault="005B0BC3">
      <w:pPr>
        <w:jc w:val="both"/>
        <w:divId w:val="1687368114"/>
        <w:rPr>
          <w:rFonts w:eastAsia="Times New Roman"/>
        </w:rPr>
      </w:pPr>
      <w:r>
        <w:rPr>
          <w:rFonts w:eastAsia="Times New Roman"/>
          <w:b/>
          <w:bCs/>
          <w:i/>
          <w:iCs/>
          <w:color w:val="000000"/>
          <w:sz w:val="20"/>
          <w:szCs w:val="20"/>
        </w:rPr>
        <w:t>Public Fixed Maturities</w:t>
      </w:r>
    </w:p>
    <w:p w:rsidR="00000000" w:rsidRDefault="005B0BC3">
      <w:pPr>
        <w:divId w:val="215240734"/>
        <w:rPr>
          <w:rFonts w:eastAsia="Times New Roman"/>
        </w:rPr>
      </w:pPr>
      <w:r>
        <w:rPr>
          <w:rFonts w:eastAsia="Times New Roman"/>
          <w:color w:val="000000"/>
          <w:sz w:val="20"/>
          <w:szCs w:val="20"/>
        </w:rPr>
        <w:t>The fair values of the Company’s public fixed maturities, including those accounted for using the fair value option are generally based on prices o</w:t>
      </w:r>
      <w:r>
        <w:rPr>
          <w:rFonts w:eastAsia="Times New Roman"/>
          <w:color w:val="000000"/>
          <w:sz w:val="20"/>
          <w:szCs w:val="20"/>
        </w:rPr>
        <w:t>btained from independent valuation service providers and for which the Company maintains a vendor hierarchy by asset type based on historical pricing experience and vendor expertise. Although each security generally is priced by multiple independent valuat</w:t>
      </w:r>
      <w:r>
        <w:rPr>
          <w:rFonts w:eastAsia="Times New Roman"/>
          <w:color w:val="000000"/>
          <w:sz w:val="20"/>
          <w:szCs w:val="20"/>
        </w:rPr>
        <w:t>ion service providers, the Company ultimately uses the price received from the independent valuation service provider highest in the vendor hierarchy based on the respective asset type, with limited exception. To validate reasonableness, prices also are in</w:t>
      </w:r>
      <w:r>
        <w:rPr>
          <w:rFonts w:eastAsia="Times New Roman"/>
          <w:color w:val="000000"/>
          <w:sz w:val="20"/>
          <w:szCs w:val="20"/>
        </w:rPr>
        <w:t>ternally reviewed by those with relevant expertise through comparison with directly observed recent market trades. Consistent with the fair value hierarchy, public fixed maturities validated in this manner generally are reflected within Level 2, as they ar</w:t>
      </w:r>
      <w:r>
        <w:rPr>
          <w:rFonts w:eastAsia="Times New Roman"/>
          <w:color w:val="000000"/>
          <w:sz w:val="20"/>
          <w:szCs w:val="20"/>
        </w:rPr>
        <w:t xml:space="preserve">e primarily based on observable pricing for similar assets and/or other market observable inputs. </w:t>
      </w:r>
    </w:p>
    <w:p w:rsidR="00000000" w:rsidRDefault="005B0BC3">
      <w:pPr>
        <w:jc w:val="both"/>
        <w:divId w:val="781221170"/>
        <w:rPr>
          <w:rFonts w:eastAsia="Times New Roman"/>
        </w:rPr>
      </w:pPr>
      <w:r>
        <w:rPr>
          <w:rFonts w:eastAsia="Times New Roman"/>
          <w:b/>
          <w:bCs/>
          <w:i/>
          <w:iCs/>
          <w:color w:val="000000"/>
          <w:sz w:val="20"/>
          <w:szCs w:val="20"/>
        </w:rPr>
        <w:t>Private Fixed Maturities</w:t>
      </w:r>
    </w:p>
    <w:p w:rsidR="00000000" w:rsidRDefault="005B0BC3">
      <w:pPr>
        <w:divId w:val="368652300"/>
        <w:rPr>
          <w:rFonts w:eastAsia="Times New Roman"/>
        </w:rPr>
      </w:pPr>
      <w:r>
        <w:rPr>
          <w:rFonts w:eastAsia="Times New Roman"/>
          <w:color w:val="000000"/>
          <w:sz w:val="20"/>
          <w:szCs w:val="20"/>
        </w:rPr>
        <w:t xml:space="preserve">The fair values of the Company’s private fixed maturities, including those accounted for using the fair value option are determined </w:t>
      </w:r>
      <w:r>
        <w:rPr>
          <w:rFonts w:eastAsia="Times New Roman"/>
          <w:color w:val="000000"/>
          <w:sz w:val="20"/>
          <w:szCs w:val="20"/>
        </w:rPr>
        <w:t>from prices obtained from independent valuation service providers. Prices not obtained from an independent valuation service provider are determined by using a discounted cash flow model or a market comparable company valuation technique. In certain cases,</w:t>
      </w:r>
      <w:r>
        <w:rPr>
          <w:rFonts w:eastAsia="Times New Roman"/>
          <w:color w:val="000000"/>
          <w:sz w:val="20"/>
          <w:szCs w:val="20"/>
        </w:rPr>
        <w:t xml:space="preserve"> these models use observable inputs with a discount rate based upon the average of spread surveys collected from private market intermediaries who are active in both primary and secondary transactions, taking into account, among other factors, the credit q</w:t>
      </w:r>
      <w:r>
        <w:rPr>
          <w:rFonts w:eastAsia="Times New Roman"/>
          <w:color w:val="000000"/>
          <w:sz w:val="20"/>
          <w:szCs w:val="20"/>
        </w:rPr>
        <w:t>uality and industry sector of the issuer and the reduced liquidity associated with private placements. Generally, these securities have been reflected within Level 2. For certain private fixed maturities, the discounted cash flow model or a market comparab</w:t>
      </w:r>
      <w:r>
        <w:rPr>
          <w:rFonts w:eastAsia="Times New Roman"/>
          <w:color w:val="000000"/>
          <w:sz w:val="20"/>
          <w:szCs w:val="20"/>
        </w:rPr>
        <w:t xml:space="preserve">le company valuation technique may also incorporate unobservable inputs, which reflect the Company’s own assumptions about the inputs market participants would use in pricing the asset. To the extent management determines that such unobservable inputs are </w:t>
      </w:r>
      <w:r>
        <w:rPr>
          <w:rFonts w:eastAsia="Times New Roman"/>
          <w:color w:val="000000"/>
          <w:sz w:val="20"/>
          <w:szCs w:val="20"/>
        </w:rPr>
        <w:t>significant to the fair value measurement of a security, a Level 3 classification generally is made.</w:t>
      </w:r>
    </w:p>
    <w:p w:rsidR="00000000" w:rsidRDefault="005B0BC3">
      <w:pPr>
        <w:jc w:val="both"/>
        <w:divId w:val="1501969128"/>
        <w:rPr>
          <w:rFonts w:eastAsia="Times New Roman"/>
        </w:rPr>
      </w:pPr>
      <w:r>
        <w:rPr>
          <w:rFonts w:eastAsia="Times New Roman"/>
          <w:b/>
          <w:bCs/>
          <w:i/>
          <w:iCs/>
          <w:color w:val="000000"/>
          <w:sz w:val="20"/>
          <w:szCs w:val="20"/>
        </w:rPr>
        <w:t>Notes issued by consolidated VIE’s, at fair value using the fair value option</w:t>
      </w:r>
    </w:p>
    <w:p w:rsidR="00000000" w:rsidRDefault="005B0BC3">
      <w:pPr>
        <w:divId w:val="1925143764"/>
        <w:rPr>
          <w:rFonts w:eastAsia="Times New Roman"/>
        </w:rPr>
      </w:pPr>
      <w:r>
        <w:rPr>
          <w:rFonts w:eastAsia="Times New Roman"/>
          <w:color w:val="000000"/>
          <w:sz w:val="20"/>
          <w:szCs w:val="20"/>
        </w:rPr>
        <w:t>These notes are based on the fair values of corresponding fixed maturity coll</w:t>
      </w:r>
      <w:r>
        <w:rPr>
          <w:rFonts w:eastAsia="Times New Roman"/>
          <w:color w:val="000000"/>
          <w:sz w:val="20"/>
          <w:szCs w:val="20"/>
        </w:rPr>
        <w:t>ateral. The CLO liabilities are also reduced by the fair value of the beneficial interests the Company retains in the CLO and the carrying value of any beneficial interests that represent compensation for services. As the notes are valued based on the refe</w:t>
      </w:r>
      <w:r>
        <w:rPr>
          <w:rFonts w:eastAsia="Times New Roman"/>
          <w:color w:val="000000"/>
          <w:sz w:val="20"/>
          <w:szCs w:val="20"/>
        </w:rPr>
        <w:t>rence collateral, they are classified as Level 2 or 3. See “Fair Value Option” below for additional information.</w:t>
      </w:r>
    </w:p>
    <w:p w:rsidR="00000000" w:rsidRDefault="005B0BC3">
      <w:pPr>
        <w:jc w:val="both"/>
        <w:divId w:val="1688291993"/>
        <w:rPr>
          <w:rFonts w:eastAsia="Times New Roman"/>
        </w:rPr>
      </w:pPr>
      <w:r>
        <w:rPr>
          <w:rFonts w:eastAsia="Times New Roman"/>
          <w:b/>
          <w:bCs/>
          <w:i/>
          <w:iCs/>
          <w:color w:val="000000"/>
          <w:sz w:val="20"/>
          <w:szCs w:val="20"/>
        </w:rPr>
        <w:t>Freestanding Derivative Positions</w:t>
      </w:r>
    </w:p>
    <w:p w:rsidR="00000000" w:rsidRDefault="005B0BC3">
      <w:pPr>
        <w:divId w:val="1722823394"/>
        <w:rPr>
          <w:rFonts w:eastAsia="Times New Roman"/>
        </w:rPr>
      </w:pPr>
      <w:r>
        <w:rPr>
          <w:rFonts w:eastAsia="Times New Roman"/>
          <w:color w:val="000000"/>
          <w:sz w:val="20"/>
          <w:szCs w:val="20"/>
        </w:rPr>
        <w:t xml:space="preserve">The net fair value of the Company’s freestanding derivative positions as disclosed in Note 4 of the Notes to </w:t>
      </w:r>
      <w:r>
        <w:rPr>
          <w:rFonts w:eastAsia="Times New Roman"/>
          <w:color w:val="000000"/>
          <w:sz w:val="20"/>
          <w:szCs w:val="20"/>
        </w:rPr>
        <w:t>these Consolidated Financial Statements are generally based on prices obtained either from independent valuation service providers or derived by applying market inputs from recognized vendors into industry standard pricing models. The majority of these der</w:t>
      </w:r>
      <w:r>
        <w:rPr>
          <w:rFonts w:eastAsia="Times New Roman"/>
          <w:color w:val="000000"/>
          <w:sz w:val="20"/>
          <w:szCs w:val="20"/>
        </w:rPr>
        <w:t>ivative contracts are traded in the OTC derivative market and are classified in Level 2. The fair values of derivative assets and liabilities traded in the OTC market are determined using quantitative models that require use of the contractual terms of the</w:t>
      </w:r>
      <w:r>
        <w:rPr>
          <w:rFonts w:eastAsia="Times New Roman"/>
          <w:color w:val="000000"/>
          <w:sz w:val="20"/>
          <w:szCs w:val="20"/>
        </w:rPr>
        <w:t xml:space="preserve"> derivative instruments and multiple market inputs, including interest rates, prices, and indices to generate continuous yield or pricing curves, including overnight index swap curves, and volatility factors, which then are applied to value the positions. </w:t>
      </w:r>
      <w:r>
        <w:rPr>
          <w:rFonts w:eastAsia="Times New Roman"/>
          <w:color w:val="000000"/>
          <w:sz w:val="20"/>
          <w:szCs w:val="20"/>
        </w:rPr>
        <w:t>The predominance of market inputs is actively quoted and can be validated through external sources or reliably interpolated if less observable.</w:t>
      </w:r>
    </w:p>
    <w:p w:rsidR="00000000" w:rsidRDefault="005B0BC3">
      <w:pPr>
        <w:divId w:val="418068090"/>
        <w:rPr>
          <w:rFonts w:eastAsia="Times New Roman"/>
        </w:rPr>
      </w:pPr>
      <w:r>
        <w:rPr>
          <w:rFonts w:eastAsia="Times New Roman"/>
          <w:color w:val="000000"/>
          <w:sz w:val="20"/>
          <w:szCs w:val="20"/>
          <w:u w:val="single"/>
        </w:rPr>
        <w:t>Level Classifications of the Company’s Financial Instruments</w:t>
      </w:r>
    </w:p>
    <w:p w:rsidR="00000000" w:rsidRDefault="005B0BC3">
      <w:pPr>
        <w:jc w:val="both"/>
        <w:divId w:val="176504962"/>
        <w:rPr>
          <w:rFonts w:eastAsia="Times New Roman"/>
        </w:rPr>
      </w:pPr>
      <w:r>
        <w:rPr>
          <w:rFonts w:eastAsia="Times New Roman"/>
          <w:b/>
          <w:bCs/>
          <w:i/>
          <w:iCs/>
          <w:color w:val="000000"/>
          <w:sz w:val="20"/>
          <w:szCs w:val="20"/>
        </w:rPr>
        <w:t>Financial Instruments Classified as Level 1</w:t>
      </w:r>
    </w:p>
    <w:p w:rsidR="00000000" w:rsidRDefault="005B0BC3">
      <w:pPr>
        <w:divId w:val="1209802000"/>
        <w:rPr>
          <w:rFonts w:eastAsia="Times New Roman"/>
        </w:rPr>
      </w:pPr>
      <w:r>
        <w:rPr>
          <w:rFonts w:eastAsia="Times New Roman"/>
          <w:color w:val="000000"/>
          <w:sz w:val="20"/>
          <w:szCs w:val="20"/>
        </w:rPr>
        <w:t>Investments classified as Level 1 primarily include redeemable preferred stock, trading securities, cash equivalents and Separate Accounts assets. Fair value measurements classified as Level 1 include exchange-traded prices of fixed maturities, equity secu</w:t>
      </w:r>
      <w:r>
        <w:rPr>
          <w:rFonts w:eastAsia="Times New Roman"/>
          <w:color w:val="000000"/>
          <w:sz w:val="20"/>
          <w:szCs w:val="20"/>
        </w:rPr>
        <w:t>rities and derivative contracts, and net asset values for transacting subscriptions and redemptions of mutual fund shares held by Separate Accounts. Cash equivalents classified as Level 1 include money market accounts, overnight commercial paper and highly</w:t>
      </w:r>
      <w:r>
        <w:rPr>
          <w:rFonts w:eastAsia="Times New Roman"/>
          <w:color w:val="000000"/>
          <w:sz w:val="20"/>
          <w:szCs w:val="20"/>
        </w:rPr>
        <w:t xml:space="preserve"> liquid debt instruments purchased with an original maturity of three months or less and are carried at cost as a proxy for fair value measurement due to their short-term nature.</w:t>
      </w:r>
    </w:p>
    <w:p w:rsidR="00000000" w:rsidRDefault="005B0BC3">
      <w:pPr>
        <w:jc w:val="center"/>
        <w:divId w:val="168955486"/>
        <w:rPr>
          <w:rFonts w:eastAsia="Times New Roman"/>
        </w:rPr>
      </w:pPr>
      <w:r>
        <w:rPr>
          <w:rFonts w:eastAsia="Times New Roman"/>
          <w:color w:val="000000"/>
          <w:sz w:val="20"/>
          <w:szCs w:val="20"/>
        </w:rPr>
        <w:t>181</w:t>
      </w:r>
    </w:p>
    <w:p w:rsidR="00000000" w:rsidRDefault="005B0BC3">
      <w:pPr>
        <w:rPr>
          <w:rFonts w:eastAsia="Times New Roman"/>
        </w:rPr>
      </w:pPr>
      <w:r>
        <w:rPr>
          <w:rFonts w:eastAsia="Times New Roman"/>
        </w:rPr>
        <w:pict>
          <v:rect id="_x0000_i1219" style="width:0;height:1.5pt" o:hralign="center" o:hrstd="t" o:hr="t" fillcolor="#a0a0a0" stroked="f"/>
        </w:pict>
      </w:r>
    </w:p>
    <w:p w:rsidR="00000000" w:rsidRDefault="005B0BC3">
      <w:pPr>
        <w:jc w:val="center"/>
        <w:divId w:val="2007516697"/>
        <w:rPr>
          <w:rFonts w:eastAsia="Times New Roman"/>
        </w:rPr>
      </w:pPr>
      <w:r>
        <w:rPr>
          <w:rFonts w:eastAsia="Times New Roman"/>
          <w:b/>
          <w:bCs/>
          <w:color w:val="000000"/>
          <w:sz w:val="20"/>
          <w:szCs w:val="20"/>
        </w:rPr>
        <w:t>EQUITABLE HOLDINGS, INC.</w:t>
      </w:r>
    </w:p>
    <w:p w:rsidR="00000000" w:rsidRDefault="005B0BC3">
      <w:pPr>
        <w:jc w:val="center"/>
        <w:divId w:val="2007516697"/>
        <w:rPr>
          <w:rFonts w:eastAsia="Times New Roman"/>
        </w:rPr>
      </w:pPr>
      <w:r>
        <w:rPr>
          <w:rFonts w:eastAsia="Times New Roman"/>
          <w:b/>
          <w:bCs/>
          <w:color w:val="000000"/>
          <w:sz w:val="20"/>
          <w:szCs w:val="20"/>
        </w:rPr>
        <w:t>NOTES TO CO</w:t>
      </w:r>
      <w:r>
        <w:rPr>
          <w:rFonts w:eastAsia="Times New Roman"/>
          <w:b/>
          <w:bCs/>
          <w:color w:val="000000"/>
          <w:sz w:val="20"/>
          <w:szCs w:val="20"/>
        </w:rPr>
        <w:t>NSOLIDATED FINANCIAL STATEMENTS, continued</w:t>
      </w:r>
    </w:p>
    <w:p w:rsidR="00000000" w:rsidRDefault="005B0BC3">
      <w:pPr>
        <w:jc w:val="both"/>
        <w:divId w:val="1062673926"/>
        <w:rPr>
          <w:rFonts w:eastAsia="Times New Roman"/>
        </w:rPr>
      </w:pPr>
      <w:r>
        <w:rPr>
          <w:rFonts w:eastAsia="Times New Roman"/>
          <w:b/>
          <w:bCs/>
          <w:i/>
          <w:iCs/>
          <w:color w:val="000000"/>
          <w:sz w:val="20"/>
          <w:szCs w:val="20"/>
        </w:rPr>
        <w:t>Financial Instruments Classified as Level 2</w:t>
      </w:r>
    </w:p>
    <w:p w:rsidR="00000000" w:rsidRDefault="005B0BC3">
      <w:pPr>
        <w:divId w:val="1778211939"/>
        <w:rPr>
          <w:rFonts w:eastAsia="Times New Roman"/>
        </w:rPr>
      </w:pPr>
      <w:r>
        <w:rPr>
          <w:rFonts w:eastAsia="Times New Roman"/>
          <w:color w:val="000000"/>
          <w:sz w:val="20"/>
          <w:szCs w:val="20"/>
        </w:rPr>
        <w:t>Investments classified as Level 2 are measured at fair value on a recurring basis and primarily include U.S. government and agency securities, certain corporate debt sec</w:t>
      </w:r>
      <w:r>
        <w:rPr>
          <w:rFonts w:eastAsia="Times New Roman"/>
          <w:color w:val="000000"/>
          <w:sz w:val="20"/>
          <w:szCs w:val="20"/>
        </w:rPr>
        <w:t>urities and financial assets and liabilities accounted for using the fair value option, such as public and private fixed maturities. As market quotes generally are not readily available or accessible for these securities, their fair value measures are dete</w:t>
      </w:r>
      <w:r>
        <w:rPr>
          <w:rFonts w:eastAsia="Times New Roman"/>
          <w:color w:val="000000"/>
          <w:sz w:val="20"/>
          <w:szCs w:val="20"/>
        </w:rPr>
        <w:t>rmined utilizing relevant information generated by market transactions involving comparable securities and often are based on model pricing techniques that effectively discount prospective cash flows to present value using appropriate sector-adjusted credi</w:t>
      </w:r>
      <w:r>
        <w:rPr>
          <w:rFonts w:eastAsia="Times New Roman"/>
          <w:color w:val="000000"/>
          <w:sz w:val="20"/>
          <w:szCs w:val="20"/>
        </w:rPr>
        <w:t>t spreads commensurate with the security’s duration, also taking into consideration issuer-specific credit quality and liquidity. Segregated securities classified as Level 2 are U.S. Treasury bills segregated by AB in a special reserve bank custody account</w:t>
      </w:r>
      <w:r>
        <w:rPr>
          <w:rFonts w:eastAsia="Times New Roman"/>
          <w:color w:val="000000"/>
          <w:sz w:val="20"/>
          <w:szCs w:val="20"/>
        </w:rPr>
        <w:t xml:space="preserve"> for the exclusive benefit of brokerage customers, as required by Rule 15c3-3 of the Exchange Act and for which fair values are based on quoted yields in secondary markets.</w:t>
      </w:r>
    </w:p>
    <w:p w:rsidR="00000000" w:rsidRDefault="005B0BC3">
      <w:pPr>
        <w:divId w:val="1426338121"/>
        <w:rPr>
          <w:rFonts w:eastAsia="Times New Roman"/>
        </w:rPr>
      </w:pPr>
      <w:r>
        <w:rPr>
          <w:rFonts w:eastAsia="Times New Roman"/>
          <w:color w:val="000000"/>
          <w:sz w:val="20"/>
          <w:szCs w:val="20"/>
        </w:rPr>
        <w:t>Observable inputs generally used to measure the fair value of securities classified</w:t>
      </w:r>
      <w:r>
        <w:rPr>
          <w:rFonts w:eastAsia="Times New Roman"/>
          <w:color w:val="000000"/>
          <w:sz w:val="20"/>
          <w:szCs w:val="20"/>
        </w:rPr>
        <w:t xml:space="preserve"> as Level 2 include benchmark yields, reported secondary trades, issuer spreads, benchmark securities and other reference data. Additional observable inputs are used when available, and as may be appropriate, for certain security types, such as prepayment,</w:t>
      </w:r>
      <w:r>
        <w:rPr>
          <w:rFonts w:eastAsia="Times New Roman"/>
          <w:color w:val="000000"/>
          <w:sz w:val="20"/>
          <w:szCs w:val="20"/>
        </w:rPr>
        <w:t xml:space="preserve"> default, and collateral information for the purpose of measuring the fair value of mortgage- and asset-backed securities. The Company’s AAA-rated mortgage- and asset-backed securities are classified as Level 2 for which the observability of market inputs </w:t>
      </w:r>
      <w:r>
        <w:rPr>
          <w:rFonts w:eastAsia="Times New Roman"/>
          <w:color w:val="000000"/>
          <w:sz w:val="20"/>
          <w:szCs w:val="20"/>
        </w:rPr>
        <w:t>to their pricing models is supported by sufficient, albeit more recently contracted, market activity in these sectors.</w:t>
      </w:r>
    </w:p>
    <w:p w:rsidR="00000000" w:rsidRDefault="005B0BC3">
      <w:pPr>
        <w:divId w:val="1454665949"/>
        <w:rPr>
          <w:rFonts w:eastAsia="Times New Roman"/>
        </w:rPr>
      </w:pPr>
      <w:r>
        <w:rPr>
          <w:rFonts w:eastAsia="Times New Roman"/>
          <w:color w:val="000000"/>
          <w:sz w:val="20"/>
          <w:szCs w:val="20"/>
        </w:rPr>
        <w:t>Certain Company products, such as the SCS, EQUI-VEST variable annuity products, IUL and the MSO fund available in some life contracts, of</w:t>
      </w:r>
      <w:r>
        <w:rPr>
          <w:rFonts w:eastAsia="Times New Roman"/>
          <w:color w:val="000000"/>
          <w:sz w:val="20"/>
          <w:szCs w:val="20"/>
        </w:rPr>
        <w:t>fer investment options which permit the contract owner to participate in the performance of an index, ETF or commodity price. These investment options, which depending on the product and on the index selected, can currently have one, three, five or six yea</w:t>
      </w:r>
      <w:r>
        <w:rPr>
          <w:rFonts w:eastAsia="Times New Roman"/>
          <w:color w:val="000000"/>
          <w:sz w:val="20"/>
          <w:szCs w:val="20"/>
        </w:rPr>
        <w:t>r terms, provide for participation in the performance of specified indices, ETF or commodity price movement up to a segment-specific declared maximum rate. Under certain conditions that vary by product, e.g., holding these segments for the full term, these</w:t>
      </w:r>
      <w:r>
        <w:rPr>
          <w:rFonts w:eastAsia="Times New Roman"/>
          <w:color w:val="000000"/>
          <w:sz w:val="20"/>
          <w:szCs w:val="20"/>
        </w:rPr>
        <w:t xml:space="preserve"> segments also shield policyholders from some or all negative investment performance associated with these indices, ETF or commodity prices. These investment options have defined formulaic liability amounts, and the current values of the option component o</w:t>
      </w:r>
      <w:r>
        <w:rPr>
          <w:rFonts w:eastAsia="Times New Roman"/>
          <w:color w:val="000000"/>
          <w:sz w:val="20"/>
          <w:szCs w:val="20"/>
        </w:rPr>
        <w:t>f these segment reserves are classified as Level 2 embedded derivatives. The fair values of these embedded derivatives are based on data obtained from independent valuation service providers.</w:t>
      </w:r>
    </w:p>
    <w:p w:rsidR="00000000" w:rsidRDefault="005B0BC3">
      <w:pPr>
        <w:jc w:val="both"/>
        <w:divId w:val="115219308"/>
        <w:rPr>
          <w:rFonts w:eastAsia="Times New Roman"/>
        </w:rPr>
      </w:pPr>
      <w:r>
        <w:rPr>
          <w:rFonts w:eastAsia="Times New Roman"/>
          <w:b/>
          <w:bCs/>
          <w:i/>
          <w:iCs/>
          <w:color w:val="000000"/>
          <w:sz w:val="20"/>
          <w:szCs w:val="20"/>
        </w:rPr>
        <w:t>Financial Instruments Classified as Level 3</w:t>
      </w:r>
    </w:p>
    <w:p w:rsidR="00000000" w:rsidRDefault="005B0BC3">
      <w:pPr>
        <w:divId w:val="244802077"/>
        <w:rPr>
          <w:rFonts w:eastAsia="Times New Roman"/>
        </w:rPr>
      </w:pPr>
      <w:r>
        <w:rPr>
          <w:rFonts w:eastAsia="Times New Roman"/>
          <w:color w:val="000000"/>
          <w:sz w:val="20"/>
          <w:szCs w:val="20"/>
        </w:rPr>
        <w:t>The Company’s investments classified as Level 3 primarily include corporate debt securities and financial assets and liabilities accounted for using the fair value option, such as private fixed maturities and asset-backed securities. Determinations to clas</w:t>
      </w:r>
      <w:r>
        <w:rPr>
          <w:rFonts w:eastAsia="Times New Roman"/>
          <w:color w:val="000000"/>
          <w:sz w:val="20"/>
          <w:szCs w:val="20"/>
        </w:rPr>
        <w:t>sify fair value measures within Level 3 of the valuation hierarchy generally are based upon the significance of the unobservable factors to the overall fair value measurement. Included in the Level 3 classification are fixed maturities with indicative pric</w:t>
      </w:r>
      <w:r>
        <w:rPr>
          <w:rFonts w:eastAsia="Times New Roman"/>
          <w:color w:val="000000"/>
          <w:sz w:val="20"/>
          <w:szCs w:val="20"/>
        </w:rPr>
        <w:t>ing obtained from brokers that otherwise could not be corroborated to market observable data.</w:t>
      </w:r>
    </w:p>
    <w:p w:rsidR="00000000" w:rsidRDefault="005B0BC3">
      <w:pPr>
        <w:divId w:val="249704876"/>
        <w:rPr>
          <w:rFonts w:eastAsia="Times New Roman"/>
        </w:rPr>
      </w:pPr>
      <w:r>
        <w:rPr>
          <w:rFonts w:eastAsia="Times New Roman"/>
          <w:color w:val="000000"/>
          <w:sz w:val="20"/>
          <w:szCs w:val="20"/>
        </w:rPr>
        <w:t>The Company also issues certain benefits on its variable annuity products that are accounted for as derivatives and are also considered Level 3. The GMIBNLG featu</w:t>
      </w:r>
      <w:r>
        <w:rPr>
          <w:rFonts w:eastAsia="Times New Roman"/>
          <w:color w:val="000000"/>
          <w:sz w:val="20"/>
          <w:szCs w:val="20"/>
        </w:rPr>
        <w:t>re allows the policyholder to receive guaranteed minimum lifetime annuity payments based on predetermined annuity purchase rates applied to the contract’s benefit base if and when the contract account value is depleted and the NLG feature is activated. The</w:t>
      </w:r>
      <w:r>
        <w:rPr>
          <w:rFonts w:eastAsia="Times New Roman"/>
          <w:color w:val="000000"/>
          <w:sz w:val="20"/>
          <w:szCs w:val="20"/>
        </w:rPr>
        <w:t xml:space="preserve"> GMWB feature allows the policyholder to withdraw at minimum, over the life of the contract, an amount based on the contract’s benefit base. The GWBL feature allows the policyholder to withdraw, each year for the life of the contract, a specified annual pe</w:t>
      </w:r>
      <w:r>
        <w:rPr>
          <w:rFonts w:eastAsia="Times New Roman"/>
          <w:color w:val="000000"/>
          <w:sz w:val="20"/>
          <w:szCs w:val="20"/>
        </w:rPr>
        <w:t xml:space="preserve">rcentage of an amount based on the contract’s benefit base. The GMAB feature increases the contract account value at the end of a specified period to a GMAB base. The GIB feature provides a lifetime annuity based on predetermined annuity purchase rates if </w:t>
      </w:r>
      <w:r>
        <w:rPr>
          <w:rFonts w:eastAsia="Times New Roman"/>
          <w:color w:val="000000"/>
          <w:sz w:val="20"/>
          <w:szCs w:val="20"/>
        </w:rPr>
        <w:t>and when the contract account value is depleted. This lifetime annuity is based on predetermined annuity purchase rates applied to a GIB base.</w:t>
      </w:r>
    </w:p>
    <w:p w:rsidR="00000000" w:rsidRDefault="005B0BC3">
      <w:pPr>
        <w:divId w:val="880019105"/>
        <w:rPr>
          <w:rFonts w:eastAsia="Times New Roman"/>
        </w:rPr>
      </w:pPr>
      <w:r>
        <w:rPr>
          <w:rFonts w:eastAsia="Times New Roman"/>
          <w:color w:val="000000"/>
          <w:sz w:val="20"/>
          <w:szCs w:val="20"/>
        </w:rPr>
        <w:t xml:space="preserve">Level 3 also includes the GMIB reinsurance contract assets, which are accounted for as derivative contracts. The </w:t>
      </w:r>
      <w:r>
        <w:rPr>
          <w:rFonts w:eastAsia="Times New Roman"/>
          <w:color w:val="000000"/>
          <w:sz w:val="20"/>
          <w:szCs w:val="20"/>
        </w:rPr>
        <w:t>GMIB reinsurance contract asset and liabilities’ fair value reflects the present value of reinsurance premiums, net of recoveries, and risk margins over a range of market consistent economic scenarios while GMxB derivative features liability reflects the p</w:t>
      </w:r>
      <w:r>
        <w:rPr>
          <w:rFonts w:eastAsia="Times New Roman"/>
          <w:color w:val="000000"/>
          <w:sz w:val="20"/>
          <w:szCs w:val="20"/>
        </w:rPr>
        <w:t>resent value of expected future payments (benefits) less fees, adjusted for risk margins and nonperformance risk, attributable to GMxB derivative features’ liability over a range of market-consistent economic scenarios. </w:t>
      </w:r>
    </w:p>
    <w:p w:rsidR="00000000" w:rsidRDefault="005B0BC3">
      <w:pPr>
        <w:jc w:val="center"/>
        <w:divId w:val="1719544301"/>
        <w:rPr>
          <w:rFonts w:eastAsia="Times New Roman"/>
        </w:rPr>
      </w:pPr>
      <w:r>
        <w:rPr>
          <w:rFonts w:eastAsia="Times New Roman"/>
          <w:color w:val="000000"/>
          <w:sz w:val="20"/>
          <w:szCs w:val="20"/>
        </w:rPr>
        <w:t>182</w:t>
      </w:r>
    </w:p>
    <w:p w:rsidR="00000000" w:rsidRDefault="005B0BC3">
      <w:pPr>
        <w:rPr>
          <w:rFonts w:eastAsia="Times New Roman"/>
        </w:rPr>
      </w:pPr>
      <w:r>
        <w:rPr>
          <w:rFonts w:eastAsia="Times New Roman"/>
        </w:rPr>
        <w:pict>
          <v:rect id="_x0000_i1220" style="width:0;height:1.5pt" o:hralign="center" o:hrstd="t" o:hr="t" fillcolor="#a0a0a0" stroked="f"/>
        </w:pict>
      </w:r>
    </w:p>
    <w:p w:rsidR="00000000" w:rsidRDefault="005B0BC3">
      <w:pPr>
        <w:jc w:val="center"/>
        <w:divId w:val="1322078980"/>
        <w:rPr>
          <w:rFonts w:eastAsia="Times New Roman"/>
        </w:rPr>
      </w:pPr>
      <w:r>
        <w:rPr>
          <w:rFonts w:eastAsia="Times New Roman"/>
          <w:b/>
          <w:bCs/>
          <w:color w:val="000000"/>
          <w:sz w:val="20"/>
          <w:szCs w:val="20"/>
        </w:rPr>
        <w:t>EQUITABLE HOLDINGS, INC.</w:t>
      </w:r>
    </w:p>
    <w:p w:rsidR="00000000" w:rsidRDefault="005B0BC3">
      <w:pPr>
        <w:jc w:val="center"/>
        <w:divId w:val="1322078980"/>
        <w:rPr>
          <w:rFonts w:eastAsia="Times New Roman"/>
        </w:rPr>
      </w:pPr>
      <w:r>
        <w:rPr>
          <w:rFonts w:eastAsia="Times New Roman"/>
          <w:b/>
          <w:bCs/>
          <w:color w:val="000000"/>
          <w:sz w:val="20"/>
          <w:szCs w:val="20"/>
        </w:rPr>
        <w:t>NOTES TO CONSOLIDATED FINANCIAL STATEMENTS, continued</w:t>
      </w:r>
    </w:p>
    <w:p w:rsidR="00000000" w:rsidRDefault="005B0BC3">
      <w:pPr>
        <w:divId w:val="1911843771"/>
        <w:rPr>
          <w:rFonts w:eastAsia="Times New Roman"/>
        </w:rPr>
      </w:pPr>
      <w:r>
        <w:rPr>
          <w:rFonts w:eastAsia="Times New Roman"/>
          <w:color w:val="000000"/>
          <w:sz w:val="20"/>
          <w:szCs w:val="20"/>
        </w:rPr>
        <w:t>Also included are the Amounts due from Reinsurers related to the GMIB NLG product features (GMIB NLG Reinsurance). The fair value reflects the present value of reinsurance</w:t>
      </w:r>
      <w:r>
        <w:rPr>
          <w:rFonts w:eastAsia="Times New Roman"/>
          <w:color w:val="000000"/>
          <w:sz w:val="20"/>
          <w:szCs w:val="20"/>
        </w:rPr>
        <w:t xml:space="preserve"> premiums, net of recoveries, adjusted for risk margins and nonperformance risk over a range of market consistent economic scenarios.</w:t>
      </w:r>
    </w:p>
    <w:p w:rsidR="00000000" w:rsidRDefault="005B0BC3">
      <w:pPr>
        <w:divId w:val="2080521750"/>
        <w:rPr>
          <w:rFonts w:eastAsia="Times New Roman"/>
        </w:rPr>
      </w:pPr>
      <w:r>
        <w:rPr>
          <w:rFonts w:eastAsia="Times New Roman"/>
          <w:color w:val="000000"/>
          <w:sz w:val="20"/>
          <w:szCs w:val="20"/>
        </w:rPr>
        <w:t>The valuations of the GMIB reinsurance contract asset, GMIB NLG Reinsurance and GMxB derivative features liability incorpo</w:t>
      </w:r>
      <w:r>
        <w:rPr>
          <w:rFonts w:eastAsia="Times New Roman"/>
          <w:color w:val="000000"/>
          <w:sz w:val="20"/>
          <w:szCs w:val="20"/>
        </w:rPr>
        <w:t xml:space="preserve">rate significant non-observable assumptions related to policyholder behavior, risk margins and projections of equity Separate Accounts funds. The credit risks of the counterparty and of the Company are considered in determining the fair values of its GMIB </w:t>
      </w:r>
      <w:r>
        <w:rPr>
          <w:rFonts w:eastAsia="Times New Roman"/>
          <w:color w:val="000000"/>
          <w:sz w:val="20"/>
          <w:szCs w:val="20"/>
        </w:rPr>
        <w:t>reinsurance contract asset, GMIB NLG Reinsurance and GMxB derivative features liability positions, respectively, after taking into account the effects of collateral arrangements. Incremental adjustment to the US Treasury curve for non-performance risk is m</w:t>
      </w:r>
      <w:r>
        <w:rPr>
          <w:rFonts w:eastAsia="Times New Roman"/>
          <w:color w:val="000000"/>
          <w:sz w:val="20"/>
          <w:szCs w:val="20"/>
        </w:rPr>
        <w:t>ade to the fair values of the GMIB reinsurance contract asset, GMIB NLG Reinsurance and GMIBNLG feature to reflect the claims-paying ratings of counterparties and the Company. Equity and fixed income volatilities were modeled to reflect current market vola</w:t>
      </w:r>
      <w:r>
        <w:rPr>
          <w:rFonts w:eastAsia="Times New Roman"/>
          <w:color w:val="000000"/>
          <w:sz w:val="20"/>
          <w:szCs w:val="20"/>
        </w:rPr>
        <w:t>tilities. Due to the unique, long duration of the GMIBNLG feature and GMIB NLG Reinsurance , adjustments were made to the equity volatilities to remove the illiquidity bias associated with the longer tenors and risk margins were applied to the non-capital </w:t>
      </w:r>
      <w:r>
        <w:rPr>
          <w:rFonts w:eastAsia="Times New Roman"/>
          <w:color w:val="000000"/>
          <w:sz w:val="20"/>
          <w:szCs w:val="20"/>
        </w:rPr>
        <w:t>markets inputs to the GMIBNLG valuations.</w:t>
      </w:r>
    </w:p>
    <w:p w:rsidR="00000000" w:rsidRDefault="005B0BC3">
      <w:pPr>
        <w:divId w:val="1722052146"/>
        <w:rPr>
          <w:rFonts w:eastAsia="Times New Roman"/>
        </w:rPr>
      </w:pPr>
      <w:r>
        <w:rPr>
          <w:rFonts w:eastAsia="Times New Roman"/>
          <w:color w:val="000000"/>
          <w:sz w:val="20"/>
          <w:szCs w:val="20"/>
        </w:rPr>
        <w:t>After giving consideration to collateral arrangements, the impact to the fair value of its GMIB reinsurance contract asset was a decrease of $107 million and $102 million as of December 31, 2021 and December 31, 20</w:t>
      </w:r>
      <w:r>
        <w:rPr>
          <w:rFonts w:eastAsia="Times New Roman"/>
          <w:color w:val="000000"/>
          <w:sz w:val="20"/>
          <w:szCs w:val="20"/>
        </w:rPr>
        <w:t>20, respectively, to recognize incremental counterparty non-performance risk and the impact to the fair value of its GMIB reinsurance contract liabilities was a decrease of $15 million and $19 million as of December 31, 2021 and December 31, 2020, respecti</w:t>
      </w:r>
      <w:r>
        <w:rPr>
          <w:rFonts w:eastAsia="Times New Roman"/>
          <w:color w:val="000000"/>
          <w:sz w:val="20"/>
          <w:szCs w:val="20"/>
        </w:rPr>
        <w:t>vely, to recognize its own incremental non-performance risk.</w:t>
      </w:r>
    </w:p>
    <w:p w:rsidR="00000000" w:rsidRDefault="005B0BC3">
      <w:pPr>
        <w:divId w:val="763040152"/>
        <w:rPr>
          <w:rFonts w:eastAsia="Times New Roman"/>
        </w:rPr>
      </w:pPr>
      <w:r>
        <w:rPr>
          <w:rFonts w:eastAsia="Times New Roman"/>
          <w:color w:val="000000"/>
          <w:sz w:val="20"/>
          <w:szCs w:val="20"/>
        </w:rPr>
        <w:t>After giving consideration to collateral arrangements, the impact to the fair value of its Amounts due from Reinsurers was a decrease of $210 million at December 31, 2021 to recognize incremental</w:t>
      </w:r>
      <w:r>
        <w:rPr>
          <w:rFonts w:eastAsia="Times New Roman"/>
          <w:color w:val="000000"/>
          <w:sz w:val="20"/>
          <w:szCs w:val="20"/>
        </w:rPr>
        <w:t xml:space="preserve"> counterparty non-performance risk. </w:t>
      </w:r>
    </w:p>
    <w:p w:rsidR="00000000" w:rsidRDefault="005B0BC3">
      <w:pPr>
        <w:divId w:val="90903121"/>
        <w:rPr>
          <w:rFonts w:eastAsia="Times New Roman"/>
        </w:rPr>
      </w:pPr>
      <w:r>
        <w:rPr>
          <w:rFonts w:eastAsia="Times New Roman"/>
          <w:color w:val="000000"/>
          <w:sz w:val="20"/>
          <w:szCs w:val="20"/>
        </w:rPr>
        <w:t>Lapse rates are adjusted at the contract level based on a comparison of the actuarial calculated guaranteed values and the current policyholder account value, which include other factors such as considering surrender ch</w:t>
      </w:r>
      <w:r>
        <w:rPr>
          <w:rFonts w:eastAsia="Times New Roman"/>
          <w:color w:val="000000"/>
          <w:sz w:val="20"/>
          <w:szCs w:val="20"/>
        </w:rPr>
        <w:t>arges. Generally, lapse rates are assumed to be lower in periods when a surrender charge applies. A dynamic lapse function reduces the base lapse rate when the guaranteed amount is greater than the account value as in-the-money contracts are less likely to</w:t>
      </w:r>
      <w:r>
        <w:rPr>
          <w:rFonts w:eastAsia="Times New Roman"/>
          <w:color w:val="000000"/>
          <w:sz w:val="20"/>
          <w:szCs w:val="20"/>
        </w:rPr>
        <w:t xml:space="preserve"> lapse. For valuing the embedded derivative, lapse rates vary throughout the period over which cash flows are projected. </w:t>
      </w:r>
    </w:p>
    <w:p w:rsidR="00000000" w:rsidRDefault="005B0BC3">
      <w:pPr>
        <w:divId w:val="974986829"/>
        <w:rPr>
          <w:rFonts w:eastAsia="Times New Roman"/>
        </w:rPr>
      </w:pPr>
      <w:r>
        <w:rPr>
          <w:rFonts w:eastAsia="Times New Roman"/>
          <w:color w:val="000000"/>
          <w:sz w:val="20"/>
          <w:szCs w:val="20"/>
        </w:rPr>
        <w:t>The Company’s Level 3 liabilities include contingent payment arrangements associated with acquisitions in 2016 and 2019 by AB. At each</w:t>
      </w:r>
      <w:r>
        <w:rPr>
          <w:rFonts w:eastAsia="Times New Roman"/>
          <w:color w:val="000000"/>
          <w:sz w:val="20"/>
          <w:szCs w:val="20"/>
        </w:rPr>
        <w:t xml:space="preserve"> reporting date, AB estimates the fair values of the contingent consideration expected to be paid based upon revenue and discount rate projections, using unobservable market data inputs, which are included in Level 3 of the valuation hierarchy. The Company</w:t>
      </w:r>
      <w:r>
        <w:rPr>
          <w:rFonts w:eastAsia="Times New Roman"/>
          <w:color w:val="000000"/>
          <w:sz w:val="20"/>
          <w:szCs w:val="20"/>
        </w:rPr>
        <w:t>’s consolidated VIEs/VOEs hold investments that are classified as Level 3, primarily corporate bonds that are vendor priced with no ratings available, bank loans, non-agency collateralized mortgage obligations and asset-backed securities.</w:t>
      </w:r>
    </w:p>
    <w:p w:rsidR="00000000" w:rsidRDefault="005B0BC3">
      <w:pPr>
        <w:divId w:val="256209050"/>
        <w:rPr>
          <w:rFonts w:eastAsia="Times New Roman"/>
        </w:rPr>
      </w:pPr>
      <w:r>
        <w:rPr>
          <w:rFonts w:eastAsia="Times New Roman"/>
          <w:color w:val="000000"/>
          <w:sz w:val="20"/>
          <w:szCs w:val="20"/>
          <w:u w:val="single"/>
        </w:rPr>
        <w:t>Transfers of Fina</w:t>
      </w:r>
      <w:r>
        <w:rPr>
          <w:rFonts w:eastAsia="Times New Roman"/>
          <w:color w:val="000000"/>
          <w:sz w:val="20"/>
          <w:szCs w:val="20"/>
          <w:u w:val="single"/>
        </w:rPr>
        <w:t>ncial Instruments Between Levels 2 and 3</w:t>
      </w:r>
    </w:p>
    <w:p w:rsidR="00000000" w:rsidRDefault="005B0BC3">
      <w:pPr>
        <w:divId w:val="2117677082"/>
        <w:rPr>
          <w:rFonts w:eastAsia="Times New Roman"/>
        </w:rPr>
      </w:pPr>
      <w:r>
        <w:rPr>
          <w:rFonts w:eastAsia="Times New Roman"/>
          <w:color w:val="000000"/>
          <w:sz w:val="20"/>
          <w:szCs w:val="20"/>
        </w:rPr>
        <w:t>During the year ended December 31, 2021, fixed maturities with fair values of $785 million were transferred out of Level 3 and into Level 2 principally due to the availability of trading activity and/or market obser</w:t>
      </w:r>
      <w:r>
        <w:rPr>
          <w:rFonts w:eastAsia="Times New Roman"/>
          <w:color w:val="000000"/>
          <w:sz w:val="20"/>
          <w:szCs w:val="20"/>
        </w:rPr>
        <w:t>vable inputs to measure and validate their fair values. In addition, fixed maturities with fair value of $27 million were transferred from Level 2 into the Level 3 classification. These transfers in the aggregate represent approximately 6.2% of total equit</w:t>
      </w:r>
      <w:r>
        <w:rPr>
          <w:rFonts w:eastAsia="Times New Roman"/>
          <w:color w:val="000000"/>
          <w:sz w:val="20"/>
          <w:szCs w:val="20"/>
        </w:rPr>
        <w:t>y as of December 31, 2021.</w:t>
      </w:r>
    </w:p>
    <w:p w:rsidR="00000000" w:rsidRDefault="005B0BC3">
      <w:pPr>
        <w:divId w:val="1602294795"/>
        <w:rPr>
          <w:rFonts w:eastAsia="Times New Roman"/>
        </w:rPr>
      </w:pPr>
      <w:r>
        <w:rPr>
          <w:rFonts w:eastAsia="Times New Roman"/>
          <w:color w:val="000000"/>
          <w:sz w:val="20"/>
          <w:szCs w:val="20"/>
        </w:rPr>
        <w:t>During the year ended December 31, 2020, fixed maturities with fair values of $103 million were transferred out of Level 3 and into Level 2 principally due to the availability of trading activity and/or market observable inputs t</w:t>
      </w:r>
      <w:r>
        <w:rPr>
          <w:rFonts w:eastAsia="Times New Roman"/>
          <w:color w:val="000000"/>
          <w:sz w:val="20"/>
          <w:szCs w:val="20"/>
        </w:rPr>
        <w:t>o measure and validate their fair values. In addition, fixed maturities with fair value of $189 million were transferred from Level 2 into the Level 3 classification. These transfers in the aggregate represent approximately 1.7% of total equity as of Decem</w:t>
      </w:r>
      <w:r>
        <w:rPr>
          <w:rFonts w:eastAsia="Times New Roman"/>
          <w:color w:val="000000"/>
          <w:sz w:val="20"/>
          <w:szCs w:val="20"/>
        </w:rPr>
        <w:t>ber 31, 2020.</w:t>
      </w:r>
    </w:p>
    <w:p w:rsidR="00000000" w:rsidRDefault="005B0BC3">
      <w:pPr>
        <w:divId w:val="1718551284"/>
        <w:rPr>
          <w:rFonts w:eastAsia="Times New Roman"/>
        </w:rPr>
      </w:pPr>
      <w:r>
        <w:rPr>
          <w:rFonts w:eastAsia="Times New Roman"/>
          <w:color w:val="000000"/>
          <w:sz w:val="20"/>
          <w:szCs w:val="20"/>
        </w:rPr>
        <w:t>The tables below present reconciliations for all Level 3 assets and liabilities and changes in unrealized gains (losses) for the years ended December 31, 2021, 2020 and 2019, respectively.</w:t>
      </w:r>
    </w:p>
    <w:p w:rsidR="00000000" w:rsidRDefault="005B0BC3">
      <w:pPr>
        <w:jc w:val="center"/>
        <w:divId w:val="1376351343"/>
        <w:rPr>
          <w:rFonts w:eastAsia="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47"/>
        <w:gridCol w:w="3042"/>
        <w:gridCol w:w="36"/>
        <w:gridCol w:w="47"/>
        <w:gridCol w:w="682"/>
        <w:gridCol w:w="36"/>
        <w:gridCol w:w="36"/>
        <w:gridCol w:w="36"/>
        <w:gridCol w:w="36"/>
        <w:gridCol w:w="47"/>
        <w:gridCol w:w="682"/>
        <w:gridCol w:w="36"/>
        <w:gridCol w:w="36"/>
        <w:gridCol w:w="36"/>
        <w:gridCol w:w="36"/>
        <w:gridCol w:w="47"/>
        <w:gridCol w:w="682"/>
        <w:gridCol w:w="36"/>
        <w:gridCol w:w="36"/>
        <w:gridCol w:w="36"/>
        <w:gridCol w:w="36"/>
        <w:gridCol w:w="47"/>
        <w:gridCol w:w="682"/>
        <w:gridCol w:w="36"/>
        <w:gridCol w:w="36"/>
        <w:gridCol w:w="36"/>
        <w:gridCol w:w="36"/>
        <w:gridCol w:w="48"/>
        <w:gridCol w:w="683"/>
        <w:gridCol w:w="36"/>
        <w:gridCol w:w="36"/>
        <w:gridCol w:w="36"/>
        <w:gridCol w:w="36"/>
        <w:gridCol w:w="36"/>
        <w:gridCol w:w="36"/>
        <w:gridCol w:w="36"/>
        <w:gridCol w:w="46"/>
        <w:gridCol w:w="36"/>
        <w:gridCol w:w="36"/>
        <w:gridCol w:w="36"/>
        <w:gridCol w:w="36"/>
        <w:gridCol w:w="36"/>
        <w:gridCol w:w="36"/>
        <w:gridCol w:w="36"/>
        <w:gridCol w:w="36"/>
        <w:gridCol w:w="36"/>
        <w:gridCol w:w="36"/>
        <w:gridCol w:w="36"/>
        <w:gridCol w:w="36"/>
        <w:gridCol w:w="36"/>
        <w:gridCol w:w="36"/>
        <w:gridCol w:w="36"/>
        <w:gridCol w:w="36"/>
        <w:gridCol w:w="36"/>
        <w:gridCol w:w="48"/>
      </w:tblGrid>
      <w:tr w:rsidR="00000000">
        <w:trPr>
          <w:jc w:val="center"/>
        </w:trPr>
        <w:tc>
          <w:tcPr>
            <w:tcW w:w="50" w:type="pct"/>
            <w:vAlign w:val="center"/>
            <w:hideMark/>
          </w:tcPr>
          <w:p w:rsidR="00000000" w:rsidRDefault="005B0BC3">
            <w:pPr>
              <w:jc w:val="center"/>
              <w:rPr>
                <w:rFonts w:eastAsia="Times New Roman"/>
              </w:rPr>
            </w:pPr>
          </w:p>
        </w:tc>
        <w:tc>
          <w:tcPr>
            <w:tcW w:w="186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r>
      <w:tr w:rsidR="00000000">
        <w:trPr>
          <w:jc w:val="center"/>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trHeight w:val="22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0"/>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jc w:val="center"/>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jc w:val="center"/>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jc w:val="center"/>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jc w:val="center"/>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jc w:val="center"/>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jc w:val="center"/>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jc w:val="center"/>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jc w:val="center"/>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jc w:val="center"/>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jc w:val="center"/>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jc w:val="center"/>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jc w:val="center"/>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jc w:val="center"/>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jc w:val="center"/>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jc w:val="center"/>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jc w:val="center"/>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jc w:val="center"/>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jc w:val="center"/>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jc w:val="center"/>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jc w:val="center"/>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jc w:val="center"/>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jc w:val="center"/>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jc w:val="center"/>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jc w:val="center"/>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jc w:val="center"/>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jc w:val="center"/>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jc w:val="center"/>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jc w:val="center"/>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jc w:val="center"/>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jc w:val="center"/>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jc w:val="center"/>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bl>
    <w:p w:rsidR="00000000" w:rsidRDefault="005B0BC3">
      <w:pPr>
        <w:divId w:val="205259048"/>
        <w:rPr>
          <w:rFonts w:eastAsia="Times New Roman"/>
        </w:rPr>
      </w:pPr>
    </w:p>
    <w:p w:rsidR="00000000" w:rsidRDefault="005B0BC3">
      <w:pPr>
        <w:divId w:val="1458721695"/>
        <w:rPr>
          <w:rFonts w:eastAsia="Times New Roman"/>
        </w:rPr>
      </w:pPr>
    </w:p>
    <w:p w:rsidR="00000000" w:rsidRDefault="005B0BC3">
      <w:pPr>
        <w:jc w:val="center"/>
        <w:divId w:val="761611660"/>
        <w:rPr>
          <w:rFonts w:eastAsia="Times New Roman"/>
        </w:rPr>
      </w:pPr>
      <w:r>
        <w:rPr>
          <w:rFonts w:eastAsia="Times New Roman"/>
          <w:color w:val="000000"/>
          <w:sz w:val="20"/>
          <w:szCs w:val="20"/>
        </w:rPr>
        <w:t>183</w:t>
      </w:r>
    </w:p>
    <w:p w:rsidR="00000000" w:rsidRDefault="005B0BC3">
      <w:pPr>
        <w:rPr>
          <w:rFonts w:eastAsia="Times New Roman"/>
        </w:rPr>
      </w:pPr>
      <w:r>
        <w:rPr>
          <w:rFonts w:eastAsia="Times New Roman"/>
        </w:rPr>
        <w:pict>
          <v:rect id="_x0000_i1221" style="width:0;height:1.5pt" o:hralign="center" o:hrstd="t" o:hr="t" fillcolor="#a0a0a0" stroked="f"/>
        </w:pict>
      </w:r>
    </w:p>
    <w:p w:rsidR="00000000" w:rsidRDefault="005B0BC3">
      <w:pPr>
        <w:jc w:val="center"/>
        <w:divId w:val="2144426532"/>
        <w:rPr>
          <w:rFonts w:eastAsia="Times New Roman"/>
        </w:rPr>
      </w:pPr>
      <w:r>
        <w:rPr>
          <w:rFonts w:eastAsia="Times New Roman"/>
          <w:b/>
          <w:bCs/>
          <w:color w:val="000000"/>
          <w:sz w:val="20"/>
          <w:szCs w:val="20"/>
        </w:rPr>
        <w:t>EQUITABLE HOLDINGS, INC.</w:t>
      </w:r>
    </w:p>
    <w:p w:rsidR="00000000" w:rsidRDefault="005B0BC3">
      <w:pPr>
        <w:jc w:val="center"/>
        <w:divId w:val="2144426532"/>
        <w:rPr>
          <w:rFonts w:eastAsia="Times New Roman"/>
        </w:rPr>
      </w:pPr>
      <w:r>
        <w:rPr>
          <w:rFonts w:eastAsia="Times New Roman"/>
          <w:b/>
          <w:bCs/>
          <w:color w:val="000000"/>
          <w:sz w:val="20"/>
          <w:szCs w:val="20"/>
        </w:rPr>
        <w:t>NOTES TO CONSOLIDATED FINANCIAL STATEMENTS, continued</w:t>
      </w:r>
    </w:p>
    <w:p w:rsidR="00000000" w:rsidRDefault="005B0BC3">
      <w:pPr>
        <w:jc w:val="center"/>
        <w:rPr>
          <w:rFonts w:eastAsia="Times New Roman"/>
        </w:rPr>
      </w:pPr>
      <w:r>
        <w:rPr>
          <w:rFonts w:eastAsia="Times New Roman"/>
          <w:b/>
          <w:bCs/>
          <w:color w:val="000000"/>
          <w:sz w:val="20"/>
          <w:szCs w:val="20"/>
        </w:rPr>
        <w:t>Level 3 Instruments - Fair Value Measurements</w:t>
      </w:r>
    </w:p>
    <w:tbl>
      <w:tblPr>
        <w:tblW w:w="5000" w:type="pct"/>
        <w:tblCellMar>
          <w:top w:w="15" w:type="dxa"/>
          <w:left w:w="15" w:type="dxa"/>
          <w:bottom w:w="15" w:type="dxa"/>
          <w:right w:w="15" w:type="dxa"/>
        </w:tblCellMar>
        <w:tblLook w:val="04A0" w:firstRow="1" w:lastRow="0" w:firstColumn="1" w:lastColumn="0" w:noHBand="0" w:noVBand="1"/>
      </w:tblPr>
      <w:tblGrid>
        <w:gridCol w:w="40"/>
        <w:gridCol w:w="2307"/>
        <w:gridCol w:w="39"/>
        <w:gridCol w:w="121"/>
        <w:gridCol w:w="667"/>
        <w:gridCol w:w="36"/>
        <w:gridCol w:w="36"/>
        <w:gridCol w:w="36"/>
        <w:gridCol w:w="36"/>
        <w:gridCol w:w="121"/>
        <w:gridCol w:w="801"/>
        <w:gridCol w:w="36"/>
        <w:gridCol w:w="36"/>
        <w:gridCol w:w="36"/>
        <w:gridCol w:w="36"/>
        <w:gridCol w:w="121"/>
        <w:gridCol w:w="469"/>
        <w:gridCol w:w="36"/>
        <w:gridCol w:w="36"/>
        <w:gridCol w:w="36"/>
        <w:gridCol w:w="36"/>
        <w:gridCol w:w="121"/>
        <w:gridCol w:w="446"/>
        <w:gridCol w:w="36"/>
        <w:gridCol w:w="36"/>
        <w:gridCol w:w="36"/>
        <w:gridCol w:w="36"/>
        <w:gridCol w:w="121"/>
        <w:gridCol w:w="663"/>
        <w:gridCol w:w="36"/>
        <w:gridCol w:w="36"/>
        <w:gridCol w:w="36"/>
        <w:gridCol w:w="36"/>
        <w:gridCol w:w="36"/>
        <w:gridCol w:w="36"/>
        <w:gridCol w:w="36"/>
        <w:gridCol w:w="46"/>
        <w:gridCol w:w="36"/>
        <w:gridCol w:w="36"/>
        <w:gridCol w:w="36"/>
        <w:gridCol w:w="36"/>
        <w:gridCol w:w="36"/>
        <w:gridCol w:w="36"/>
        <w:gridCol w:w="36"/>
        <w:gridCol w:w="36"/>
        <w:gridCol w:w="36"/>
        <w:gridCol w:w="36"/>
        <w:gridCol w:w="36"/>
        <w:gridCol w:w="36"/>
        <w:gridCol w:w="36"/>
        <w:gridCol w:w="36"/>
        <w:gridCol w:w="36"/>
        <w:gridCol w:w="36"/>
        <w:gridCol w:w="36"/>
        <w:gridCol w:w="783"/>
      </w:tblGrid>
      <w:tr w:rsidR="00000000">
        <w:trPr>
          <w:divId w:val="681863229"/>
        </w:trPr>
        <w:tc>
          <w:tcPr>
            <w:tcW w:w="50" w:type="pct"/>
            <w:vAlign w:val="center"/>
            <w:hideMark/>
          </w:tcPr>
          <w:p w:rsidR="00000000" w:rsidRDefault="005B0BC3">
            <w:pPr>
              <w:jc w:val="center"/>
              <w:rPr>
                <w:rFonts w:eastAsia="Times New Roman"/>
              </w:rPr>
            </w:pPr>
          </w:p>
        </w:tc>
        <w:tc>
          <w:tcPr>
            <w:tcW w:w="184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r>
      <w:tr w:rsidR="00000000">
        <w:trPr>
          <w:divId w:val="681863229"/>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b/>
                <w:bCs/>
                <w:color w:val="000000"/>
                <w:sz w:val="16"/>
                <w:szCs w:val="16"/>
              </w:rPr>
              <w:t>Corporate</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b/>
                <w:bCs/>
                <w:color w:val="000000"/>
                <w:sz w:val="16"/>
                <w:szCs w:val="16"/>
              </w:rPr>
              <w:t>State and Political Subdivisions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b/>
                <w:bCs/>
                <w:color w:val="000000"/>
                <w:sz w:val="16"/>
                <w:szCs w:val="16"/>
              </w:rPr>
              <w:t>Asset-backed</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b/>
                <w:bCs/>
                <w:color w:val="000000"/>
                <w:sz w:val="16"/>
                <w:szCs w:val="16"/>
              </w:rPr>
              <w:t>CMBS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Trading Securities, at Fair Value</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 xml:space="preserve">Fixed maturities, at FVO </w:t>
            </w:r>
          </w:p>
        </w:tc>
      </w:tr>
      <w:tr w:rsidR="00000000">
        <w:trPr>
          <w:divId w:val="681863229"/>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0"/>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tcBorders>
              <w:top w:val="single" w:sz="4" w:space="0" w:color="000000"/>
            </w:tcBorders>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681863229"/>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Balance, January 1, 2021</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1,702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r>
              <w:rPr>
                <w:rFonts w:eastAsia="Times New Roman"/>
                <w:b/>
                <w:bCs/>
                <w:color w:val="000000"/>
                <w:sz w:val="20"/>
                <w:szCs w:val="20"/>
              </w:rPr>
              <w:t>80</w:t>
            </w:r>
            <w:r>
              <w:rPr>
                <w:rFonts w:eastAsia="Times New Roman"/>
                <w:color w:val="000000"/>
                <w:sz w:val="20"/>
                <w:szCs w:val="20"/>
              </w:rPr>
              <w:t> </w:t>
            </w:r>
          </w:p>
        </w:tc>
      </w:tr>
      <w:tr w:rsidR="00000000">
        <w:trPr>
          <w:divId w:val="681863229"/>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gains and (losses), realized and unrealized, included in:</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681863229"/>
        </w:trPr>
        <w:tc>
          <w:tcPr>
            <w:tcW w:w="0" w:type="auto"/>
            <w:gridSpan w:val="3"/>
            <w:shd w:val="clear" w:color="auto" w:fill="CCEE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Net income (loss) as:</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681863229"/>
        </w:trPr>
        <w:tc>
          <w:tcPr>
            <w:tcW w:w="0" w:type="auto"/>
            <w:gridSpan w:val="3"/>
            <w:shd w:val="clear" w:color="auto" w:fill="FFFFFF"/>
            <w:tcMar>
              <w:top w:w="30" w:type="dxa"/>
              <w:left w:w="38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Net investment income (loss)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r>
      <w:tr w:rsidR="00000000">
        <w:trPr>
          <w:divId w:val="681863229"/>
        </w:trPr>
        <w:tc>
          <w:tcPr>
            <w:tcW w:w="0" w:type="auto"/>
            <w:gridSpan w:val="3"/>
            <w:shd w:val="clear" w:color="auto" w:fill="CCEEFF"/>
            <w:tcMar>
              <w:top w:w="30" w:type="dxa"/>
              <w:left w:w="38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Investment gains (losses), net</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r>
      <w:tr w:rsidR="00000000">
        <w:trPr>
          <w:divId w:val="681863229"/>
        </w:trPr>
        <w:tc>
          <w:tcPr>
            <w:tcW w:w="0" w:type="auto"/>
            <w:gridSpan w:val="3"/>
            <w:shd w:val="clear" w:color="auto" w:fill="FFFFFF"/>
            <w:tcMar>
              <w:top w:w="30" w:type="dxa"/>
              <w:left w:w="60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Subtotal</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26</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r>
      <w:tr w:rsidR="00000000">
        <w:trPr>
          <w:divId w:val="681863229"/>
        </w:trPr>
        <w:tc>
          <w:tcPr>
            <w:tcW w:w="0" w:type="auto"/>
            <w:gridSpan w:val="3"/>
            <w:shd w:val="clear" w:color="auto" w:fill="CCEE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681863229"/>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Purchases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938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211</w:t>
            </w:r>
            <w:r>
              <w:rPr>
                <w:rFonts w:eastAsia="Times New Roman"/>
                <w:color w:val="000000"/>
                <w:sz w:val="20"/>
                <w:szCs w:val="20"/>
              </w:rPr>
              <w:t> </w:t>
            </w:r>
          </w:p>
        </w:tc>
      </w:tr>
      <w:tr w:rsidR="00000000">
        <w:trPr>
          <w:divId w:val="681863229"/>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Sales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(473)</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(18)</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(23)</w:t>
            </w:r>
          </w:p>
        </w:tc>
      </w:tr>
      <w:tr w:rsidR="00000000">
        <w:trPr>
          <w:divId w:val="681863229"/>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Activity related to consolidated VIEs/VOEs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681863229"/>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Transfers into Level 3 (1)</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r>
      <w:tr w:rsidR="00000000">
        <w:trPr>
          <w:divId w:val="681863229"/>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Transfers out of Level 3 (1)</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(713)</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(72)</w:t>
            </w:r>
          </w:p>
        </w:tc>
      </w:tr>
      <w:tr w:rsidR="00000000">
        <w:trPr>
          <w:divId w:val="681863229"/>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Balance, December 31, 2021</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1,504</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20</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r>
              <w:rPr>
                <w:rFonts w:eastAsia="Times New Roman"/>
                <w:b/>
                <w:bCs/>
                <w:color w:val="000000"/>
                <w:sz w:val="20"/>
                <w:szCs w:val="20"/>
              </w:rPr>
              <w:t>201</w:t>
            </w:r>
            <w:r>
              <w:rPr>
                <w:rFonts w:eastAsia="Times New Roman"/>
                <w:color w:val="000000"/>
                <w:sz w:val="20"/>
                <w:szCs w:val="20"/>
              </w:rPr>
              <w:t> </w:t>
            </w:r>
          </w:p>
        </w:tc>
      </w:tr>
      <w:tr w:rsidR="00000000">
        <w:trPr>
          <w:divId w:val="681863229"/>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Change in unrealized gains or losses for the period included in earnings for instruments held at the end of the reporting period (2)</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26</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r>
              <w:rPr>
                <w:rFonts w:eastAsia="Times New Roman"/>
                <w:b/>
                <w:bCs/>
                <w:color w:val="000000"/>
                <w:sz w:val="20"/>
                <w:szCs w:val="20"/>
              </w:rPr>
              <w:t>5</w:t>
            </w:r>
            <w:r>
              <w:rPr>
                <w:rFonts w:eastAsia="Times New Roman"/>
                <w:color w:val="000000"/>
                <w:sz w:val="20"/>
                <w:szCs w:val="20"/>
              </w:rPr>
              <w:t> </w:t>
            </w:r>
          </w:p>
        </w:tc>
      </w:tr>
      <w:tr w:rsidR="00000000">
        <w:trPr>
          <w:divId w:val="681863229"/>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Change in unrealized gains or losses for the period included in other comprehensive income for instruments held at the end of the reporting period (2)</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r>
              <w:rPr>
                <w:rFonts w:eastAsia="Times New Roman"/>
                <w:b/>
                <w:bCs/>
                <w:color w:val="000000"/>
                <w:sz w:val="20"/>
                <w:szCs w:val="20"/>
              </w:rPr>
              <w:t>—</w:t>
            </w:r>
            <w:r>
              <w:rPr>
                <w:rFonts w:eastAsia="Times New Roman"/>
                <w:color w:val="000000"/>
                <w:sz w:val="20"/>
                <w:szCs w:val="20"/>
              </w:rPr>
              <w:t> </w:t>
            </w:r>
          </w:p>
        </w:tc>
      </w:tr>
      <w:tr w:rsidR="00000000">
        <w:trPr>
          <w:divId w:val="681863229"/>
          <w:trHeight w:val="280"/>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681863229"/>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Balance, January 1, 2020</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1,257 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r>
              <w:rPr>
                <w:rFonts w:eastAsia="Times New Roman"/>
                <w:color w:val="000000"/>
                <w:sz w:val="20"/>
                <w:szCs w:val="20"/>
              </w:rPr>
              <w:t>— </w:t>
            </w:r>
          </w:p>
        </w:tc>
      </w:tr>
      <w:tr w:rsidR="00000000">
        <w:trPr>
          <w:divId w:val="681863229"/>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gains and (losses), realized and unrealized, included in:</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681863229"/>
        </w:trPr>
        <w:tc>
          <w:tcPr>
            <w:tcW w:w="0" w:type="auto"/>
            <w:gridSpan w:val="3"/>
            <w:shd w:val="clear" w:color="auto" w:fill="CCEE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Net income (loss) as:</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681863229"/>
        </w:trPr>
        <w:tc>
          <w:tcPr>
            <w:tcW w:w="0" w:type="auto"/>
            <w:gridSpan w:val="3"/>
            <w:shd w:val="clear" w:color="auto" w:fill="FFFFFF"/>
            <w:tcMar>
              <w:top w:w="30" w:type="dxa"/>
              <w:left w:w="38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Net investment income (loss)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r>
      <w:tr w:rsidR="00000000">
        <w:trPr>
          <w:divId w:val="681863229"/>
        </w:trPr>
        <w:tc>
          <w:tcPr>
            <w:tcW w:w="0" w:type="auto"/>
            <w:gridSpan w:val="3"/>
            <w:shd w:val="clear" w:color="auto" w:fill="CCEEFF"/>
            <w:tcMar>
              <w:top w:w="30" w:type="dxa"/>
              <w:left w:w="38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Investment gains (losses), net</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r>
      <w:tr w:rsidR="00000000">
        <w:trPr>
          <w:divId w:val="681863229"/>
        </w:trPr>
        <w:tc>
          <w:tcPr>
            <w:tcW w:w="0" w:type="auto"/>
            <w:gridSpan w:val="3"/>
            <w:shd w:val="clear" w:color="auto" w:fill="FFFFFF"/>
            <w:tcMar>
              <w:top w:w="30" w:type="dxa"/>
              <w:left w:w="51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Subtotal</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r>
      <w:tr w:rsidR="00000000">
        <w:trPr>
          <w:divId w:val="681863229"/>
        </w:trPr>
        <w:tc>
          <w:tcPr>
            <w:tcW w:w="0" w:type="auto"/>
            <w:gridSpan w:val="3"/>
            <w:shd w:val="clear" w:color="auto" w:fill="CCEE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r>
      <w:tr w:rsidR="00000000">
        <w:trPr>
          <w:divId w:val="681863229"/>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Purchases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514 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81 </w:t>
            </w:r>
          </w:p>
        </w:tc>
      </w:tr>
      <w:tr w:rsidR="00000000">
        <w:trPr>
          <w:divId w:val="681863229"/>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Sales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w:t>
            </w:r>
            <w:r>
              <w:rPr>
                <w:rFonts w:eastAsia="Times New Roman"/>
                <w:color w:val="000000"/>
                <w:sz w:val="20"/>
                <w:szCs w:val="20"/>
              </w:rPr>
              <w:t>226)</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w:t>
            </w:r>
          </w:p>
        </w:tc>
      </w:tr>
    </w:tbl>
    <w:p w:rsidR="00000000" w:rsidRDefault="005B0BC3">
      <w:pPr>
        <w:jc w:val="center"/>
        <w:divId w:val="494345864"/>
        <w:rPr>
          <w:rFonts w:eastAsia="Times New Roman"/>
        </w:rPr>
      </w:pPr>
      <w:r>
        <w:rPr>
          <w:rFonts w:eastAsia="Times New Roman"/>
          <w:color w:val="000000"/>
          <w:sz w:val="20"/>
          <w:szCs w:val="20"/>
        </w:rPr>
        <w:t>184</w:t>
      </w:r>
    </w:p>
    <w:p w:rsidR="00000000" w:rsidRDefault="005B0BC3">
      <w:pPr>
        <w:rPr>
          <w:rFonts w:eastAsia="Times New Roman"/>
        </w:rPr>
      </w:pPr>
      <w:r>
        <w:rPr>
          <w:rFonts w:eastAsia="Times New Roman"/>
        </w:rPr>
        <w:pict>
          <v:rect id="_x0000_i1222" style="width:0;height:1.5pt" o:hralign="center" o:hrstd="t" o:hr="t" fillcolor="#a0a0a0" stroked="f"/>
        </w:pict>
      </w:r>
    </w:p>
    <w:p w:rsidR="00000000" w:rsidRDefault="005B0BC3">
      <w:pPr>
        <w:jc w:val="center"/>
        <w:divId w:val="410129707"/>
        <w:rPr>
          <w:rFonts w:eastAsia="Times New Roman"/>
        </w:rPr>
      </w:pPr>
      <w:r>
        <w:rPr>
          <w:rFonts w:eastAsia="Times New Roman"/>
          <w:b/>
          <w:bCs/>
          <w:color w:val="000000"/>
          <w:sz w:val="20"/>
          <w:szCs w:val="20"/>
        </w:rPr>
        <w:t>EQUITABLE HOLDINGS, INC.</w:t>
      </w:r>
    </w:p>
    <w:p w:rsidR="00000000" w:rsidRDefault="005B0BC3">
      <w:pPr>
        <w:jc w:val="center"/>
        <w:divId w:val="410129707"/>
        <w:rPr>
          <w:rFonts w:eastAsia="Times New Roman"/>
        </w:rPr>
      </w:pPr>
      <w:r>
        <w:rPr>
          <w:rFonts w:eastAsia="Times New Roman"/>
          <w:b/>
          <w:bCs/>
          <w:color w:val="000000"/>
          <w:sz w:val="20"/>
          <w:szCs w:val="20"/>
        </w:rPr>
        <w:t>NOTES TO CONSOLIDATED FINANCIAL STATEMENTS, continued</w:t>
      </w:r>
    </w:p>
    <w:tbl>
      <w:tblPr>
        <w:tblW w:w="5000" w:type="pct"/>
        <w:tblCellMar>
          <w:top w:w="15" w:type="dxa"/>
          <w:left w:w="15" w:type="dxa"/>
          <w:bottom w:w="15" w:type="dxa"/>
          <w:right w:w="15" w:type="dxa"/>
        </w:tblCellMar>
        <w:tblLook w:val="04A0" w:firstRow="1" w:lastRow="0" w:firstColumn="1" w:lastColumn="0" w:noHBand="0" w:noVBand="1"/>
      </w:tblPr>
      <w:tblGrid>
        <w:gridCol w:w="39"/>
        <w:gridCol w:w="2309"/>
        <w:gridCol w:w="38"/>
        <w:gridCol w:w="121"/>
        <w:gridCol w:w="667"/>
        <w:gridCol w:w="36"/>
        <w:gridCol w:w="36"/>
        <w:gridCol w:w="36"/>
        <w:gridCol w:w="36"/>
        <w:gridCol w:w="121"/>
        <w:gridCol w:w="801"/>
        <w:gridCol w:w="36"/>
        <w:gridCol w:w="36"/>
        <w:gridCol w:w="36"/>
        <w:gridCol w:w="36"/>
        <w:gridCol w:w="121"/>
        <w:gridCol w:w="469"/>
        <w:gridCol w:w="36"/>
        <w:gridCol w:w="36"/>
        <w:gridCol w:w="36"/>
        <w:gridCol w:w="36"/>
        <w:gridCol w:w="121"/>
        <w:gridCol w:w="446"/>
        <w:gridCol w:w="36"/>
        <w:gridCol w:w="36"/>
        <w:gridCol w:w="36"/>
        <w:gridCol w:w="36"/>
        <w:gridCol w:w="121"/>
        <w:gridCol w:w="663"/>
        <w:gridCol w:w="36"/>
        <w:gridCol w:w="36"/>
        <w:gridCol w:w="36"/>
        <w:gridCol w:w="36"/>
        <w:gridCol w:w="36"/>
        <w:gridCol w:w="36"/>
        <w:gridCol w:w="36"/>
        <w:gridCol w:w="46"/>
        <w:gridCol w:w="36"/>
        <w:gridCol w:w="36"/>
        <w:gridCol w:w="36"/>
        <w:gridCol w:w="36"/>
        <w:gridCol w:w="36"/>
        <w:gridCol w:w="36"/>
        <w:gridCol w:w="36"/>
        <w:gridCol w:w="36"/>
        <w:gridCol w:w="36"/>
        <w:gridCol w:w="36"/>
        <w:gridCol w:w="36"/>
        <w:gridCol w:w="36"/>
        <w:gridCol w:w="36"/>
        <w:gridCol w:w="36"/>
        <w:gridCol w:w="36"/>
        <w:gridCol w:w="36"/>
        <w:gridCol w:w="36"/>
        <w:gridCol w:w="783"/>
      </w:tblGrid>
      <w:tr w:rsidR="00000000">
        <w:trPr>
          <w:divId w:val="1705135601"/>
        </w:trPr>
        <w:tc>
          <w:tcPr>
            <w:tcW w:w="50" w:type="pct"/>
            <w:vAlign w:val="center"/>
            <w:hideMark/>
          </w:tcPr>
          <w:p w:rsidR="00000000" w:rsidRDefault="005B0BC3">
            <w:pPr>
              <w:jc w:val="center"/>
              <w:rPr>
                <w:rFonts w:eastAsia="Times New Roman"/>
              </w:rPr>
            </w:pPr>
          </w:p>
        </w:tc>
        <w:tc>
          <w:tcPr>
            <w:tcW w:w="184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r>
      <w:tr w:rsidR="00000000">
        <w:trPr>
          <w:divId w:val="1705135601"/>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b/>
                <w:bCs/>
                <w:color w:val="000000"/>
                <w:sz w:val="16"/>
                <w:szCs w:val="16"/>
              </w:rPr>
              <w:t>Corporate</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b/>
                <w:bCs/>
                <w:color w:val="000000"/>
                <w:sz w:val="16"/>
                <w:szCs w:val="16"/>
              </w:rPr>
              <w:t>State and Political Subdivisions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b/>
                <w:bCs/>
                <w:color w:val="000000"/>
                <w:sz w:val="16"/>
                <w:szCs w:val="16"/>
              </w:rPr>
              <w:t>Asset-backed</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b/>
                <w:bCs/>
                <w:color w:val="000000"/>
                <w:sz w:val="16"/>
                <w:szCs w:val="16"/>
              </w:rPr>
              <w:t>CMBS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Trading Securities, at Fair Value</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 xml:space="preserve">Fixed maturities, at FVO </w:t>
            </w:r>
          </w:p>
        </w:tc>
      </w:tr>
      <w:tr w:rsidR="00000000">
        <w:trPr>
          <w:divId w:val="1705135601"/>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0"/>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tcBorders>
              <w:top w:val="single" w:sz="4" w:space="0" w:color="000000"/>
            </w:tcBorders>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705135601"/>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Activity related to consolidated VIEs/VOEs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705135601"/>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Transfers into Level 3 (1)</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189 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r>
      <w:tr w:rsidR="00000000">
        <w:trPr>
          <w:divId w:val="1705135601"/>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Transfers out of Level 3 (1)</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(100)</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r>
      <w:tr w:rsidR="00000000">
        <w:trPr>
          <w:divId w:val="1705135601"/>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Balance, December 31, 2020</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1,702 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r>
              <w:rPr>
                <w:rFonts w:eastAsia="Times New Roman"/>
                <w:color w:val="000000"/>
                <w:sz w:val="20"/>
                <w:szCs w:val="20"/>
              </w:rPr>
              <w:t>80 </w:t>
            </w:r>
          </w:p>
        </w:tc>
      </w:tr>
      <w:tr w:rsidR="00000000">
        <w:trPr>
          <w:divId w:val="1705135601"/>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Change in unrealized gains or losses for the period included in earnings for instruments held at the end of the reporting period (2)</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r>
              <w:rPr>
                <w:rFonts w:eastAsia="Times New Roman"/>
                <w:color w:val="000000"/>
                <w:sz w:val="20"/>
                <w:szCs w:val="20"/>
              </w:rPr>
              <w:t>— </w:t>
            </w:r>
          </w:p>
        </w:tc>
      </w:tr>
      <w:tr w:rsidR="00000000">
        <w:trPr>
          <w:divId w:val="1705135601"/>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Change in unrealized gains or losses for the period included in other comprehensive income for instruments held at the end of the reporting period (2)</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(18)</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r>
              <w:rPr>
                <w:rFonts w:eastAsia="Times New Roman"/>
                <w:color w:val="000000"/>
                <w:sz w:val="20"/>
                <w:szCs w:val="20"/>
              </w:rPr>
              <w:t>— </w:t>
            </w:r>
          </w:p>
        </w:tc>
      </w:tr>
      <w:tr w:rsidR="00000000">
        <w:trPr>
          <w:divId w:val="1705135601"/>
          <w:trHeight w:val="280"/>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705135601"/>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Balance, January 1, 2019</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1,186 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519 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r>
              <w:rPr>
                <w:rFonts w:eastAsia="Times New Roman"/>
                <w:color w:val="000000"/>
                <w:sz w:val="20"/>
                <w:szCs w:val="20"/>
              </w:rPr>
              <w:t>— </w:t>
            </w:r>
          </w:p>
        </w:tc>
      </w:tr>
      <w:tr w:rsidR="00000000">
        <w:trPr>
          <w:divId w:val="1705135601"/>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gains (losses), realized and unrealized, included in:</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705135601"/>
        </w:trPr>
        <w:tc>
          <w:tcPr>
            <w:tcW w:w="0" w:type="auto"/>
            <w:gridSpan w:val="3"/>
            <w:shd w:val="clear" w:color="auto" w:fill="CCEE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Income (loss) as:</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705135601"/>
        </w:trPr>
        <w:tc>
          <w:tcPr>
            <w:tcW w:w="0" w:type="auto"/>
            <w:gridSpan w:val="3"/>
            <w:shd w:val="clear" w:color="auto" w:fill="FFFFFF"/>
            <w:tcMar>
              <w:top w:w="30" w:type="dxa"/>
              <w:left w:w="38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Net investment income (loss)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r>
      <w:tr w:rsidR="00000000">
        <w:trPr>
          <w:divId w:val="1705135601"/>
        </w:trPr>
        <w:tc>
          <w:tcPr>
            <w:tcW w:w="0" w:type="auto"/>
            <w:gridSpan w:val="3"/>
            <w:shd w:val="clear" w:color="auto" w:fill="CCEEFF"/>
            <w:tcMar>
              <w:top w:w="30" w:type="dxa"/>
              <w:left w:w="38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Investment gains (losses), net</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r>
      <w:tr w:rsidR="00000000">
        <w:trPr>
          <w:divId w:val="1705135601"/>
        </w:trPr>
        <w:tc>
          <w:tcPr>
            <w:tcW w:w="0" w:type="auto"/>
            <w:gridSpan w:val="3"/>
            <w:shd w:val="clear" w:color="auto" w:fill="FFFFFF"/>
            <w:tcMar>
              <w:top w:w="30" w:type="dxa"/>
              <w:left w:w="51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Subtotal</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r>
      <w:tr w:rsidR="00000000">
        <w:trPr>
          <w:divId w:val="1705135601"/>
        </w:trPr>
        <w:tc>
          <w:tcPr>
            <w:tcW w:w="0" w:type="auto"/>
            <w:gridSpan w:val="3"/>
            <w:shd w:val="clear" w:color="auto" w:fill="CCEE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r>
      <w:tr w:rsidR="00000000">
        <w:trPr>
          <w:divId w:val="1705135601"/>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Purchases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274 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r>
      <w:tr w:rsidR="00000000">
        <w:trPr>
          <w:divId w:val="1705135601"/>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Sales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(122)</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(84)</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r>
      <w:tr w:rsidR="00000000">
        <w:trPr>
          <w:divId w:val="1705135601"/>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Transfers into Level 3 (1)</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r>
      <w:tr w:rsidR="00000000">
        <w:trPr>
          <w:divId w:val="1705135601"/>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Transfers out of Level 3 (1)</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(104)</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(436)</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(29)</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r>
      <w:tr w:rsidR="00000000">
        <w:trPr>
          <w:divId w:val="1705135601"/>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Balance, December 31, 2019</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1,257 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39 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36 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r>
              <w:rPr>
                <w:rFonts w:eastAsia="Times New Roman"/>
                <w:color w:val="000000"/>
                <w:sz w:val="20"/>
                <w:szCs w:val="20"/>
              </w:rPr>
              <w:t>— </w:t>
            </w:r>
          </w:p>
        </w:tc>
      </w:tr>
      <w:tr w:rsidR="00000000">
        <w:trPr>
          <w:divId w:val="1705135601"/>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Change in unrealized gains or losses for the period included in earnings for instruments held at the end of the reporting period (2)</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r>
              <w:rPr>
                <w:rFonts w:eastAsia="Times New Roman"/>
                <w:color w:val="000000"/>
                <w:sz w:val="20"/>
                <w:szCs w:val="20"/>
              </w:rPr>
              <w:t>— </w:t>
            </w:r>
          </w:p>
        </w:tc>
      </w:tr>
      <w:tr w:rsidR="00000000">
        <w:trPr>
          <w:divId w:val="1705135601"/>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Change in unrealized gains or losses for the period included in other comprehensive income for instruments held at the end of the reporting period (2)</w:t>
            </w: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vAlign w:val="center"/>
            <w:hideMark/>
          </w:tcPr>
          <w:p w:rsidR="00000000" w:rsidRDefault="005B0BC3">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r>
              <w:rPr>
                <w:rFonts w:eastAsia="Times New Roman"/>
                <w:color w:val="000000"/>
                <w:sz w:val="20"/>
                <w:szCs w:val="20"/>
              </w:rPr>
              <w:t>— </w:t>
            </w:r>
          </w:p>
        </w:tc>
      </w:tr>
    </w:tbl>
    <w:p w:rsidR="00000000" w:rsidRDefault="005B0BC3">
      <w:pPr>
        <w:ind w:hanging="360"/>
        <w:divId w:val="1134325477"/>
        <w:rPr>
          <w:rFonts w:eastAsia="Times New Roman"/>
        </w:rPr>
      </w:pPr>
      <w:r>
        <w:rPr>
          <w:rFonts w:eastAsia="Times New Roman"/>
          <w:color w:val="000000"/>
          <w:sz w:val="18"/>
          <w:szCs w:val="18"/>
        </w:rPr>
        <w:t>________</w:t>
      </w:r>
      <w:r>
        <w:rPr>
          <w:rFonts w:eastAsia="Times New Roman"/>
          <w:color w:val="000000"/>
          <w:sz w:val="18"/>
          <w:szCs w:val="18"/>
        </w:rPr>
        <w:t>_____</w:t>
      </w:r>
    </w:p>
    <w:p w:rsidR="00000000" w:rsidRDefault="005B0BC3">
      <w:pPr>
        <w:ind w:hanging="360"/>
        <w:divId w:val="1813524400"/>
        <w:rPr>
          <w:rFonts w:eastAsia="Times New Roman"/>
        </w:rPr>
      </w:pPr>
      <w:r>
        <w:rPr>
          <w:rFonts w:eastAsia="Times New Roman"/>
          <w:color w:val="000000"/>
          <w:sz w:val="18"/>
          <w:szCs w:val="18"/>
        </w:rPr>
        <w:t>(1)Transfers into/out of the Level 3 classification are reflected at beginning-of-period fair values.</w:t>
      </w:r>
    </w:p>
    <w:p w:rsidR="00000000" w:rsidRDefault="005B0BC3">
      <w:pPr>
        <w:ind w:hanging="360"/>
        <w:divId w:val="413089957"/>
        <w:rPr>
          <w:rFonts w:eastAsia="Times New Roman"/>
        </w:rPr>
      </w:pPr>
      <w:r>
        <w:rPr>
          <w:rFonts w:eastAsia="Times New Roman"/>
          <w:color w:val="000000"/>
          <w:sz w:val="18"/>
          <w:szCs w:val="18"/>
        </w:rPr>
        <w:t>(2)For instruments held as of December 31, 2021 or December 31, 2020, amounts are included in net investment income or net derivative gains (losses)</w:t>
      </w:r>
      <w:r>
        <w:rPr>
          <w:rFonts w:eastAsia="Times New Roman"/>
          <w:color w:val="000000"/>
          <w:sz w:val="18"/>
          <w:szCs w:val="18"/>
        </w:rPr>
        <w:t xml:space="preserve"> in the consolidated statements of income (loss) or unrealized gains (losses) on investments in the consolidated statements of comprehensive income. </w:t>
      </w:r>
    </w:p>
    <w:tbl>
      <w:tblPr>
        <w:tblW w:w="5000" w:type="pct"/>
        <w:tblCellMar>
          <w:top w:w="15" w:type="dxa"/>
          <w:left w:w="15" w:type="dxa"/>
          <w:bottom w:w="15" w:type="dxa"/>
          <w:right w:w="15" w:type="dxa"/>
        </w:tblCellMar>
        <w:tblLook w:val="04A0" w:firstRow="1" w:lastRow="0" w:firstColumn="1" w:lastColumn="0" w:noHBand="0" w:noVBand="1"/>
      </w:tblPr>
      <w:tblGrid>
        <w:gridCol w:w="40"/>
        <w:gridCol w:w="2357"/>
        <w:gridCol w:w="39"/>
        <w:gridCol w:w="121"/>
        <w:gridCol w:w="770"/>
        <w:gridCol w:w="36"/>
        <w:gridCol w:w="36"/>
        <w:gridCol w:w="36"/>
        <w:gridCol w:w="36"/>
        <w:gridCol w:w="121"/>
        <w:gridCol w:w="793"/>
        <w:gridCol w:w="36"/>
        <w:gridCol w:w="36"/>
        <w:gridCol w:w="36"/>
        <w:gridCol w:w="36"/>
        <w:gridCol w:w="121"/>
        <w:gridCol w:w="693"/>
        <w:gridCol w:w="36"/>
        <w:gridCol w:w="36"/>
        <w:gridCol w:w="36"/>
        <w:gridCol w:w="36"/>
        <w:gridCol w:w="121"/>
        <w:gridCol w:w="589"/>
        <w:gridCol w:w="36"/>
        <w:gridCol w:w="36"/>
        <w:gridCol w:w="36"/>
        <w:gridCol w:w="36"/>
        <w:gridCol w:w="120"/>
        <w:gridCol w:w="684"/>
        <w:gridCol w:w="36"/>
        <w:gridCol w:w="36"/>
        <w:gridCol w:w="36"/>
        <w:gridCol w:w="36"/>
        <w:gridCol w:w="121"/>
        <w:gridCol w:w="860"/>
        <w:gridCol w:w="36"/>
      </w:tblGrid>
      <w:tr w:rsidR="00000000">
        <w:trPr>
          <w:divId w:val="1035930780"/>
        </w:trPr>
        <w:tc>
          <w:tcPr>
            <w:tcW w:w="50" w:type="pct"/>
            <w:vAlign w:val="center"/>
            <w:hideMark/>
          </w:tcPr>
          <w:p w:rsidR="00000000" w:rsidRDefault="005B0BC3">
            <w:pPr>
              <w:ind w:hanging="360"/>
              <w:rPr>
                <w:rFonts w:eastAsia="Times New Roman"/>
              </w:rPr>
            </w:pPr>
          </w:p>
        </w:tc>
        <w:tc>
          <w:tcPr>
            <w:tcW w:w="197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0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9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7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4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035930780"/>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Other Equity Investments (9)</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 xml:space="preserve">GMIB Reinsurance </w:t>
            </w:r>
            <w:r>
              <w:rPr>
                <w:rFonts w:eastAsia="Times New Roman"/>
                <w:b/>
                <w:bCs/>
                <w:color w:val="000000"/>
                <w:sz w:val="16"/>
                <w:szCs w:val="16"/>
              </w:rPr>
              <w:br/>
              <w:t> </w:t>
            </w:r>
            <w:r>
              <w:rPr>
                <w:rFonts w:eastAsia="Times New Roman"/>
                <w:b/>
                <w:bCs/>
                <w:color w:val="000000"/>
                <w:sz w:val="16"/>
                <w:szCs w:val="16"/>
              </w:rPr>
              <w:t>Contract Asset</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Amounts Due from Reinsurers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Separate Accounts Assets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 xml:space="preserve">GMxB Derivative Features Liability </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Contingent Payment Arrangement</w:t>
            </w:r>
          </w:p>
        </w:tc>
      </w:tr>
      <w:tr w:rsidR="00000000">
        <w:trPr>
          <w:divId w:val="1035930780"/>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1035930780"/>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Balance, January 1, 2021</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2,488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(11,131)</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(28)</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035930780"/>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divId w:val="217909967"/>
              <w:rPr>
                <w:rFonts w:eastAsia="Times New Roman"/>
              </w:rPr>
            </w:pPr>
            <w:r>
              <w:rPr>
                <w:rFonts w:eastAsia="Times New Roman"/>
                <w:color w:val="000000"/>
                <w:sz w:val="20"/>
                <w:szCs w:val="20"/>
              </w:rPr>
              <w:t>Realized and unrealized gains (losses), included in Net income (loss) as:</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035930780"/>
        </w:trPr>
        <w:tc>
          <w:tcPr>
            <w:tcW w:w="0" w:type="auto"/>
            <w:gridSpan w:val="3"/>
            <w:shd w:val="clear" w:color="auto" w:fill="CCEE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Investment gains (losses), reported in net investment income</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035930780"/>
        </w:trPr>
        <w:tc>
          <w:tcPr>
            <w:tcW w:w="0" w:type="auto"/>
            <w:gridSpan w:val="3"/>
            <w:shd w:val="clear" w:color="auto" w:fill="FFFFFF"/>
            <w:tcMar>
              <w:top w:w="30" w:type="dxa"/>
              <w:left w:w="38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Net derivative gains (losses) (1) (6)</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(625)</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2,841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035930780"/>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divId w:val="818378665"/>
              <w:rPr>
                <w:rFonts w:eastAsia="Times New Roman"/>
              </w:rPr>
            </w:pPr>
            <w:r>
              <w:rPr>
                <w:rFonts w:eastAsia="Times New Roman"/>
                <w:color w:val="000000"/>
                <w:sz w:val="20"/>
                <w:szCs w:val="20"/>
              </w:rPr>
              <w:t>Total realized and unrealized gains (losses)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(625)</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517</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2,841</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035930780"/>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divId w:val="1213924721"/>
              <w:rPr>
                <w:rFonts w:eastAsia="Times New Roman"/>
              </w:rPr>
            </w:pPr>
            <w:r>
              <w:rPr>
                <w:rFonts w:eastAsia="Times New Roman"/>
                <w:color w:val="000000"/>
                <w:sz w:val="20"/>
                <w:szCs w:val="20"/>
              </w:rPr>
              <w:t>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jc w:val="center"/>
        <w:divId w:val="1492214562"/>
        <w:rPr>
          <w:rFonts w:eastAsia="Times New Roman"/>
        </w:rPr>
      </w:pPr>
      <w:r>
        <w:rPr>
          <w:rFonts w:eastAsia="Times New Roman"/>
          <w:color w:val="000000"/>
          <w:sz w:val="20"/>
          <w:szCs w:val="20"/>
        </w:rPr>
        <w:t>185</w:t>
      </w:r>
    </w:p>
    <w:p w:rsidR="00000000" w:rsidRDefault="005B0BC3">
      <w:pPr>
        <w:rPr>
          <w:rFonts w:eastAsia="Times New Roman"/>
        </w:rPr>
      </w:pPr>
      <w:r>
        <w:rPr>
          <w:rFonts w:eastAsia="Times New Roman"/>
        </w:rPr>
        <w:pict>
          <v:rect id="_x0000_i1223" style="width:0;height:1.5pt" o:hralign="center" o:hrstd="t" o:hr="t" fillcolor="#a0a0a0" stroked="f"/>
        </w:pict>
      </w:r>
    </w:p>
    <w:p w:rsidR="00000000" w:rsidRDefault="005B0BC3">
      <w:pPr>
        <w:jc w:val="center"/>
        <w:divId w:val="837962282"/>
        <w:rPr>
          <w:rFonts w:eastAsia="Times New Roman"/>
        </w:rPr>
      </w:pPr>
      <w:r>
        <w:rPr>
          <w:rFonts w:eastAsia="Times New Roman"/>
          <w:b/>
          <w:bCs/>
          <w:color w:val="000000"/>
          <w:sz w:val="20"/>
          <w:szCs w:val="20"/>
        </w:rPr>
        <w:t>EQUITABLE HOLDINGS, INC.</w:t>
      </w:r>
    </w:p>
    <w:p w:rsidR="00000000" w:rsidRDefault="005B0BC3">
      <w:pPr>
        <w:jc w:val="center"/>
        <w:divId w:val="837962282"/>
        <w:rPr>
          <w:rFonts w:eastAsia="Times New Roman"/>
        </w:rPr>
      </w:pPr>
      <w:r>
        <w:rPr>
          <w:rFonts w:eastAsia="Times New Roman"/>
          <w:b/>
          <w:bCs/>
          <w:color w:val="000000"/>
          <w:sz w:val="20"/>
          <w:szCs w:val="20"/>
        </w:rPr>
        <w:t>NOTES TO CONSOLIDATED FINANCIAL STATEMENTS, continued</w:t>
      </w:r>
    </w:p>
    <w:tbl>
      <w:tblPr>
        <w:tblW w:w="5000" w:type="pct"/>
        <w:tblCellMar>
          <w:top w:w="15" w:type="dxa"/>
          <w:left w:w="15" w:type="dxa"/>
          <w:bottom w:w="15" w:type="dxa"/>
          <w:right w:w="15" w:type="dxa"/>
        </w:tblCellMar>
        <w:tblLook w:val="04A0" w:firstRow="1" w:lastRow="0" w:firstColumn="1" w:lastColumn="0" w:noHBand="0" w:noVBand="1"/>
      </w:tblPr>
      <w:tblGrid>
        <w:gridCol w:w="42"/>
        <w:gridCol w:w="2353"/>
        <w:gridCol w:w="41"/>
        <w:gridCol w:w="121"/>
        <w:gridCol w:w="770"/>
        <w:gridCol w:w="36"/>
        <w:gridCol w:w="36"/>
        <w:gridCol w:w="36"/>
        <w:gridCol w:w="36"/>
        <w:gridCol w:w="121"/>
        <w:gridCol w:w="793"/>
        <w:gridCol w:w="36"/>
        <w:gridCol w:w="36"/>
        <w:gridCol w:w="36"/>
        <w:gridCol w:w="36"/>
        <w:gridCol w:w="121"/>
        <w:gridCol w:w="693"/>
        <w:gridCol w:w="36"/>
        <w:gridCol w:w="36"/>
        <w:gridCol w:w="36"/>
        <w:gridCol w:w="36"/>
        <w:gridCol w:w="121"/>
        <w:gridCol w:w="589"/>
        <w:gridCol w:w="36"/>
        <w:gridCol w:w="36"/>
        <w:gridCol w:w="36"/>
        <w:gridCol w:w="36"/>
        <w:gridCol w:w="120"/>
        <w:gridCol w:w="684"/>
        <w:gridCol w:w="36"/>
        <w:gridCol w:w="36"/>
        <w:gridCol w:w="36"/>
        <w:gridCol w:w="36"/>
        <w:gridCol w:w="121"/>
        <w:gridCol w:w="860"/>
        <w:gridCol w:w="36"/>
      </w:tblGrid>
      <w:tr w:rsidR="00000000">
        <w:trPr>
          <w:divId w:val="1938514946"/>
        </w:trPr>
        <w:tc>
          <w:tcPr>
            <w:tcW w:w="50" w:type="pct"/>
            <w:vAlign w:val="center"/>
            <w:hideMark/>
          </w:tcPr>
          <w:p w:rsidR="00000000" w:rsidRDefault="005B0BC3">
            <w:pPr>
              <w:jc w:val="center"/>
              <w:rPr>
                <w:rFonts w:eastAsia="Times New Roman"/>
              </w:rPr>
            </w:pPr>
          </w:p>
        </w:tc>
        <w:tc>
          <w:tcPr>
            <w:tcW w:w="197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0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9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7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4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938514946"/>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Other Equity Investments (9)</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 xml:space="preserve">GMIB Reinsurance </w:t>
            </w:r>
            <w:r>
              <w:rPr>
                <w:rFonts w:eastAsia="Times New Roman"/>
                <w:b/>
                <w:bCs/>
                <w:color w:val="000000"/>
                <w:sz w:val="16"/>
                <w:szCs w:val="16"/>
              </w:rPr>
              <w:br/>
              <w:t> Contract Asset</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Amounts Due from Reinsurers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Separate Accounts Assets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 xml:space="preserve">GMxB Derivative Features Liability </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Contingent Payment Arrangement</w:t>
            </w:r>
          </w:p>
        </w:tc>
      </w:tr>
      <w:tr w:rsidR="00000000">
        <w:trPr>
          <w:divId w:val="1938514946"/>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1938514946"/>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divId w:val="1220897791"/>
              <w:rPr>
                <w:rFonts w:eastAsia="Times New Roman"/>
              </w:rPr>
            </w:pPr>
            <w:r>
              <w:rPr>
                <w:rFonts w:eastAsia="Times New Roman"/>
                <w:color w:val="000000"/>
                <w:sz w:val="20"/>
                <w:szCs w:val="20"/>
              </w:rPr>
              <w:t>Purchases (2)</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(463)</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938514946"/>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divId w:val="803085150"/>
              <w:rPr>
                <w:rFonts w:eastAsia="Times New Roman"/>
              </w:rPr>
            </w:pPr>
            <w:r>
              <w:rPr>
                <w:rFonts w:eastAsia="Times New Roman"/>
                <w:color w:val="000000"/>
                <w:sz w:val="20"/>
                <w:szCs w:val="20"/>
              </w:rPr>
              <w:t>Sales (3)</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(92)</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(58)</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(35)</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938514946"/>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Settlements (4)</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938514946"/>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Other (7)</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5,259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938514946"/>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Activity related to consolidated VIEs/VOEs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938514946"/>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divId w:val="1904410813"/>
              <w:rPr>
                <w:rFonts w:eastAsia="Times New Roman"/>
              </w:rPr>
            </w:pPr>
            <w:r>
              <w:rPr>
                <w:rFonts w:eastAsia="Times New Roman"/>
                <w:color w:val="000000"/>
                <w:sz w:val="20"/>
                <w:szCs w:val="20"/>
              </w:rPr>
              <w:t>Transfers into Level 3 (5)</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938514946"/>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divId w:val="1841432480"/>
              <w:rPr>
                <w:rFonts w:eastAsia="Times New Roman"/>
              </w:rPr>
            </w:pPr>
            <w:r>
              <w:rPr>
                <w:rFonts w:eastAsia="Times New Roman"/>
                <w:color w:val="000000"/>
                <w:sz w:val="20"/>
                <w:szCs w:val="20"/>
              </w:rPr>
              <w:t>Transfers out of Level 3 (5)</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938514946"/>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Balance, December 31, 2021</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1,848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5,815</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(8,525)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938514946"/>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Change in unrealized gains or losses for the period included in earnings for instruments held at the end of the reporting period (8)</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(625)</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517</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2,841</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938514946"/>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Change in unrealized gains or losses for the period included in other comprehensive income for instruments held at the end of the reporting period (8)</w:t>
            </w: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938514946"/>
          <w:trHeight w:val="280"/>
        </w:trPr>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938514946"/>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Balance, January 1, 2020</w:t>
            </w: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2,139 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(8,502)</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(23)</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938514946"/>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Realized and unrealized gains (losses), included in Net income (loss) as: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938514946"/>
        </w:trPr>
        <w:tc>
          <w:tcPr>
            <w:tcW w:w="0" w:type="auto"/>
            <w:gridSpan w:val="3"/>
            <w:shd w:val="clear" w:color="auto" w:fill="FFFF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Investment gains (losses), reported in net investment income</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938514946"/>
        </w:trPr>
        <w:tc>
          <w:tcPr>
            <w:tcW w:w="0" w:type="auto"/>
            <w:gridSpan w:val="3"/>
            <w:shd w:val="clear" w:color="auto" w:fill="CCEEFF"/>
            <w:tcMar>
              <w:top w:w="30" w:type="dxa"/>
              <w:left w:w="38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Net derivative gains (losses)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417 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(2,253)</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938514946"/>
        </w:trPr>
        <w:tc>
          <w:tcPr>
            <w:tcW w:w="0" w:type="auto"/>
            <w:gridSpan w:val="3"/>
            <w:shd w:val="clear" w:color="auto" w:fill="FFFFFF"/>
            <w:tcMar>
              <w:top w:w="30" w:type="dxa"/>
              <w:left w:w="60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realized and unrealized gains (losses)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417 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(2,253)</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938514946"/>
        </w:trPr>
        <w:tc>
          <w:tcPr>
            <w:tcW w:w="0" w:type="auto"/>
            <w:gridSpan w:val="3"/>
            <w:shd w:val="clear" w:color="auto" w:fill="CCEEFF"/>
            <w:tcMar>
              <w:top w:w="30" w:type="dxa"/>
              <w:left w:w="380" w:type="dxa"/>
              <w:bottom w:w="30" w:type="dxa"/>
              <w:right w:w="20" w:type="dxa"/>
            </w:tcMar>
            <w:hideMark/>
          </w:tcPr>
          <w:p w:rsidR="00000000" w:rsidRDefault="005B0BC3">
            <w:pPr>
              <w:spacing w:after="100"/>
              <w:rPr>
                <w:rFonts w:eastAsia="Times New Roman"/>
              </w:rPr>
            </w:pPr>
            <w:r>
              <w:rPr>
                <w:rFonts w:eastAsia="Times New Roman"/>
                <w:color w:val="000000"/>
                <w:sz w:val="20"/>
                <w:szCs w:val="20"/>
              </w:rPr>
              <w:t>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938514946"/>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Purchases (2)</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(451)</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938514946"/>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Sales (3)</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(26)</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(79)</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938514946"/>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Settlements (4)</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938514946"/>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Change in estimate</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(32)</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938514946"/>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Activity related to consolidated VIEs/VOEs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938514946"/>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Transfers into Level 3 (5)</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938514946"/>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Transfers out of Level 3 (5)</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938514946"/>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Balance, December 31, 2020</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2,488 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(11,131)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938514946"/>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Change in unrealized gains or losses for the period included in earnings for instruments held at the end of the reporting period (8)</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417 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74 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(2,253)</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jc w:val="center"/>
        <w:divId w:val="1055356707"/>
        <w:rPr>
          <w:rFonts w:eastAsia="Times New Roman"/>
        </w:rPr>
      </w:pPr>
      <w:r>
        <w:rPr>
          <w:rFonts w:eastAsia="Times New Roman"/>
          <w:color w:val="000000"/>
          <w:sz w:val="20"/>
          <w:szCs w:val="20"/>
        </w:rPr>
        <w:t>186</w:t>
      </w:r>
    </w:p>
    <w:p w:rsidR="00000000" w:rsidRDefault="005B0BC3">
      <w:pPr>
        <w:rPr>
          <w:rFonts w:eastAsia="Times New Roman"/>
        </w:rPr>
      </w:pPr>
      <w:r>
        <w:rPr>
          <w:rFonts w:eastAsia="Times New Roman"/>
        </w:rPr>
        <w:pict>
          <v:rect id="_x0000_i1224" style="width:0;height:1.5pt" o:hralign="center" o:hrstd="t" o:hr="t" fillcolor="#a0a0a0" stroked="f"/>
        </w:pict>
      </w:r>
    </w:p>
    <w:p w:rsidR="00000000" w:rsidRDefault="005B0BC3">
      <w:pPr>
        <w:jc w:val="center"/>
        <w:divId w:val="1461461846"/>
        <w:rPr>
          <w:rFonts w:eastAsia="Times New Roman"/>
        </w:rPr>
      </w:pPr>
      <w:r>
        <w:rPr>
          <w:rFonts w:eastAsia="Times New Roman"/>
          <w:b/>
          <w:bCs/>
          <w:color w:val="000000"/>
          <w:sz w:val="20"/>
          <w:szCs w:val="20"/>
        </w:rPr>
        <w:t>EQUITABLE HOLDINGS, INC.</w:t>
      </w:r>
    </w:p>
    <w:p w:rsidR="00000000" w:rsidRDefault="005B0BC3">
      <w:pPr>
        <w:jc w:val="center"/>
        <w:divId w:val="1461461846"/>
        <w:rPr>
          <w:rFonts w:eastAsia="Times New Roman"/>
        </w:rPr>
      </w:pPr>
      <w:r>
        <w:rPr>
          <w:rFonts w:eastAsia="Times New Roman"/>
          <w:b/>
          <w:bCs/>
          <w:color w:val="000000"/>
          <w:sz w:val="20"/>
          <w:szCs w:val="20"/>
        </w:rPr>
        <w:t>NOTES TO CONSOLIDATED FINANCIAL STATEMENTS, continued</w:t>
      </w:r>
    </w:p>
    <w:tbl>
      <w:tblPr>
        <w:tblW w:w="5000" w:type="pct"/>
        <w:tblCellMar>
          <w:top w:w="15" w:type="dxa"/>
          <w:left w:w="15" w:type="dxa"/>
          <w:bottom w:w="15" w:type="dxa"/>
          <w:right w:w="15" w:type="dxa"/>
        </w:tblCellMar>
        <w:tblLook w:val="04A0" w:firstRow="1" w:lastRow="0" w:firstColumn="1" w:lastColumn="0" w:noHBand="0" w:noVBand="1"/>
      </w:tblPr>
      <w:tblGrid>
        <w:gridCol w:w="38"/>
        <w:gridCol w:w="2389"/>
        <w:gridCol w:w="37"/>
        <w:gridCol w:w="121"/>
        <w:gridCol w:w="770"/>
        <w:gridCol w:w="36"/>
        <w:gridCol w:w="36"/>
        <w:gridCol w:w="36"/>
        <w:gridCol w:w="36"/>
        <w:gridCol w:w="121"/>
        <w:gridCol w:w="793"/>
        <w:gridCol w:w="36"/>
        <w:gridCol w:w="36"/>
        <w:gridCol w:w="36"/>
        <w:gridCol w:w="36"/>
        <w:gridCol w:w="121"/>
        <w:gridCol w:w="693"/>
        <w:gridCol w:w="36"/>
        <w:gridCol w:w="36"/>
        <w:gridCol w:w="36"/>
        <w:gridCol w:w="36"/>
        <w:gridCol w:w="121"/>
        <w:gridCol w:w="589"/>
        <w:gridCol w:w="36"/>
        <w:gridCol w:w="36"/>
        <w:gridCol w:w="36"/>
        <w:gridCol w:w="36"/>
        <w:gridCol w:w="121"/>
        <w:gridCol w:w="655"/>
        <w:gridCol w:w="36"/>
        <w:gridCol w:w="36"/>
        <w:gridCol w:w="36"/>
        <w:gridCol w:w="36"/>
        <w:gridCol w:w="121"/>
        <w:gridCol w:w="860"/>
        <w:gridCol w:w="36"/>
      </w:tblGrid>
      <w:tr w:rsidR="00000000">
        <w:trPr>
          <w:divId w:val="2095667956"/>
        </w:trPr>
        <w:tc>
          <w:tcPr>
            <w:tcW w:w="50" w:type="pct"/>
            <w:vAlign w:val="center"/>
            <w:hideMark/>
          </w:tcPr>
          <w:p w:rsidR="00000000" w:rsidRDefault="005B0BC3">
            <w:pPr>
              <w:jc w:val="center"/>
              <w:rPr>
                <w:rFonts w:eastAsia="Times New Roman"/>
              </w:rPr>
            </w:pPr>
          </w:p>
        </w:tc>
        <w:tc>
          <w:tcPr>
            <w:tcW w:w="197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0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9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7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4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2095667956"/>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Other Equity Investments (9)</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 xml:space="preserve">GMIB Reinsurance </w:t>
            </w:r>
            <w:r>
              <w:rPr>
                <w:rFonts w:eastAsia="Times New Roman"/>
                <w:b/>
                <w:bCs/>
                <w:color w:val="000000"/>
                <w:sz w:val="16"/>
                <w:szCs w:val="16"/>
              </w:rPr>
              <w:br/>
              <w:t> Contract Asset</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Amounts Due from Reinsurers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Separate Accounts Assets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 xml:space="preserve">GMxB Derivative Features Liability </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Contingent Payment Arrangement</w:t>
            </w:r>
          </w:p>
        </w:tc>
      </w:tr>
      <w:tr w:rsidR="00000000">
        <w:trPr>
          <w:divId w:val="2095667956"/>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2095667956"/>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Change in unrealized gains or losses for the period included in other comprehensive income for instruments held at the end of the reporting period (8)</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095667956"/>
          <w:trHeight w:val="280"/>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2095667956"/>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Balance, January 1, 2019</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1,733 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(5,674)</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095667956"/>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gains (losses), realized and unrealized, included in:</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2095667956"/>
        </w:trPr>
        <w:tc>
          <w:tcPr>
            <w:tcW w:w="0" w:type="auto"/>
            <w:gridSpan w:val="3"/>
            <w:shd w:val="clear" w:color="auto" w:fill="CCEE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Realized and unrealized gains (losses), included in Net income (loss) as:</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095667956"/>
        </w:trPr>
        <w:tc>
          <w:tcPr>
            <w:tcW w:w="0" w:type="auto"/>
            <w:gridSpan w:val="3"/>
            <w:shd w:val="clear" w:color="auto" w:fill="FFFFFF"/>
            <w:tcMar>
              <w:top w:w="30" w:type="dxa"/>
              <w:left w:w="38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Investment gains (losses), net</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095667956"/>
        </w:trPr>
        <w:tc>
          <w:tcPr>
            <w:tcW w:w="0" w:type="auto"/>
            <w:gridSpan w:val="3"/>
            <w:shd w:val="clear" w:color="auto" w:fill="CCEEFF"/>
            <w:tcMar>
              <w:top w:w="30" w:type="dxa"/>
              <w:left w:w="60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xml:space="preserve">Net derivative gains (losses) </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433 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(2,442)</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095667956"/>
        </w:trPr>
        <w:tc>
          <w:tcPr>
            <w:tcW w:w="0" w:type="auto"/>
            <w:gridSpan w:val="3"/>
            <w:shd w:val="clear" w:color="auto" w:fill="FFFFFF"/>
            <w:tcMar>
              <w:top w:w="30" w:type="dxa"/>
              <w:left w:w="38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Non-performance risk (1)</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095667956"/>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Total realized and unrealized gains (losses)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433 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(2,442)</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095667956"/>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095667956"/>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Purchases (2)</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(427)</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095667956"/>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Sales (3)</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(72)</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095667956"/>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Settlements (4)</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095667956"/>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Change in estimate</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095667956"/>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Activity related to consolidated VIEs/VOEs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095667956"/>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Transfers into Level 3 (6)</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095667956"/>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Transfers out of Level 3 (6)</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(18)</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095667956"/>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Balance, December 31, 2019</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2,139 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(8,502)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095667956"/>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Change in unrealized gains or losses for the period included in earnings for instruments held at the end of the reporting period (8)</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433 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(2,442)</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095667956"/>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Change in unrealized gains or losses for the period included in other comprehensive income for instruments held at the end of the reporting period (8)</w:t>
            </w: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ind w:hanging="360"/>
        <w:divId w:val="1912540915"/>
        <w:rPr>
          <w:rFonts w:eastAsia="Times New Roman"/>
        </w:rPr>
      </w:pPr>
      <w:r>
        <w:rPr>
          <w:rFonts w:eastAsia="Times New Roman"/>
          <w:color w:val="000000"/>
          <w:sz w:val="18"/>
          <w:szCs w:val="18"/>
        </w:rPr>
        <w:t>______________</w:t>
      </w:r>
    </w:p>
    <w:p w:rsidR="00000000" w:rsidRDefault="005B0BC3">
      <w:pPr>
        <w:ind w:hanging="360"/>
        <w:divId w:val="276916305"/>
        <w:rPr>
          <w:rFonts w:eastAsia="Times New Roman"/>
        </w:rPr>
      </w:pPr>
      <w:r>
        <w:rPr>
          <w:rFonts w:eastAsia="Times New Roman"/>
          <w:color w:val="000000"/>
          <w:sz w:val="18"/>
          <w:szCs w:val="18"/>
        </w:rPr>
        <w:t xml:space="preserve">(1)For the </w:t>
      </w:r>
      <w:r>
        <w:rPr>
          <w:rFonts w:eastAsia="Times New Roman"/>
          <w:color w:val="000000"/>
          <w:sz w:val="20"/>
          <w:szCs w:val="20"/>
        </w:rPr>
        <w:t>years ended December 31, 2021 and 2020</w:t>
      </w:r>
      <w:r>
        <w:rPr>
          <w:rFonts w:eastAsia="Times New Roman"/>
          <w:color w:val="000000"/>
          <w:sz w:val="18"/>
          <w:szCs w:val="18"/>
        </w:rPr>
        <w:t>, the Company’s non-performance risk impact of $213 million and $(764) million for the GMxB Derivative Features Liability, $(23) million and $7 million for the GMIB Reinsurance Contract Asset, and $(19) million and $0 </w:t>
      </w:r>
      <w:r>
        <w:rPr>
          <w:rFonts w:eastAsia="Times New Roman"/>
          <w:color w:val="000000"/>
          <w:sz w:val="18"/>
          <w:szCs w:val="18"/>
        </w:rPr>
        <w:t xml:space="preserve">million for the Amounts Due from Reinsurers, respectively, is recorded through Net derivative gains (losses). </w:t>
      </w:r>
    </w:p>
    <w:p w:rsidR="00000000" w:rsidRDefault="005B0BC3">
      <w:pPr>
        <w:ind w:hanging="360"/>
        <w:divId w:val="126748992"/>
        <w:rPr>
          <w:rFonts w:eastAsia="Times New Roman"/>
        </w:rPr>
      </w:pPr>
      <w:r>
        <w:rPr>
          <w:rFonts w:eastAsia="Times New Roman"/>
          <w:color w:val="000000"/>
          <w:sz w:val="18"/>
          <w:szCs w:val="18"/>
        </w:rPr>
        <w:t>(2)For the GMIB reinsurance contract asset, Amounts Due from Reinsurers and GMxB derivative features liability, represents attributed fee.</w:t>
      </w:r>
    </w:p>
    <w:p w:rsidR="00000000" w:rsidRDefault="005B0BC3">
      <w:pPr>
        <w:ind w:hanging="360"/>
        <w:divId w:val="1516184962"/>
        <w:rPr>
          <w:rFonts w:eastAsia="Times New Roman"/>
        </w:rPr>
      </w:pPr>
      <w:r>
        <w:rPr>
          <w:rFonts w:eastAsia="Times New Roman"/>
          <w:color w:val="000000"/>
          <w:sz w:val="18"/>
          <w:szCs w:val="18"/>
        </w:rPr>
        <w:t>(3)For</w:t>
      </w:r>
      <w:r>
        <w:rPr>
          <w:rFonts w:eastAsia="Times New Roman"/>
          <w:color w:val="000000"/>
          <w:sz w:val="18"/>
          <w:szCs w:val="18"/>
        </w:rPr>
        <w:t xml:space="preserve"> the GMIB reinsurance contract asset and Amounts Due from Reinsurers, represents recoveries from reinsurers and for GMxB derivative features liability represents benefits paid.</w:t>
      </w:r>
    </w:p>
    <w:p w:rsidR="00000000" w:rsidRDefault="005B0BC3">
      <w:pPr>
        <w:ind w:hanging="360"/>
        <w:divId w:val="171604725"/>
        <w:rPr>
          <w:rFonts w:eastAsia="Times New Roman"/>
        </w:rPr>
      </w:pPr>
      <w:r>
        <w:rPr>
          <w:rFonts w:eastAsia="Times New Roman"/>
          <w:color w:val="000000"/>
          <w:sz w:val="18"/>
          <w:szCs w:val="18"/>
        </w:rPr>
        <w:t>(4)For contingent payment arrangements, it represents payments under the arrang</w:t>
      </w:r>
      <w:r>
        <w:rPr>
          <w:rFonts w:eastAsia="Times New Roman"/>
          <w:color w:val="000000"/>
          <w:sz w:val="18"/>
          <w:szCs w:val="18"/>
        </w:rPr>
        <w:t>ement.</w:t>
      </w:r>
    </w:p>
    <w:p w:rsidR="00000000" w:rsidRDefault="005B0BC3">
      <w:pPr>
        <w:ind w:hanging="360"/>
        <w:divId w:val="1028875109"/>
        <w:rPr>
          <w:rFonts w:eastAsia="Times New Roman"/>
        </w:rPr>
      </w:pPr>
      <w:r>
        <w:rPr>
          <w:rFonts w:eastAsia="Times New Roman"/>
          <w:color w:val="000000"/>
          <w:sz w:val="18"/>
          <w:szCs w:val="18"/>
        </w:rPr>
        <w:t>(5)Transfers into/out of the Level 3 classification are reflected at beginning-of-period fair values.</w:t>
      </w:r>
    </w:p>
    <w:p w:rsidR="00000000" w:rsidRDefault="005B0BC3">
      <w:pPr>
        <w:ind w:hanging="360"/>
        <w:divId w:val="1223519179"/>
        <w:rPr>
          <w:rFonts w:eastAsia="Times New Roman"/>
        </w:rPr>
      </w:pPr>
      <w:r>
        <w:rPr>
          <w:rFonts w:eastAsia="Times New Roman"/>
          <w:color w:val="000000"/>
          <w:sz w:val="18"/>
          <w:szCs w:val="18"/>
        </w:rPr>
        <w:t xml:space="preserve">(6)GMxB Derivative Features Liability excludes a $45 million settlement fee on CS Life reinsurance contract. </w:t>
      </w:r>
    </w:p>
    <w:p w:rsidR="00000000" w:rsidRDefault="005B0BC3">
      <w:pPr>
        <w:ind w:hanging="360"/>
        <w:divId w:val="1946839854"/>
        <w:rPr>
          <w:rFonts w:eastAsia="Times New Roman"/>
        </w:rPr>
      </w:pPr>
      <w:r>
        <w:rPr>
          <w:rFonts w:eastAsia="Times New Roman"/>
          <w:color w:val="000000"/>
          <w:sz w:val="18"/>
          <w:szCs w:val="18"/>
        </w:rPr>
        <w:t>(7)Represents the opening ceded balan</w:t>
      </w:r>
      <w:r>
        <w:rPr>
          <w:rFonts w:eastAsia="Times New Roman"/>
          <w:color w:val="000000"/>
          <w:sz w:val="18"/>
          <w:szCs w:val="18"/>
        </w:rPr>
        <w:t>ce from the Venerable Transaction of the GMxB with no lapse guarantee riders.</w:t>
      </w:r>
    </w:p>
    <w:p w:rsidR="00000000" w:rsidRDefault="005B0BC3">
      <w:pPr>
        <w:ind w:hanging="360"/>
        <w:divId w:val="1594317829"/>
        <w:rPr>
          <w:rFonts w:eastAsia="Times New Roman"/>
        </w:rPr>
      </w:pPr>
      <w:r>
        <w:rPr>
          <w:rFonts w:eastAsia="Times New Roman"/>
          <w:color w:val="000000"/>
          <w:sz w:val="18"/>
          <w:szCs w:val="18"/>
        </w:rPr>
        <w:t>(8)For instruments held as of December 31, 2021, December 31, 2020 and December 31, 2019, amounts are included in net investment income or net derivative gains (losses) in the co</w:t>
      </w:r>
      <w:r>
        <w:rPr>
          <w:rFonts w:eastAsia="Times New Roman"/>
          <w:color w:val="000000"/>
          <w:sz w:val="18"/>
          <w:szCs w:val="18"/>
        </w:rPr>
        <w:t xml:space="preserve">nsolidated statements of income (loss) or unrealized gains (losses) on investments in the consolidated statements of comprehensive income. </w:t>
      </w:r>
    </w:p>
    <w:p w:rsidR="00000000" w:rsidRDefault="005B0BC3">
      <w:pPr>
        <w:ind w:hanging="360"/>
        <w:divId w:val="1202938268"/>
        <w:rPr>
          <w:rFonts w:eastAsia="Times New Roman"/>
        </w:rPr>
      </w:pPr>
      <w:r>
        <w:rPr>
          <w:rFonts w:eastAsia="Times New Roman"/>
          <w:color w:val="000000"/>
          <w:sz w:val="18"/>
          <w:szCs w:val="18"/>
        </w:rPr>
        <w:t xml:space="preserve">(9)Other Equity Investments include other invested assets. </w:t>
      </w:r>
    </w:p>
    <w:p w:rsidR="00000000" w:rsidRDefault="005B0BC3">
      <w:pPr>
        <w:jc w:val="center"/>
        <w:divId w:val="1130056960"/>
        <w:rPr>
          <w:rFonts w:eastAsia="Times New Roman"/>
        </w:rPr>
      </w:pPr>
      <w:r>
        <w:rPr>
          <w:rFonts w:eastAsia="Times New Roman"/>
          <w:color w:val="000000"/>
          <w:sz w:val="20"/>
          <w:szCs w:val="20"/>
        </w:rPr>
        <w:t>187</w:t>
      </w:r>
    </w:p>
    <w:p w:rsidR="00000000" w:rsidRDefault="005B0BC3">
      <w:pPr>
        <w:rPr>
          <w:rFonts w:eastAsia="Times New Roman"/>
        </w:rPr>
      </w:pPr>
      <w:r>
        <w:rPr>
          <w:rFonts w:eastAsia="Times New Roman"/>
        </w:rPr>
        <w:pict>
          <v:rect id="_x0000_i1225" style="width:0;height:1.5pt" o:hralign="center" o:hrstd="t" o:hr="t" fillcolor="#a0a0a0" stroked="f"/>
        </w:pict>
      </w:r>
    </w:p>
    <w:p w:rsidR="00000000" w:rsidRDefault="005B0BC3">
      <w:pPr>
        <w:jc w:val="center"/>
        <w:divId w:val="137309456"/>
        <w:rPr>
          <w:rFonts w:eastAsia="Times New Roman"/>
        </w:rPr>
      </w:pPr>
      <w:r>
        <w:rPr>
          <w:rFonts w:eastAsia="Times New Roman"/>
          <w:b/>
          <w:bCs/>
          <w:color w:val="000000"/>
          <w:sz w:val="20"/>
          <w:szCs w:val="20"/>
        </w:rPr>
        <w:t>EQUITABLE HOLDIN</w:t>
      </w:r>
      <w:r>
        <w:rPr>
          <w:rFonts w:eastAsia="Times New Roman"/>
          <w:b/>
          <w:bCs/>
          <w:color w:val="000000"/>
          <w:sz w:val="20"/>
          <w:szCs w:val="20"/>
        </w:rPr>
        <w:t>GS, INC.</w:t>
      </w:r>
    </w:p>
    <w:p w:rsidR="00000000" w:rsidRDefault="005B0BC3">
      <w:pPr>
        <w:jc w:val="center"/>
        <w:divId w:val="137309456"/>
        <w:rPr>
          <w:rFonts w:eastAsia="Times New Roman"/>
        </w:rPr>
      </w:pPr>
      <w:r>
        <w:rPr>
          <w:rFonts w:eastAsia="Times New Roman"/>
          <w:b/>
          <w:bCs/>
          <w:color w:val="000000"/>
          <w:sz w:val="20"/>
          <w:szCs w:val="20"/>
        </w:rPr>
        <w:t>NOTES TO CONSOLIDATED FINANCIAL STATEMENTS, continued</w:t>
      </w:r>
    </w:p>
    <w:p w:rsidR="00000000" w:rsidRDefault="005B0BC3">
      <w:pPr>
        <w:divId w:val="1152677319"/>
        <w:rPr>
          <w:rFonts w:eastAsia="Times New Roman"/>
        </w:rPr>
      </w:pPr>
      <w:r>
        <w:rPr>
          <w:rFonts w:eastAsia="Times New Roman"/>
          <w:color w:val="000000"/>
          <w:sz w:val="20"/>
          <w:szCs w:val="20"/>
          <w:u w:val="single"/>
        </w:rPr>
        <w:t>Quantitative and Qualitative Information about Level 3 Fair Value Measurements</w:t>
      </w:r>
    </w:p>
    <w:p w:rsidR="00000000" w:rsidRDefault="005B0BC3">
      <w:pPr>
        <w:divId w:val="2118133780"/>
        <w:rPr>
          <w:rFonts w:eastAsia="Times New Roman"/>
        </w:rPr>
      </w:pPr>
      <w:r>
        <w:rPr>
          <w:rFonts w:eastAsia="Times New Roman"/>
          <w:color w:val="000000"/>
          <w:sz w:val="20"/>
          <w:szCs w:val="20"/>
        </w:rPr>
        <w:t>The following tables disclose quantitative information about Level 3 fair value measurements by category for assets and liabilities as of December 31, 2021 and December 31, 2020, respectively.</w:t>
      </w:r>
    </w:p>
    <w:p w:rsidR="00000000" w:rsidRDefault="005B0BC3">
      <w:pPr>
        <w:jc w:val="center"/>
        <w:rPr>
          <w:rFonts w:eastAsia="Times New Roman"/>
        </w:rPr>
      </w:pPr>
      <w:r>
        <w:rPr>
          <w:rFonts w:eastAsia="Times New Roman"/>
          <w:b/>
          <w:bCs/>
          <w:color w:val="000000"/>
          <w:sz w:val="20"/>
          <w:szCs w:val="20"/>
        </w:rPr>
        <w:t xml:space="preserve">Quantitative Information about Level 3 Fair Value Measurements </w:t>
      </w:r>
      <w:r>
        <w:rPr>
          <w:rFonts w:eastAsia="Times New Roman"/>
          <w:b/>
          <w:bCs/>
          <w:color w:val="000000"/>
          <w:sz w:val="20"/>
          <w:szCs w:val="20"/>
        </w:rPr>
        <w:t>as of December 31, 2021</w:t>
      </w:r>
    </w:p>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1722"/>
        <w:gridCol w:w="36"/>
        <w:gridCol w:w="111"/>
        <w:gridCol w:w="396"/>
        <w:gridCol w:w="36"/>
        <w:gridCol w:w="36"/>
        <w:gridCol w:w="36"/>
        <w:gridCol w:w="36"/>
        <w:gridCol w:w="85"/>
        <w:gridCol w:w="833"/>
        <w:gridCol w:w="37"/>
        <w:gridCol w:w="36"/>
        <w:gridCol w:w="36"/>
        <w:gridCol w:w="36"/>
        <w:gridCol w:w="37"/>
        <w:gridCol w:w="2156"/>
        <w:gridCol w:w="36"/>
        <w:gridCol w:w="36"/>
        <w:gridCol w:w="36"/>
        <w:gridCol w:w="36"/>
        <w:gridCol w:w="45"/>
        <w:gridCol w:w="1021"/>
        <w:gridCol w:w="38"/>
        <w:gridCol w:w="36"/>
        <w:gridCol w:w="36"/>
        <w:gridCol w:w="36"/>
        <w:gridCol w:w="45"/>
        <w:gridCol w:w="1155"/>
        <w:gridCol w:w="36"/>
      </w:tblGrid>
      <w:tr w:rsidR="00000000">
        <w:trPr>
          <w:divId w:val="2083260335"/>
          <w:jc w:val="center"/>
        </w:trPr>
        <w:tc>
          <w:tcPr>
            <w:tcW w:w="50" w:type="pct"/>
            <w:vAlign w:val="center"/>
            <w:hideMark/>
          </w:tcPr>
          <w:p w:rsidR="00000000" w:rsidRDefault="005B0BC3">
            <w:pPr>
              <w:jc w:val="center"/>
              <w:rPr>
                <w:rFonts w:eastAsia="Times New Roman"/>
              </w:rPr>
            </w:pPr>
          </w:p>
        </w:tc>
        <w:tc>
          <w:tcPr>
            <w:tcW w:w="105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25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9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134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4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72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2083260335"/>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Fair</w:t>
            </w:r>
          </w:p>
          <w:p w:rsidR="00000000" w:rsidRDefault="005B0BC3">
            <w:pPr>
              <w:spacing w:after="100"/>
              <w:jc w:val="center"/>
              <w:rPr>
                <w:rFonts w:eastAsia="Times New Roman"/>
              </w:rPr>
            </w:pPr>
            <w:r>
              <w:rPr>
                <w:rFonts w:eastAsia="Times New Roman"/>
                <w:b/>
                <w:bCs/>
                <w:color w:val="000000"/>
                <w:sz w:val="16"/>
                <w:szCs w:val="16"/>
              </w:rPr>
              <w:t>Value</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Valuation</w:t>
            </w:r>
          </w:p>
          <w:p w:rsidR="00000000" w:rsidRDefault="005B0BC3">
            <w:pPr>
              <w:spacing w:after="100"/>
              <w:jc w:val="center"/>
              <w:rPr>
                <w:rFonts w:eastAsia="Times New Roman"/>
              </w:rPr>
            </w:pPr>
            <w:r>
              <w:rPr>
                <w:rFonts w:eastAsia="Times New Roman"/>
                <w:b/>
                <w:bCs/>
                <w:color w:val="000000"/>
                <w:sz w:val="16"/>
                <w:szCs w:val="16"/>
              </w:rPr>
              <w:t>Technique</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Significant</w:t>
            </w:r>
          </w:p>
          <w:p w:rsidR="00000000" w:rsidRDefault="005B0BC3">
            <w:pPr>
              <w:spacing w:after="100"/>
              <w:jc w:val="center"/>
              <w:rPr>
                <w:rFonts w:eastAsia="Times New Roman"/>
              </w:rPr>
            </w:pPr>
            <w:r>
              <w:rPr>
                <w:rFonts w:eastAsia="Times New Roman"/>
                <w:b/>
                <w:bCs/>
                <w:color w:val="000000"/>
                <w:sz w:val="16"/>
                <w:szCs w:val="16"/>
              </w:rPr>
              <w:t>Unobservable Input</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Range</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Weighted Average (2)</w:t>
            </w:r>
          </w:p>
        </w:tc>
      </w:tr>
      <w:tr w:rsidR="00000000">
        <w:trPr>
          <w:divId w:val="2083260335"/>
          <w:jc w:val="center"/>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16"/>
                <w:szCs w:val="16"/>
              </w:rPr>
              <w:t> </w:t>
            </w:r>
          </w:p>
        </w:tc>
        <w:tc>
          <w:tcPr>
            <w:tcW w:w="0" w:type="auto"/>
            <w:gridSpan w:val="21"/>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2083260335"/>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18"/>
                <w:szCs w:val="18"/>
              </w:rPr>
              <w:t>Assets:</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2083260335"/>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18"/>
                <w:szCs w:val="18"/>
              </w:rPr>
              <w:t>Investments:</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2083260335"/>
          <w:jc w:val="center"/>
        </w:trPr>
        <w:tc>
          <w:tcPr>
            <w:tcW w:w="0" w:type="auto"/>
            <w:gridSpan w:val="3"/>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18"/>
                <w:szCs w:val="18"/>
              </w:rPr>
              <w:t>Fixed maturities, AFS:</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2083260335"/>
          <w:jc w:val="center"/>
        </w:trPr>
        <w:tc>
          <w:tcPr>
            <w:tcW w:w="0" w:type="auto"/>
            <w:gridSpan w:val="3"/>
            <w:tcBorders>
              <w:top w:val="single" w:sz="2" w:space="0" w:color="000000"/>
            </w:tcBorders>
            <w:shd w:val="clear" w:color="auto" w:fill="CCEEFF"/>
            <w:tcMar>
              <w:top w:w="30" w:type="dxa"/>
              <w:left w:w="35" w:type="dxa"/>
              <w:bottom w:w="30" w:type="dxa"/>
              <w:right w:w="20" w:type="dxa"/>
            </w:tcMar>
            <w:vAlign w:val="center"/>
            <w:hideMark/>
          </w:tcPr>
          <w:p w:rsidR="00000000" w:rsidRDefault="005B0BC3">
            <w:pPr>
              <w:spacing w:after="100"/>
              <w:rPr>
                <w:rFonts w:eastAsia="Times New Roman"/>
              </w:rPr>
            </w:pPr>
            <w:r>
              <w:rPr>
                <w:rFonts w:eastAsia="Times New Roman"/>
                <w:color w:val="000000"/>
                <w:sz w:val="18"/>
                <w:szCs w:val="18"/>
              </w:rPr>
              <w:t>Corporate</w:t>
            </w:r>
          </w:p>
        </w:tc>
        <w:tc>
          <w:tcPr>
            <w:tcW w:w="0" w:type="auto"/>
            <w:tcBorders>
              <w:top w:val="single" w:sz="2" w:space="0" w:color="000000"/>
            </w:tcBorders>
            <w:shd w:val="clear" w:color="auto" w:fill="CCEE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b/>
                <w:bCs/>
                <w:color w:val="000000"/>
                <w:sz w:val="18"/>
                <w:szCs w:val="18"/>
              </w:rPr>
              <w:t>$</w:t>
            </w:r>
          </w:p>
        </w:tc>
        <w:tc>
          <w:tcPr>
            <w:tcW w:w="0" w:type="auto"/>
            <w:tcBorders>
              <w:top w:val="single" w:sz="2" w:space="0" w:color="000000"/>
            </w:tcBorders>
            <w:shd w:val="clear" w:color="auto" w:fill="CCEE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18"/>
                <w:szCs w:val="18"/>
              </w:rPr>
              <w:t>258</w:t>
            </w:r>
            <w:r>
              <w:rPr>
                <w:rFonts w:eastAsia="Times New Roman"/>
                <w:color w:val="000000"/>
                <w:sz w:val="18"/>
                <w:szCs w:val="18"/>
              </w:rPr>
              <w:t> </w:t>
            </w:r>
          </w:p>
        </w:tc>
        <w:tc>
          <w:tcPr>
            <w:tcW w:w="0" w:type="auto"/>
            <w:tcBorders>
              <w:top w:val="single" w:sz="2" w:space="0" w:color="000000"/>
            </w:tcBorders>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5B0BC3">
            <w:pPr>
              <w:spacing w:after="100"/>
              <w:rPr>
                <w:rFonts w:eastAsia="Times New Roman"/>
              </w:rPr>
            </w:pPr>
            <w:r>
              <w:rPr>
                <w:rFonts w:eastAsia="Times New Roman"/>
                <w:color w:val="000000"/>
                <w:sz w:val="18"/>
                <w:szCs w:val="18"/>
              </w:rPr>
              <w:t>Matrix pricing model</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5B0BC3">
            <w:pPr>
              <w:spacing w:after="100"/>
              <w:jc w:val="right"/>
              <w:rPr>
                <w:rFonts w:eastAsia="Times New Roman"/>
              </w:rPr>
            </w:pPr>
            <w:r>
              <w:rPr>
                <w:rFonts w:eastAsia="Times New Roman"/>
                <w:color w:val="000000"/>
                <w:sz w:val="18"/>
                <w:szCs w:val="18"/>
              </w:rPr>
              <w:t>Spread over Benchmark</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5B0BC3">
            <w:pPr>
              <w:spacing w:after="100"/>
              <w:jc w:val="center"/>
              <w:rPr>
                <w:rFonts w:eastAsia="Times New Roman"/>
              </w:rPr>
            </w:pPr>
            <w:r>
              <w:rPr>
                <w:rFonts w:eastAsia="Times New Roman"/>
                <w:b/>
                <w:bCs/>
                <w:color w:val="000000"/>
                <w:sz w:val="18"/>
                <w:szCs w:val="18"/>
              </w:rPr>
              <w:t>20 bps - 270 bps</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5B0BC3">
            <w:pPr>
              <w:spacing w:after="100"/>
              <w:jc w:val="center"/>
              <w:rPr>
                <w:rFonts w:eastAsia="Times New Roman"/>
              </w:rPr>
            </w:pPr>
            <w:r>
              <w:rPr>
                <w:rFonts w:eastAsia="Times New Roman"/>
                <w:b/>
                <w:bCs/>
                <w:color w:val="000000"/>
                <w:sz w:val="18"/>
                <w:szCs w:val="18"/>
              </w:rPr>
              <w:t>144 bps</w:t>
            </w:r>
          </w:p>
        </w:tc>
      </w:tr>
      <w:tr w:rsidR="00000000">
        <w:trPr>
          <w:divId w:val="2083260335"/>
          <w:jc w:val="center"/>
        </w:trPr>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18"/>
                <w:szCs w:val="18"/>
              </w:rPr>
              <w:t>888</w:t>
            </w:r>
            <w:r>
              <w:rPr>
                <w:rFonts w:eastAsia="Times New Roman"/>
                <w:color w:val="000000"/>
                <w:sz w:val="18"/>
                <w:szCs w:val="18"/>
              </w:rPr>
              <w:t> </w:t>
            </w:r>
          </w:p>
        </w:tc>
        <w:tc>
          <w:tcPr>
            <w:tcW w:w="0" w:type="auto"/>
            <w:tcBorders>
              <w:top w:val="single" w:sz="2"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5B0BC3">
            <w:pPr>
              <w:spacing w:after="100"/>
              <w:rPr>
                <w:rFonts w:eastAsia="Times New Roman"/>
              </w:rPr>
            </w:pPr>
            <w:r>
              <w:rPr>
                <w:rFonts w:eastAsia="Times New Roman"/>
                <w:color w:val="000000"/>
                <w:sz w:val="18"/>
                <w:szCs w:val="18"/>
              </w:rPr>
              <w:t>Market comparable </w:t>
            </w:r>
            <w:r>
              <w:rPr>
                <w:rFonts w:eastAsia="Times New Roman"/>
                <w:color w:val="000000"/>
                <w:sz w:val="18"/>
                <w:szCs w:val="18"/>
              </w:rPr>
              <w:br/>
              <w:t>companies</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5B0BC3">
            <w:pPr>
              <w:spacing w:after="100"/>
              <w:jc w:val="right"/>
              <w:rPr>
                <w:rFonts w:eastAsia="Times New Roman"/>
              </w:rPr>
            </w:pPr>
            <w:r>
              <w:rPr>
                <w:rFonts w:eastAsia="Times New Roman"/>
                <w:color w:val="000000"/>
                <w:sz w:val="18"/>
                <w:szCs w:val="18"/>
              </w:rPr>
              <w:t>EBITDA multiples</w:t>
            </w:r>
          </w:p>
          <w:p w:rsidR="00000000" w:rsidRDefault="005B0BC3">
            <w:pPr>
              <w:spacing w:after="100"/>
              <w:jc w:val="right"/>
              <w:rPr>
                <w:rFonts w:eastAsia="Times New Roman"/>
              </w:rPr>
            </w:pPr>
            <w:r>
              <w:rPr>
                <w:rFonts w:eastAsia="Times New Roman"/>
                <w:color w:val="000000"/>
                <w:sz w:val="18"/>
                <w:szCs w:val="18"/>
              </w:rPr>
              <w:t>Discount rate</w:t>
            </w:r>
          </w:p>
          <w:p w:rsidR="00000000" w:rsidRDefault="005B0BC3">
            <w:pPr>
              <w:spacing w:after="100"/>
              <w:jc w:val="right"/>
              <w:rPr>
                <w:rFonts w:eastAsia="Times New Roman"/>
              </w:rPr>
            </w:pPr>
            <w:r>
              <w:rPr>
                <w:rFonts w:eastAsia="Times New Roman"/>
                <w:color w:val="000000"/>
                <w:sz w:val="18"/>
                <w:szCs w:val="18"/>
              </w:rPr>
              <w:t>Cash flow multiples</w:t>
            </w:r>
          </w:p>
          <w:p w:rsidR="00000000" w:rsidRDefault="005B0BC3">
            <w:pPr>
              <w:spacing w:after="100"/>
              <w:jc w:val="right"/>
              <w:rPr>
                <w:rFonts w:eastAsia="Times New Roman"/>
              </w:rPr>
            </w:pPr>
            <w:r>
              <w:rPr>
                <w:rFonts w:eastAsia="Times New Roman"/>
                <w:color w:val="000000"/>
                <w:sz w:val="18"/>
                <w:szCs w:val="18"/>
              </w:rPr>
              <w:t>Loan to value</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5B0BC3">
            <w:pPr>
              <w:spacing w:after="100"/>
              <w:jc w:val="center"/>
              <w:rPr>
                <w:rFonts w:eastAsia="Times New Roman"/>
              </w:rPr>
            </w:pPr>
            <w:r>
              <w:rPr>
                <w:rFonts w:eastAsia="Times New Roman"/>
                <w:b/>
                <w:bCs/>
                <w:color w:val="000000"/>
                <w:sz w:val="18"/>
                <w:szCs w:val="18"/>
              </w:rPr>
              <w:t>4.9x - 62.3x</w:t>
            </w:r>
          </w:p>
          <w:p w:rsidR="00000000" w:rsidRDefault="005B0BC3">
            <w:pPr>
              <w:spacing w:after="100"/>
              <w:jc w:val="center"/>
              <w:rPr>
                <w:rFonts w:eastAsia="Times New Roman"/>
              </w:rPr>
            </w:pPr>
            <w:r>
              <w:rPr>
                <w:rFonts w:eastAsia="Times New Roman"/>
                <w:b/>
                <w:bCs/>
                <w:color w:val="000000"/>
                <w:sz w:val="18"/>
                <w:szCs w:val="18"/>
              </w:rPr>
              <w:t>6.2% - 21.5%</w:t>
            </w:r>
          </w:p>
          <w:p w:rsidR="00000000" w:rsidRDefault="005B0BC3">
            <w:pPr>
              <w:spacing w:after="100"/>
              <w:jc w:val="center"/>
              <w:rPr>
                <w:rFonts w:eastAsia="Times New Roman"/>
              </w:rPr>
            </w:pPr>
            <w:r>
              <w:rPr>
                <w:rFonts w:eastAsia="Times New Roman"/>
                <w:b/>
                <w:bCs/>
                <w:color w:val="000000"/>
                <w:sz w:val="18"/>
                <w:szCs w:val="18"/>
              </w:rPr>
              <w:t>0.5x - 10.0x</w:t>
            </w:r>
          </w:p>
          <w:p w:rsidR="00000000" w:rsidRDefault="005B0BC3">
            <w:pPr>
              <w:spacing w:after="100"/>
              <w:jc w:val="center"/>
              <w:rPr>
                <w:rFonts w:eastAsia="Times New Roman"/>
              </w:rPr>
            </w:pPr>
            <w:r>
              <w:rPr>
                <w:rFonts w:eastAsia="Times New Roman"/>
                <w:b/>
                <w:bCs/>
                <w:color w:val="000000"/>
                <w:sz w:val="18"/>
                <w:szCs w:val="18"/>
              </w:rPr>
              <w:t>3.1% - 63.4%</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5B0BC3">
            <w:pPr>
              <w:spacing w:after="100"/>
              <w:jc w:val="center"/>
              <w:rPr>
                <w:rFonts w:eastAsia="Times New Roman"/>
              </w:rPr>
            </w:pPr>
            <w:r>
              <w:rPr>
                <w:rFonts w:eastAsia="Times New Roman"/>
                <w:b/>
                <w:bCs/>
                <w:color w:val="000000"/>
                <w:sz w:val="18"/>
                <w:szCs w:val="18"/>
              </w:rPr>
              <w:t>13.0x</w:t>
            </w:r>
          </w:p>
          <w:p w:rsidR="00000000" w:rsidRDefault="005B0BC3">
            <w:pPr>
              <w:spacing w:after="100"/>
              <w:jc w:val="center"/>
              <w:rPr>
                <w:rFonts w:eastAsia="Times New Roman"/>
              </w:rPr>
            </w:pPr>
            <w:r>
              <w:rPr>
                <w:rFonts w:eastAsia="Times New Roman"/>
                <w:b/>
                <w:bCs/>
                <w:color w:val="000000"/>
                <w:sz w:val="18"/>
                <w:szCs w:val="18"/>
              </w:rPr>
              <w:t>9.1%</w:t>
            </w:r>
          </w:p>
          <w:p w:rsidR="00000000" w:rsidRDefault="005B0BC3">
            <w:pPr>
              <w:spacing w:after="100"/>
              <w:jc w:val="center"/>
              <w:rPr>
                <w:rFonts w:eastAsia="Times New Roman"/>
              </w:rPr>
            </w:pPr>
            <w:r>
              <w:rPr>
                <w:rFonts w:eastAsia="Times New Roman"/>
                <w:b/>
                <w:bCs/>
                <w:color w:val="000000"/>
                <w:sz w:val="18"/>
                <w:szCs w:val="18"/>
              </w:rPr>
              <w:t>5.5x</w:t>
            </w:r>
          </w:p>
          <w:p w:rsidR="00000000" w:rsidRDefault="005B0BC3">
            <w:pPr>
              <w:spacing w:after="100"/>
              <w:jc w:val="center"/>
              <w:rPr>
                <w:rFonts w:eastAsia="Times New Roman"/>
              </w:rPr>
            </w:pPr>
            <w:r>
              <w:rPr>
                <w:rFonts w:eastAsia="Times New Roman"/>
                <w:b/>
                <w:bCs/>
                <w:color w:val="000000"/>
                <w:sz w:val="18"/>
                <w:szCs w:val="18"/>
              </w:rPr>
              <w:t>30.8%</w:t>
            </w:r>
          </w:p>
        </w:tc>
      </w:tr>
      <w:tr w:rsidR="00000000">
        <w:trPr>
          <w:divId w:val="2083260335"/>
          <w:jc w:val="center"/>
        </w:trPr>
        <w:tc>
          <w:tcPr>
            <w:tcW w:w="0" w:type="auto"/>
            <w:gridSpan w:val="3"/>
            <w:shd w:val="clear" w:color="auto" w:fill="CCEEFF"/>
            <w:tcMar>
              <w:top w:w="30" w:type="dxa"/>
              <w:left w:w="20" w:type="dxa"/>
              <w:bottom w:w="30" w:type="dxa"/>
              <w:right w:w="20" w:type="dxa"/>
            </w:tcMar>
            <w:vAlign w:val="center"/>
            <w:hideMark/>
          </w:tcPr>
          <w:p w:rsidR="00000000" w:rsidRDefault="005B0BC3">
            <w:pPr>
              <w:spacing w:after="100"/>
              <w:rPr>
                <w:rFonts w:eastAsia="Times New Roman"/>
              </w:rPr>
            </w:pPr>
            <w:r>
              <w:rPr>
                <w:rFonts w:eastAsia="Times New Roman"/>
                <w:color w:val="000000"/>
                <w:sz w:val="18"/>
                <w:szCs w:val="18"/>
              </w:rPr>
              <w:t>Trading Securities, at Fair Value</w:t>
            </w:r>
          </w:p>
        </w:tc>
        <w:tc>
          <w:tcPr>
            <w:tcW w:w="0" w:type="auto"/>
            <w:gridSpan w:val="2"/>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18"/>
                <w:szCs w:val="18"/>
              </w:rPr>
              <w:t>65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5B0BC3">
            <w:pPr>
              <w:spacing w:after="100"/>
              <w:rPr>
                <w:rFonts w:eastAsia="Times New Roman"/>
              </w:rPr>
            </w:pPr>
            <w:r>
              <w:rPr>
                <w:rFonts w:eastAsia="Times New Roman"/>
                <w:color w:val="000000"/>
                <w:sz w:val="18"/>
                <w:szCs w:val="18"/>
              </w:rPr>
              <w:t>Discounted Cash Flow</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B0BC3">
            <w:pPr>
              <w:spacing w:after="100"/>
              <w:jc w:val="right"/>
              <w:rPr>
                <w:rFonts w:eastAsia="Times New Roman"/>
              </w:rPr>
            </w:pPr>
            <w:r>
              <w:rPr>
                <w:rFonts w:eastAsia="Times New Roman"/>
                <w:color w:val="000000"/>
                <w:sz w:val="18"/>
                <w:szCs w:val="18"/>
              </w:rPr>
              <w:t>Earnings multiple</w:t>
            </w:r>
          </w:p>
          <w:p w:rsidR="00000000" w:rsidRDefault="005B0BC3">
            <w:pPr>
              <w:spacing w:after="100"/>
              <w:jc w:val="right"/>
              <w:rPr>
                <w:rFonts w:eastAsia="Times New Roman"/>
              </w:rPr>
            </w:pPr>
            <w:r>
              <w:rPr>
                <w:rFonts w:eastAsia="Times New Roman"/>
                <w:color w:val="000000"/>
                <w:sz w:val="18"/>
                <w:szCs w:val="18"/>
              </w:rPr>
              <w:t>Discount factor</w:t>
            </w:r>
          </w:p>
          <w:p w:rsidR="00000000" w:rsidRDefault="005B0BC3">
            <w:pPr>
              <w:spacing w:after="100"/>
              <w:jc w:val="right"/>
              <w:rPr>
                <w:rFonts w:eastAsia="Times New Roman"/>
              </w:rPr>
            </w:pPr>
            <w:r>
              <w:rPr>
                <w:rFonts w:eastAsia="Times New Roman"/>
                <w:color w:val="000000"/>
                <w:sz w:val="18"/>
                <w:szCs w:val="18"/>
              </w:rPr>
              <w:t>Discount years</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30" w:type="dxa"/>
              <w:left w:w="20" w:type="dxa"/>
              <w:bottom w:w="30" w:type="dxa"/>
              <w:right w:w="20" w:type="dxa"/>
            </w:tcMar>
            <w:hideMark/>
          </w:tcPr>
          <w:p w:rsidR="00000000" w:rsidRDefault="005B0BC3">
            <w:pPr>
              <w:spacing w:after="100"/>
              <w:jc w:val="center"/>
              <w:rPr>
                <w:rFonts w:eastAsia="Times New Roman"/>
              </w:rPr>
            </w:pPr>
            <w:r>
              <w:rPr>
                <w:rFonts w:eastAsia="Times New Roman"/>
                <w:b/>
                <w:bCs/>
                <w:color w:val="000000"/>
                <w:sz w:val="18"/>
                <w:szCs w:val="18"/>
              </w:rPr>
              <w:t>7.3x</w:t>
            </w:r>
          </w:p>
          <w:p w:rsidR="00000000" w:rsidRDefault="005B0BC3">
            <w:pPr>
              <w:spacing w:after="100"/>
              <w:jc w:val="center"/>
              <w:rPr>
                <w:rFonts w:eastAsia="Times New Roman"/>
              </w:rPr>
            </w:pPr>
            <w:r>
              <w:rPr>
                <w:rFonts w:eastAsia="Times New Roman"/>
                <w:b/>
                <w:bCs/>
                <w:color w:val="000000"/>
                <w:sz w:val="18"/>
                <w:szCs w:val="18"/>
              </w:rPr>
              <w:t>10.00%</w:t>
            </w:r>
          </w:p>
          <w:p w:rsidR="00000000" w:rsidRDefault="005B0BC3">
            <w:pPr>
              <w:spacing w:after="100"/>
              <w:jc w:val="center"/>
              <w:rPr>
                <w:rFonts w:eastAsia="Times New Roman"/>
              </w:rPr>
            </w:pPr>
            <w:r>
              <w:rPr>
                <w:rFonts w:eastAsia="Times New Roman"/>
                <w:b/>
                <w:bCs/>
                <w:color w:val="000000"/>
                <w:sz w:val="18"/>
                <w:szCs w:val="18"/>
              </w:rPr>
              <w:t>11</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2083260335"/>
          <w:jc w:val="center"/>
        </w:trPr>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5B0BC3">
            <w:pPr>
              <w:spacing w:after="100"/>
              <w:rPr>
                <w:rFonts w:eastAsia="Times New Roman"/>
              </w:rPr>
            </w:pPr>
            <w:r>
              <w:rPr>
                <w:rFonts w:eastAsia="Times New Roman"/>
                <w:color w:val="000000"/>
                <w:sz w:val="18"/>
                <w:szCs w:val="18"/>
              </w:rPr>
              <w:t>Other equity investments</w:t>
            </w: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18"/>
                <w:szCs w:val="18"/>
              </w:rPr>
              <w:t>4</w:t>
            </w:r>
            <w:r>
              <w:rPr>
                <w:rFonts w:eastAsia="Times New Roman"/>
                <w:color w:val="000000"/>
                <w:sz w:val="18"/>
                <w:szCs w:val="18"/>
              </w:rPr>
              <w:t> </w:t>
            </w:r>
          </w:p>
        </w:tc>
        <w:tc>
          <w:tcPr>
            <w:tcW w:w="0" w:type="auto"/>
            <w:tcBorders>
              <w:top w:val="single" w:sz="2"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5B0BC3">
            <w:pPr>
              <w:spacing w:after="100"/>
              <w:rPr>
                <w:rFonts w:eastAsia="Times New Roman"/>
              </w:rPr>
            </w:pPr>
            <w:r>
              <w:rPr>
                <w:rFonts w:eastAsia="Times New Roman"/>
                <w:color w:val="000000"/>
                <w:sz w:val="18"/>
                <w:szCs w:val="18"/>
              </w:rPr>
              <w:t>Market comparable companies</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5B0BC3">
            <w:pPr>
              <w:spacing w:after="100"/>
              <w:jc w:val="right"/>
              <w:rPr>
                <w:rFonts w:eastAsia="Times New Roman"/>
              </w:rPr>
            </w:pPr>
            <w:r>
              <w:rPr>
                <w:rFonts w:eastAsia="Times New Roman"/>
                <w:color w:val="000000"/>
                <w:sz w:val="18"/>
                <w:szCs w:val="18"/>
              </w:rPr>
              <w:t>Revenue multiple</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5B0BC3">
            <w:pPr>
              <w:spacing w:after="100"/>
              <w:jc w:val="center"/>
              <w:rPr>
                <w:rFonts w:eastAsia="Times New Roman"/>
              </w:rPr>
            </w:pPr>
            <w:r>
              <w:rPr>
                <w:rFonts w:eastAsia="Times New Roman"/>
                <w:b/>
                <w:bCs/>
                <w:color w:val="000000"/>
                <w:sz w:val="18"/>
                <w:szCs w:val="18"/>
              </w:rPr>
              <w:t>7.8x - 10.3x</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5B0BC3">
            <w:pPr>
              <w:spacing w:after="100"/>
              <w:jc w:val="center"/>
              <w:rPr>
                <w:rFonts w:eastAsia="Times New Roman"/>
              </w:rPr>
            </w:pPr>
            <w:r>
              <w:rPr>
                <w:rFonts w:eastAsia="Times New Roman"/>
                <w:b/>
                <w:bCs/>
                <w:color w:val="000000"/>
                <w:sz w:val="18"/>
                <w:szCs w:val="18"/>
              </w:rPr>
              <w:t>9.5x</w:t>
            </w:r>
          </w:p>
        </w:tc>
      </w:tr>
      <w:tr w:rsidR="00000000">
        <w:trPr>
          <w:divId w:val="2083260335"/>
          <w:jc w:val="center"/>
        </w:trPr>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5B0BC3">
            <w:pPr>
              <w:spacing w:after="100"/>
              <w:rPr>
                <w:rFonts w:eastAsia="Times New Roman"/>
              </w:rPr>
            </w:pPr>
            <w:r>
              <w:rPr>
                <w:rFonts w:eastAsia="Times New Roman"/>
                <w:color w:val="000000"/>
                <w:sz w:val="18"/>
                <w:szCs w:val="18"/>
              </w:rPr>
              <w:t>GMIB reinsurance contract asset</w:t>
            </w:r>
          </w:p>
        </w:tc>
        <w:tc>
          <w:tcPr>
            <w:tcW w:w="0" w:type="auto"/>
            <w:gridSpan w:val="2"/>
            <w:tcBorders>
              <w:top w:val="single" w:sz="2" w:space="0" w:color="000000"/>
            </w:tcBorders>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18"/>
                <w:szCs w:val="18"/>
              </w:rPr>
              <w:t>1,848</w:t>
            </w:r>
            <w:r>
              <w:rPr>
                <w:rFonts w:eastAsia="Times New Roman"/>
                <w:color w:val="000000"/>
                <w:sz w:val="18"/>
                <w:szCs w:val="18"/>
              </w:rPr>
              <w:t> </w:t>
            </w:r>
          </w:p>
        </w:tc>
        <w:tc>
          <w:tcPr>
            <w:tcW w:w="0" w:type="auto"/>
            <w:tcBorders>
              <w:top w:val="single" w:sz="2" w:space="0" w:color="000000"/>
            </w:tcBorders>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5B0BC3">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5B0BC3">
            <w:pPr>
              <w:spacing w:after="100"/>
              <w:jc w:val="right"/>
              <w:rPr>
                <w:rFonts w:eastAsia="Times New Roman"/>
              </w:rPr>
            </w:pPr>
            <w:r>
              <w:rPr>
                <w:rFonts w:eastAsia="Times New Roman"/>
                <w:color w:val="000000"/>
                <w:sz w:val="18"/>
                <w:szCs w:val="18"/>
              </w:rPr>
              <w:t>Lapse rates</w:t>
            </w:r>
          </w:p>
          <w:p w:rsidR="00000000" w:rsidRDefault="005B0BC3">
            <w:pPr>
              <w:spacing w:after="100"/>
              <w:jc w:val="right"/>
              <w:rPr>
                <w:rFonts w:eastAsia="Times New Roman"/>
              </w:rPr>
            </w:pPr>
            <w:r>
              <w:rPr>
                <w:rFonts w:eastAsia="Times New Roman"/>
                <w:color w:val="000000"/>
                <w:sz w:val="18"/>
                <w:szCs w:val="18"/>
              </w:rPr>
              <w:t>Withdrawal Rates</w:t>
            </w:r>
          </w:p>
          <w:p w:rsidR="00000000" w:rsidRDefault="005B0BC3">
            <w:pPr>
              <w:spacing w:after="100"/>
              <w:jc w:val="right"/>
              <w:rPr>
                <w:rFonts w:eastAsia="Times New Roman"/>
              </w:rPr>
            </w:pPr>
            <w:r>
              <w:rPr>
                <w:rFonts w:eastAsia="Times New Roman"/>
                <w:color w:val="000000"/>
                <w:sz w:val="18"/>
                <w:szCs w:val="18"/>
              </w:rPr>
              <w:t>GMIB Utilization Rates</w:t>
            </w:r>
          </w:p>
          <w:p w:rsidR="00000000" w:rsidRDefault="005B0BC3">
            <w:pPr>
              <w:spacing w:after="100"/>
              <w:jc w:val="right"/>
              <w:rPr>
                <w:rFonts w:eastAsia="Times New Roman"/>
              </w:rPr>
            </w:pPr>
            <w:r>
              <w:rPr>
                <w:rFonts w:eastAsia="Times New Roman"/>
                <w:color w:val="000000"/>
                <w:sz w:val="18"/>
                <w:szCs w:val="18"/>
              </w:rPr>
              <w:t>Non-performance risk</w:t>
            </w:r>
          </w:p>
          <w:p w:rsidR="00000000" w:rsidRDefault="005B0BC3">
            <w:pPr>
              <w:spacing w:after="100"/>
              <w:jc w:val="right"/>
              <w:rPr>
                <w:rFonts w:eastAsia="Times New Roman"/>
              </w:rPr>
            </w:pPr>
            <w:r>
              <w:rPr>
                <w:rFonts w:eastAsia="Times New Roman"/>
                <w:color w:val="000000"/>
                <w:sz w:val="18"/>
                <w:szCs w:val="18"/>
              </w:rPr>
              <w:t>Volatility rates - Equity</w:t>
            </w:r>
          </w:p>
          <w:p w:rsidR="00000000" w:rsidRDefault="005B0BC3">
            <w:pPr>
              <w:spacing w:after="100"/>
              <w:jc w:val="right"/>
              <w:rPr>
                <w:rFonts w:eastAsia="Times New Roman"/>
              </w:rPr>
            </w:pPr>
            <w:r>
              <w:rPr>
                <w:rFonts w:eastAsia="Times New Roman"/>
                <w:color w:val="000000"/>
                <w:sz w:val="18"/>
                <w:szCs w:val="18"/>
              </w:rPr>
              <w:t>Mortality: Ages 0-40</w:t>
            </w:r>
          </w:p>
          <w:p w:rsidR="00000000" w:rsidRDefault="005B0BC3">
            <w:pPr>
              <w:spacing w:after="100"/>
              <w:jc w:val="right"/>
              <w:rPr>
                <w:rFonts w:eastAsia="Times New Roman"/>
              </w:rPr>
            </w:pPr>
            <w:r>
              <w:rPr>
                <w:rFonts w:eastAsia="Times New Roman"/>
                <w:color w:val="000000"/>
                <w:sz w:val="18"/>
                <w:szCs w:val="18"/>
              </w:rPr>
              <w:t>Ages 41-60</w:t>
            </w:r>
          </w:p>
          <w:p w:rsidR="00000000" w:rsidRDefault="005B0BC3">
            <w:pPr>
              <w:spacing w:after="100"/>
              <w:jc w:val="right"/>
              <w:rPr>
                <w:rFonts w:eastAsia="Times New Roman"/>
              </w:rPr>
            </w:pPr>
            <w:r>
              <w:rPr>
                <w:rFonts w:eastAsia="Times New Roman"/>
                <w:color w:val="000000"/>
                <w:sz w:val="18"/>
                <w:szCs w:val="18"/>
              </w:rPr>
              <w:t>Ages 61-115</w:t>
            </w:r>
          </w:p>
          <w:p w:rsidR="00000000" w:rsidRDefault="005B0BC3">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5B0BC3">
            <w:pPr>
              <w:spacing w:after="100"/>
              <w:jc w:val="center"/>
              <w:rPr>
                <w:rFonts w:eastAsia="Times New Roman"/>
              </w:rPr>
            </w:pPr>
            <w:r>
              <w:rPr>
                <w:rFonts w:eastAsia="Times New Roman"/>
                <w:b/>
                <w:bCs/>
                <w:color w:val="000000"/>
                <w:sz w:val="18"/>
                <w:szCs w:val="18"/>
              </w:rPr>
              <w:t>0.45%-20.86%</w:t>
            </w:r>
          </w:p>
          <w:p w:rsidR="00000000" w:rsidRDefault="005B0BC3">
            <w:pPr>
              <w:spacing w:after="100"/>
              <w:jc w:val="center"/>
              <w:rPr>
                <w:rFonts w:eastAsia="Times New Roman"/>
              </w:rPr>
            </w:pPr>
            <w:r>
              <w:rPr>
                <w:rFonts w:eastAsia="Times New Roman"/>
                <w:b/>
                <w:bCs/>
                <w:color w:val="000000"/>
                <w:sz w:val="18"/>
                <w:szCs w:val="18"/>
              </w:rPr>
              <w:t>0.27%-8.66%</w:t>
            </w:r>
          </w:p>
          <w:p w:rsidR="00000000" w:rsidRDefault="005B0BC3">
            <w:pPr>
              <w:spacing w:after="100"/>
              <w:jc w:val="center"/>
              <w:rPr>
                <w:rFonts w:eastAsia="Times New Roman"/>
              </w:rPr>
            </w:pPr>
            <w:r>
              <w:rPr>
                <w:rFonts w:eastAsia="Times New Roman"/>
                <w:b/>
                <w:bCs/>
                <w:color w:val="000000"/>
                <w:sz w:val="18"/>
                <w:szCs w:val="18"/>
              </w:rPr>
              <w:t>0.04%-60.44%</w:t>
            </w:r>
          </w:p>
          <w:p w:rsidR="00000000" w:rsidRDefault="005B0BC3">
            <w:pPr>
              <w:spacing w:after="100"/>
              <w:jc w:val="center"/>
              <w:rPr>
                <w:rFonts w:eastAsia="Times New Roman"/>
              </w:rPr>
            </w:pPr>
            <w:r>
              <w:rPr>
                <w:rFonts w:eastAsia="Times New Roman"/>
                <w:b/>
                <w:bCs/>
                <w:color w:val="000000"/>
                <w:sz w:val="18"/>
                <w:szCs w:val="18"/>
              </w:rPr>
              <w:t>57 bps - 93 bps</w:t>
            </w:r>
          </w:p>
          <w:p w:rsidR="00000000" w:rsidRDefault="005B0BC3">
            <w:pPr>
              <w:spacing w:after="100"/>
              <w:jc w:val="center"/>
              <w:rPr>
                <w:rFonts w:eastAsia="Times New Roman"/>
              </w:rPr>
            </w:pPr>
            <w:r>
              <w:rPr>
                <w:rFonts w:eastAsia="Times New Roman"/>
                <w:b/>
                <w:bCs/>
                <w:color w:val="000000"/>
                <w:sz w:val="18"/>
                <w:szCs w:val="18"/>
              </w:rPr>
              <w:t>11%-31%</w:t>
            </w:r>
          </w:p>
          <w:p w:rsidR="00000000" w:rsidRDefault="005B0BC3">
            <w:pPr>
              <w:spacing w:after="100"/>
              <w:jc w:val="center"/>
              <w:rPr>
                <w:rFonts w:eastAsia="Times New Roman"/>
              </w:rPr>
            </w:pPr>
            <w:r>
              <w:rPr>
                <w:rFonts w:eastAsia="Times New Roman"/>
                <w:b/>
                <w:bCs/>
                <w:color w:val="000000"/>
                <w:sz w:val="18"/>
                <w:szCs w:val="18"/>
              </w:rPr>
              <w:t>0.01%-0.17%</w:t>
            </w:r>
          </w:p>
          <w:p w:rsidR="00000000" w:rsidRDefault="005B0BC3">
            <w:pPr>
              <w:spacing w:after="100"/>
              <w:jc w:val="center"/>
              <w:rPr>
                <w:rFonts w:eastAsia="Times New Roman"/>
              </w:rPr>
            </w:pPr>
            <w:r>
              <w:rPr>
                <w:rFonts w:eastAsia="Times New Roman"/>
                <w:b/>
                <w:bCs/>
                <w:color w:val="000000"/>
                <w:sz w:val="18"/>
                <w:szCs w:val="18"/>
              </w:rPr>
              <w:t>0.06%-0.53%</w:t>
            </w:r>
          </w:p>
          <w:p w:rsidR="00000000" w:rsidRDefault="005B0BC3">
            <w:pPr>
              <w:spacing w:after="100"/>
              <w:jc w:val="center"/>
              <w:rPr>
                <w:rFonts w:eastAsia="Times New Roman"/>
              </w:rPr>
            </w:pPr>
            <w:r>
              <w:rPr>
                <w:rFonts w:eastAsia="Times New Roman"/>
                <w:b/>
                <w:bCs/>
                <w:color w:val="000000"/>
                <w:sz w:val="18"/>
                <w:szCs w:val="18"/>
              </w:rPr>
              <w:t>0.31%-40.00%</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5B0BC3">
            <w:pPr>
              <w:spacing w:after="100"/>
              <w:jc w:val="center"/>
              <w:rPr>
                <w:rFonts w:eastAsia="Times New Roman"/>
              </w:rPr>
            </w:pPr>
            <w:r>
              <w:rPr>
                <w:rFonts w:eastAsia="Times New Roman"/>
                <w:b/>
                <w:bCs/>
                <w:color w:val="000000"/>
                <w:sz w:val="18"/>
                <w:szCs w:val="18"/>
              </w:rPr>
              <w:t>2.65%</w:t>
            </w:r>
          </w:p>
          <w:p w:rsidR="00000000" w:rsidRDefault="005B0BC3">
            <w:pPr>
              <w:spacing w:after="100"/>
              <w:jc w:val="center"/>
              <w:rPr>
                <w:rFonts w:eastAsia="Times New Roman"/>
              </w:rPr>
            </w:pPr>
            <w:r>
              <w:rPr>
                <w:rFonts w:eastAsia="Times New Roman"/>
                <w:b/>
                <w:bCs/>
                <w:color w:val="000000"/>
                <w:sz w:val="18"/>
                <w:szCs w:val="18"/>
              </w:rPr>
              <w:t>0.93%</w:t>
            </w:r>
          </w:p>
          <w:p w:rsidR="00000000" w:rsidRDefault="005B0BC3">
            <w:pPr>
              <w:spacing w:after="100"/>
              <w:jc w:val="center"/>
              <w:rPr>
                <w:rFonts w:eastAsia="Times New Roman"/>
              </w:rPr>
            </w:pPr>
            <w:r>
              <w:rPr>
                <w:rFonts w:eastAsia="Times New Roman"/>
                <w:b/>
                <w:bCs/>
                <w:color w:val="000000"/>
                <w:sz w:val="18"/>
                <w:szCs w:val="18"/>
              </w:rPr>
              <w:t>5.27%</w:t>
            </w:r>
          </w:p>
          <w:p w:rsidR="00000000" w:rsidRDefault="005B0BC3">
            <w:pPr>
              <w:spacing w:after="100"/>
              <w:jc w:val="center"/>
              <w:rPr>
                <w:rFonts w:eastAsia="Times New Roman"/>
              </w:rPr>
            </w:pPr>
            <w:r>
              <w:rPr>
                <w:rFonts w:eastAsia="Times New Roman"/>
                <w:b/>
                <w:bCs/>
                <w:color w:val="000000"/>
                <w:sz w:val="18"/>
                <w:szCs w:val="18"/>
              </w:rPr>
              <w:t>60 bps</w:t>
            </w:r>
          </w:p>
          <w:p w:rsidR="00000000" w:rsidRDefault="005B0BC3">
            <w:pPr>
              <w:spacing w:after="100"/>
              <w:jc w:val="center"/>
              <w:rPr>
                <w:rFonts w:eastAsia="Times New Roman"/>
              </w:rPr>
            </w:pPr>
            <w:r>
              <w:rPr>
                <w:rFonts w:eastAsia="Times New Roman"/>
                <w:b/>
                <w:bCs/>
                <w:color w:val="000000"/>
                <w:sz w:val="18"/>
                <w:szCs w:val="18"/>
              </w:rPr>
              <w:t>24%</w:t>
            </w:r>
          </w:p>
          <w:p w:rsidR="00000000" w:rsidRDefault="005B0BC3">
            <w:pPr>
              <w:spacing w:after="100"/>
              <w:jc w:val="center"/>
              <w:rPr>
                <w:rFonts w:eastAsia="Times New Roman"/>
              </w:rPr>
            </w:pPr>
            <w:r>
              <w:rPr>
                <w:rFonts w:eastAsia="Times New Roman"/>
                <w:b/>
                <w:bCs/>
                <w:color w:val="000000"/>
                <w:sz w:val="18"/>
                <w:szCs w:val="18"/>
              </w:rPr>
              <w:t>2.79%</w:t>
            </w:r>
          </w:p>
          <w:p w:rsidR="00000000" w:rsidRDefault="005B0BC3">
            <w:pPr>
              <w:spacing w:after="100"/>
              <w:jc w:val="center"/>
              <w:rPr>
                <w:rFonts w:eastAsia="Times New Roman"/>
              </w:rPr>
            </w:pPr>
            <w:r>
              <w:rPr>
                <w:rFonts w:eastAsia="Times New Roman"/>
                <w:b/>
                <w:bCs/>
                <w:color w:val="000000"/>
                <w:sz w:val="18"/>
                <w:szCs w:val="18"/>
              </w:rPr>
              <w:t>(same for all ages)</w:t>
            </w:r>
          </w:p>
          <w:p w:rsidR="00000000" w:rsidRDefault="005B0BC3">
            <w:pPr>
              <w:spacing w:after="100"/>
              <w:jc w:val="center"/>
              <w:rPr>
                <w:rFonts w:eastAsia="Times New Roman"/>
              </w:rPr>
            </w:pPr>
            <w:r>
              <w:rPr>
                <w:rFonts w:eastAsia="Times New Roman"/>
                <w:b/>
                <w:bCs/>
                <w:color w:val="000000"/>
                <w:sz w:val="18"/>
                <w:szCs w:val="18"/>
              </w:rPr>
              <w:t>(same for all ages)</w:t>
            </w:r>
          </w:p>
        </w:tc>
      </w:tr>
      <w:tr w:rsidR="00000000">
        <w:trPr>
          <w:divId w:val="2083260335"/>
          <w:jc w:val="center"/>
        </w:trPr>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5B0BC3">
            <w:pPr>
              <w:spacing w:after="100"/>
              <w:rPr>
                <w:rFonts w:eastAsia="Times New Roman"/>
              </w:rPr>
            </w:pPr>
            <w:r>
              <w:rPr>
                <w:rFonts w:eastAsia="Times New Roman"/>
                <w:color w:val="000000"/>
                <w:sz w:val="18"/>
                <w:szCs w:val="18"/>
              </w:rPr>
              <w:t>Amount Due from Reinsurers</w:t>
            </w: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18"/>
                <w:szCs w:val="18"/>
              </w:rPr>
              <w:t>5,813</w:t>
            </w:r>
            <w:r>
              <w:rPr>
                <w:rFonts w:eastAsia="Times New Roman"/>
                <w:color w:val="000000"/>
                <w:sz w:val="18"/>
                <w:szCs w:val="18"/>
              </w:rPr>
              <w:t> </w:t>
            </w:r>
          </w:p>
        </w:tc>
        <w:tc>
          <w:tcPr>
            <w:tcW w:w="0" w:type="auto"/>
            <w:tcBorders>
              <w:top w:val="single" w:sz="2"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5B0BC3">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5B0BC3">
            <w:pPr>
              <w:spacing w:after="100"/>
              <w:jc w:val="right"/>
              <w:rPr>
                <w:rFonts w:eastAsia="Times New Roman"/>
              </w:rPr>
            </w:pPr>
            <w:r>
              <w:rPr>
                <w:rFonts w:eastAsia="Times New Roman"/>
                <w:color w:val="000000"/>
                <w:sz w:val="18"/>
                <w:szCs w:val="18"/>
              </w:rPr>
              <w:t>Lapse rates</w:t>
            </w:r>
          </w:p>
          <w:p w:rsidR="00000000" w:rsidRDefault="005B0BC3">
            <w:pPr>
              <w:spacing w:after="100"/>
              <w:jc w:val="right"/>
              <w:rPr>
                <w:rFonts w:eastAsia="Times New Roman"/>
              </w:rPr>
            </w:pPr>
            <w:r>
              <w:rPr>
                <w:rFonts w:eastAsia="Times New Roman"/>
                <w:color w:val="000000"/>
                <w:sz w:val="18"/>
                <w:szCs w:val="18"/>
              </w:rPr>
              <w:t>Withdrawal Rates</w:t>
            </w:r>
          </w:p>
          <w:p w:rsidR="00000000" w:rsidRDefault="005B0BC3">
            <w:pPr>
              <w:spacing w:after="100"/>
              <w:jc w:val="right"/>
              <w:rPr>
                <w:rFonts w:eastAsia="Times New Roman"/>
              </w:rPr>
            </w:pPr>
            <w:r>
              <w:rPr>
                <w:rFonts w:eastAsia="Times New Roman"/>
                <w:color w:val="000000"/>
                <w:sz w:val="18"/>
                <w:szCs w:val="18"/>
              </w:rPr>
              <w:t>GMIB Utilization Rates</w:t>
            </w:r>
          </w:p>
          <w:p w:rsidR="00000000" w:rsidRDefault="005B0BC3">
            <w:pPr>
              <w:spacing w:after="100"/>
              <w:jc w:val="right"/>
              <w:rPr>
                <w:rFonts w:eastAsia="Times New Roman"/>
              </w:rPr>
            </w:pPr>
            <w:r>
              <w:rPr>
                <w:rFonts w:eastAsia="Times New Roman"/>
                <w:color w:val="000000"/>
                <w:sz w:val="18"/>
                <w:szCs w:val="18"/>
              </w:rPr>
              <w:t>Non-performance risk (bps)</w:t>
            </w:r>
          </w:p>
          <w:p w:rsidR="00000000" w:rsidRDefault="005B0BC3">
            <w:pPr>
              <w:spacing w:after="100"/>
              <w:jc w:val="right"/>
              <w:rPr>
                <w:rFonts w:eastAsia="Times New Roman"/>
              </w:rPr>
            </w:pPr>
            <w:r>
              <w:rPr>
                <w:rFonts w:eastAsia="Times New Roman"/>
                <w:color w:val="000000"/>
                <w:sz w:val="18"/>
                <w:szCs w:val="18"/>
              </w:rPr>
              <w:t>Volatility rates - Equity</w:t>
            </w:r>
          </w:p>
          <w:p w:rsidR="00000000" w:rsidRDefault="005B0BC3">
            <w:pPr>
              <w:spacing w:after="100"/>
              <w:jc w:val="right"/>
              <w:rPr>
                <w:rFonts w:eastAsia="Times New Roman"/>
              </w:rPr>
            </w:pPr>
            <w:r>
              <w:rPr>
                <w:rFonts w:eastAsia="Times New Roman"/>
                <w:color w:val="000000"/>
                <w:sz w:val="18"/>
                <w:szCs w:val="18"/>
              </w:rPr>
              <w:t>Mortality: Ages 0-40</w:t>
            </w:r>
          </w:p>
          <w:p w:rsidR="00000000" w:rsidRDefault="005B0BC3">
            <w:pPr>
              <w:spacing w:after="100"/>
              <w:jc w:val="right"/>
              <w:rPr>
                <w:rFonts w:eastAsia="Times New Roman"/>
              </w:rPr>
            </w:pPr>
            <w:r>
              <w:rPr>
                <w:rFonts w:eastAsia="Times New Roman"/>
                <w:color w:val="000000"/>
                <w:sz w:val="18"/>
                <w:szCs w:val="18"/>
              </w:rPr>
              <w:t>Ages 41-60</w:t>
            </w:r>
          </w:p>
          <w:p w:rsidR="00000000" w:rsidRDefault="005B0BC3">
            <w:pPr>
              <w:spacing w:after="100"/>
              <w:jc w:val="right"/>
              <w:rPr>
                <w:rFonts w:eastAsia="Times New Roman"/>
              </w:rPr>
            </w:pPr>
            <w:r>
              <w:rPr>
                <w:rFonts w:eastAsia="Times New Roman"/>
                <w:color w:val="000000"/>
                <w:sz w:val="18"/>
                <w:szCs w:val="18"/>
              </w:rPr>
              <w:t>Ages 61-115</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5B0BC3">
            <w:pPr>
              <w:spacing w:after="100"/>
              <w:jc w:val="center"/>
              <w:rPr>
                <w:rFonts w:eastAsia="Times New Roman"/>
              </w:rPr>
            </w:pPr>
            <w:r>
              <w:rPr>
                <w:rFonts w:eastAsia="Times New Roman"/>
                <w:b/>
                <w:bCs/>
                <w:color w:val="000000"/>
                <w:sz w:val="18"/>
                <w:szCs w:val="18"/>
              </w:rPr>
              <w:t>0.45%-20.86%</w:t>
            </w:r>
          </w:p>
          <w:p w:rsidR="00000000" w:rsidRDefault="005B0BC3">
            <w:pPr>
              <w:spacing w:after="100"/>
              <w:jc w:val="center"/>
              <w:rPr>
                <w:rFonts w:eastAsia="Times New Roman"/>
              </w:rPr>
            </w:pPr>
            <w:r>
              <w:rPr>
                <w:rFonts w:eastAsia="Times New Roman"/>
                <w:b/>
                <w:bCs/>
                <w:color w:val="000000"/>
                <w:sz w:val="18"/>
                <w:szCs w:val="18"/>
              </w:rPr>
              <w:t>0.27%-8.66%</w:t>
            </w:r>
          </w:p>
          <w:p w:rsidR="00000000" w:rsidRDefault="005B0BC3">
            <w:pPr>
              <w:spacing w:after="100"/>
              <w:jc w:val="center"/>
              <w:rPr>
                <w:rFonts w:eastAsia="Times New Roman"/>
              </w:rPr>
            </w:pPr>
            <w:r>
              <w:rPr>
                <w:rFonts w:eastAsia="Times New Roman"/>
                <w:b/>
                <w:bCs/>
                <w:color w:val="000000"/>
                <w:sz w:val="18"/>
                <w:szCs w:val="18"/>
              </w:rPr>
              <w:t>0.04%-60.44%</w:t>
            </w:r>
          </w:p>
          <w:p w:rsidR="00000000" w:rsidRDefault="005B0BC3">
            <w:pPr>
              <w:spacing w:after="100"/>
              <w:jc w:val="center"/>
              <w:rPr>
                <w:rFonts w:eastAsia="Times New Roman"/>
              </w:rPr>
            </w:pPr>
            <w:r>
              <w:rPr>
                <w:rFonts w:eastAsia="Times New Roman"/>
                <w:b/>
                <w:bCs/>
                <w:color w:val="000000"/>
                <w:sz w:val="18"/>
                <w:szCs w:val="18"/>
              </w:rPr>
              <w:t>37 bps</w:t>
            </w:r>
          </w:p>
          <w:p w:rsidR="00000000" w:rsidRDefault="005B0BC3">
            <w:pPr>
              <w:spacing w:after="100"/>
              <w:jc w:val="center"/>
              <w:rPr>
                <w:rFonts w:eastAsia="Times New Roman"/>
              </w:rPr>
            </w:pPr>
            <w:r>
              <w:rPr>
                <w:rFonts w:eastAsia="Times New Roman"/>
                <w:b/>
                <w:bCs/>
                <w:color w:val="000000"/>
                <w:sz w:val="18"/>
                <w:szCs w:val="18"/>
              </w:rPr>
              <w:t>11%-31%</w:t>
            </w:r>
          </w:p>
          <w:p w:rsidR="00000000" w:rsidRDefault="005B0BC3">
            <w:pPr>
              <w:spacing w:after="100"/>
              <w:jc w:val="center"/>
              <w:rPr>
                <w:rFonts w:eastAsia="Times New Roman"/>
              </w:rPr>
            </w:pPr>
            <w:r>
              <w:rPr>
                <w:rFonts w:eastAsia="Times New Roman"/>
                <w:b/>
                <w:bCs/>
                <w:color w:val="000000"/>
                <w:sz w:val="18"/>
                <w:szCs w:val="18"/>
              </w:rPr>
              <w:t>0.01%-0.17%</w:t>
            </w:r>
          </w:p>
          <w:p w:rsidR="00000000" w:rsidRDefault="005B0BC3">
            <w:pPr>
              <w:spacing w:after="100"/>
              <w:jc w:val="center"/>
              <w:rPr>
                <w:rFonts w:eastAsia="Times New Roman"/>
              </w:rPr>
            </w:pPr>
            <w:r>
              <w:rPr>
                <w:rFonts w:eastAsia="Times New Roman"/>
                <w:b/>
                <w:bCs/>
                <w:color w:val="000000"/>
                <w:sz w:val="18"/>
                <w:szCs w:val="18"/>
              </w:rPr>
              <w:t>0.06%-0.53%</w:t>
            </w:r>
          </w:p>
          <w:p w:rsidR="00000000" w:rsidRDefault="005B0BC3">
            <w:pPr>
              <w:spacing w:after="100"/>
              <w:jc w:val="center"/>
              <w:rPr>
                <w:rFonts w:eastAsia="Times New Roman"/>
              </w:rPr>
            </w:pPr>
            <w:r>
              <w:rPr>
                <w:rFonts w:eastAsia="Times New Roman"/>
                <w:b/>
                <w:bCs/>
                <w:color w:val="000000"/>
                <w:sz w:val="18"/>
                <w:szCs w:val="18"/>
              </w:rPr>
              <w:t>0.31%-40.00%</w:t>
            </w:r>
          </w:p>
          <w:p w:rsidR="00000000" w:rsidRDefault="005B0BC3">
            <w:pPr>
              <w:spacing w:after="100"/>
              <w:jc w:val="center"/>
              <w:rPr>
                <w:rFonts w:eastAsia="Times New Roman"/>
              </w:rPr>
            </w:pPr>
          </w:p>
          <w:p w:rsidR="00000000" w:rsidRDefault="005B0BC3">
            <w:pPr>
              <w:spacing w:after="100"/>
              <w:jc w:val="center"/>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5B0BC3">
            <w:pPr>
              <w:spacing w:after="100"/>
              <w:jc w:val="center"/>
              <w:rPr>
                <w:rFonts w:eastAsia="Times New Roman"/>
              </w:rPr>
            </w:pPr>
            <w:r>
              <w:rPr>
                <w:rFonts w:eastAsia="Times New Roman"/>
                <w:b/>
                <w:bCs/>
                <w:color w:val="000000"/>
                <w:sz w:val="18"/>
                <w:szCs w:val="18"/>
              </w:rPr>
              <w:t>1.70%</w:t>
            </w:r>
          </w:p>
          <w:p w:rsidR="00000000" w:rsidRDefault="005B0BC3">
            <w:pPr>
              <w:spacing w:after="100"/>
              <w:jc w:val="center"/>
              <w:rPr>
                <w:rFonts w:eastAsia="Times New Roman"/>
              </w:rPr>
            </w:pPr>
            <w:r>
              <w:rPr>
                <w:rFonts w:eastAsia="Times New Roman"/>
                <w:b/>
                <w:bCs/>
                <w:color w:val="000000"/>
                <w:sz w:val="18"/>
                <w:szCs w:val="18"/>
              </w:rPr>
              <w:t>1.18%</w:t>
            </w:r>
          </w:p>
          <w:p w:rsidR="00000000" w:rsidRDefault="005B0BC3">
            <w:pPr>
              <w:spacing w:after="100"/>
              <w:jc w:val="center"/>
              <w:rPr>
                <w:rFonts w:eastAsia="Times New Roman"/>
              </w:rPr>
            </w:pPr>
            <w:r>
              <w:rPr>
                <w:rFonts w:eastAsia="Times New Roman"/>
                <w:b/>
                <w:bCs/>
                <w:color w:val="000000"/>
                <w:sz w:val="18"/>
                <w:szCs w:val="18"/>
              </w:rPr>
              <w:t>7.20%</w:t>
            </w:r>
          </w:p>
          <w:p w:rsidR="00000000" w:rsidRDefault="005B0BC3">
            <w:pPr>
              <w:spacing w:after="100"/>
              <w:jc w:val="center"/>
              <w:rPr>
                <w:rFonts w:eastAsia="Times New Roman"/>
              </w:rPr>
            </w:pPr>
            <w:r>
              <w:rPr>
                <w:rFonts w:eastAsia="Times New Roman"/>
                <w:b/>
                <w:bCs/>
                <w:color w:val="000000"/>
                <w:sz w:val="18"/>
                <w:szCs w:val="18"/>
              </w:rPr>
              <w:t>37 bps</w:t>
            </w:r>
          </w:p>
          <w:p w:rsidR="00000000" w:rsidRDefault="005B0BC3">
            <w:pPr>
              <w:spacing w:after="100"/>
              <w:jc w:val="center"/>
              <w:rPr>
                <w:rFonts w:eastAsia="Times New Roman"/>
              </w:rPr>
            </w:pPr>
            <w:r>
              <w:rPr>
                <w:rFonts w:eastAsia="Times New Roman"/>
                <w:b/>
                <w:bCs/>
                <w:color w:val="000000"/>
                <w:sz w:val="18"/>
                <w:szCs w:val="18"/>
              </w:rPr>
              <w:t>24%</w:t>
            </w:r>
          </w:p>
          <w:p w:rsidR="00000000" w:rsidRDefault="005B0BC3">
            <w:pPr>
              <w:spacing w:after="100"/>
              <w:jc w:val="center"/>
              <w:rPr>
                <w:rFonts w:eastAsia="Times New Roman"/>
              </w:rPr>
            </w:pPr>
            <w:r>
              <w:rPr>
                <w:rFonts w:eastAsia="Times New Roman"/>
                <w:b/>
                <w:bCs/>
                <w:color w:val="000000"/>
                <w:sz w:val="18"/>
                <w:szCs w:val="18"/>
              </w:rPr>
              <w:t>2.17%</w:t>
            </w:r>
          </w:p>
          <w:p w:rsidR="00000000" w:rsidRDefault="005B0BC3">
            <w:pPr>
              <w:spacing w:after="100"/>
              <w:jc w:val="center"/>
              <w:rPr>
                <w:rFonts w:eastAsia="Times New Roman"/>
              </w:rPr>
            </w:pPr>
            <w:r>
              <w:rPr>
                <w:rFonts w:eastAsia="Times New Roman"/>
                <w:b/>
                <w:bCs/>
                <w:color w:val="000000"/>
                <w:sz w:val="18"/>
                <w:szCs w:val="18"/>
              </w:rPr>
              <w:t>(same for all ages)</w:t>
            </w:r>
          </w:p>
          <w:p w:rsidR="00000000" w:rsidRDefault="005B0BC3">
            <w:pPr>
              <w:spacing w:after="100"/>
              <w:jc w:val="center"/>
              <w:rPr>
                <w:rFonts w:eastAsia="Times New Roman"/>
              </w:rPr>
            </w:pPr>
            <w:r>
              <w:rPr>
                <w:rFonts w:eastAsia="Times New Roman"/>
                <w:b/>
                <w:bCs/>
                <w:color w:val="000000"/>
                <w:sz w:val="18"/>
                <w:szCs w:val="18"/>
              </w:rPr>
              <w:t>(same for all ages)</w:t>
            </w:r>
          </w:p>
        </w:tc>
      </w:tr>
      <w:tr w:rsidR="00000000">
        <w:trPr>
          <w:divId w:val="2083260335"/>
          <w:jc w:val="center"/>
        </w:trPr>
        <w:tc>
          <w:tcPr>
            <w:tcW w:w="0" w:type="auto"/>
            <w:gridSpan w:val="3"/>
            <w:tcBorders>
              <w:top w:val="single" w:sz="2" w:space="0" w:color="000000"/>
              <w:bottom w:val="single" w:sz="2" w:space="0" w:color="000000"/>
            </w:tcBorders>
            <w:shd w:val="clear" w:color="auto" w:fill="CCEEFF"/>
            <w:tcMar>
              <w:top w:w="30" w:type="dxa"/>
              <w:left w:w="20" w:type="dxa"/>
              <w:bottom w:w="30" w:type="dxa"/>
              <w:right w:w="20" w:type="dxa"/>
            </w:tcMar>
            <w:vAlign w:val="center"/>
            <w:hideMark/>
          </w:tcPr>
          <w:p w:rsidR="00000000" w:rsidRDefault="005B0BC3">
            <w:pPr>
              <w:spacing w:after="100"/>
              <w:rPr>
                <w:rFonts w:eastAsia="Times New Roman"/>
              </w:rPr>
            </w:pPr>
            <w:r>
              <w:rPr>
                <w:rFonts w:eastAsia="Times New Roman"/>
                <w:b/>
                <w:bCs/>
                <w:color w:val="000000"/>
                <w:sz w:val="18"/>
                <w:szCs w:val="18"/>
              </w:rPr>
              <w:t>Liabilities:</w:t>
            </w: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2" w:space="0" w:color="000000"/>
              <w:bottom w:val="single" w:sz="2"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bl>
    <w:p w:rsidR="00000000" w:rsidRDefault="005B0BC3">
      <w:pPr>
        <w:jc w:val="center"/>
        <w:divId w:val="1314411526"/>
        <w:rPr>
          <w:rFonts w:eastAsia="Times New Roman"/>
        </w:rPr>
      </w:pPr>
      <w:r>
        <w:rPr>
          <w:rFonts w:eastAsia="Times New Roman"/>
          <w:color w:val="000000"/>
          <w:sz w:val="20"/>
          <w:szCs w:val="20"/>
        </w:rPr>
        <w:t>188</w:t>
      </w:r>
    </w:p>
    <w:p w:rsidR="00000000" w:rsidRDefault="005B0BC3">
      <w:pPr>
        <w:rPr>
          <w:rFonts w:eastAsia="Times New Roman"/>
        </w:rPr>
      </w:pPr>
      <w:r>
        <w:rPr>
          <w:rFonts w:eastAsia="Times New Roman"/>
        </w:rPr>
        <w:pict>
          <v:rect id="_x0000_i1226" style="width:0;height:1.5pt" o:hralign="center" o:hrstd="t" o:hr="t" fillcolor="#a0a0a0" stroked="f"/>
        </w:pict>
      </w:r>
    </w:p>
    <w:p w:rsidR="00000000" w:rsidRDefault="005B0BC3">
      <w:pPr>
        <w:jc w:val="center"/>
        <w:divId w:val="1658416039"/>
        <w:rPr>
          <w:rFonts w:eastAsia="Times New Roman"/>
        </w:rPr>
      </w:pPr>
      <w:r>
        <w:rPr>
          <w:rFonts w:eastAsia="Times New Roman"/>
          <w:b/>
          <w:bCs/>
          <w:color w:val="000000"/>
          <w:sz w:val="20"/>
          <w:szCs w:val="20"/>
        </w:rPr>
        <w:t>EQUITABLE HOLDINGS, INC.</w:t>
      </w:r>
    </w:p>
    <w:p w:rsidR="00000000" w:rsidRDefault="005B0BC3">
      <w:pPr>
        <w:jc w:val="center"/>
        <w:divId w:val="1658416039"/>
        <w:rPr>
          <w:rFonts w:eastAsia="Times New Roman"/>
        </w:rPr>
      </w:pPr>
      <w:r>
        <w:rPr>
          <w:rFonts w:eastAsia="Times New Roman"/>
          <w:b/>
          <w:bCs/>
          <w:color w:val="000000"/>
          <w:sz w:val="20"/>
          <w:szCs w:val="20"/>
        </w:rPr>
        <w:t>NOTES TO CONSOLIDATED FINANCIAL STATEMENTS, continued</w:t>
      </w:r>
    </w:p>
    <w:tbl>
      <w:tblPr>
        <w:tblW w:w="5000" w:type="pct"/>
        <w:jc w:val="center"/>
        <w:tblCellMar>
          <w:top w:w="15" w:type="dxa"/>
          <w:left w:w="15" w:type="dxa"/>
          <w:bottom w:w="15" w:type="dxa"/>
          <w:right w:w="15" w:type="dxa"/>
        </w:tblCellMar>
        <w:tblLook w:val="04A0" w:firstRow="1" w:lastRow="0" w:firstColumn="1" w:lastColumn="0" w:noHBand="0" w:noVBand="1"/>
      </w:tblPr>
      <w:tblGrid>
        <w:gridCol w:w="58"/>
        <w:gridCol w:w="1731"/>
        <w:gridCol w:w="37"/>
        <w:gridCol w:w="77"/>
        <w:gridCol w:w="393"/>
        <w:gridCol w:w="36"/>
        <w:gridCol w:w="36"/>
        <w:gridCol w:w="36"/>
        <w:gridCol w:w="36"/>
        <w:gridCol w:w="79"/>
        <w:gridCol w:w="774"/>
        <w:gridCol w:w="36"/>
        <w:gridCol w:w="36"/>
        <w:gridCol w:w="36"/>
        <w:gridCol w:w="36"/>
        <w:gridCol w:w="38"/>
        <w:gridCol w:w="2185"/>
        <w:gridCol w:w="37"/>
        <w:gridCol w:w="36"/>
        <w:gridCol w:w="36"/>
        <w:gridCol w:w="36"/>
        <w:gridCol w:w="51"/>
        <w:gridCol w:w="1042"/>
        <w:gridCol w:w="37"/>
        <w:gridCol w:w="36"/>
        <w:gridCol w:w="36"/>
        <w:gridCol w:w="36"/>
        <w:gridCol w:w="45"/>
        <w:gridCol w:w="1182"/>
        <w:gridCol w:w="36"/>
      </w:tblGrid>
      <w:tr w:rsidR="00000000">
        <w:trPr>
          <w:divId w:val="1247349190"/>
          <w:jc w:val="center"/>
        </w:trPr>
        <w:tc>
          <w:tcPr>
            <w:tcW w:w="50" w:type="pct"/>
            <w:vAlign w:val="center"/>
            <w:hideMark/>
          </w:tcPr>
          <w:p w:rsidR="00000000" w:rsidRDefault="005B0BC3">
            <w:pPr>
              <w:jc w:val="center"/>
              <w:rPr>
                <w:rFonts w:eastAsia="Times New Roman"/>
              </w:rPr>
            </w:pPr>
          </w:p>
        </w:tc>
        <w:tc>
          <w:tcPr>
            <w:tcW w:w="105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25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9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134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4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72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24734919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Fair</w:t>
            </w:r>
          </w:p>
          <w:p w:rsidR="00000000" w:rsidRDefault="005B0BC3">
            <w:pPr>
              <w:spacing w:after="100"/>
              <w:jc w:val="center"/>
              <w:rPr>
                <w:rFonts w:eastAsia="Times New Roman"/>
              </w:rPr>
            </w:pPr>
            <w:r>
              <w:rPr>
                <w:rFonts w:eastAsia="Times New Roman"/>
                <w:b/>
                <w:bCs/>
                <w:color w:val="000000"/>
                <w:sz w:val="16"/>
                <w:szCs w:val="16"/>
              </w:rPr>
              <w:t>Value</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Valuation</w:t>
            </w:r>
          </w:p>
          <w:p w:rsidR="00000000" w:rsidRDefault="005B0BC3">
            <w:pPr>
              <w:spacing w:after="100"/>
              <w:jc w:val="center"/>
              <w:rPr>
                <w:rFonts w:eastAsia="Times New Roman"/>
              </w:rPr>
            </w:pPr>
            <w:r>
              <w:rPr>
                <w:rFonts w:eastAsia="Times New Roman"/>
                <w:b/>
                <w:bCs/>
                <w:color w:val="000000"/>
                <w:sz w:val="16"/>
                <w:szCs w:val="16"/>
              </w:rPr>
              <w:t>Technique</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Significant</w:t>
            </w:r>
          </w:p>
          <w:p w:rsidR="00000000" w:rsidRDefault="005B0BC3">
            <w:pPr>
              <w:spacing w:after="100"/>
              <w:jc w:val="center"/>
              <w:rPr>
                <w:rFonts w:eastAsia="Times New Roman"/>
              </w:rPr>
            </w:pPr>
            <w:r>
              <w:rPr>
                <w:rFonts w:eastAsia="Times New Roman"/>
                <w:b/>
                <w:bCs/>
                <w:color w:val="000000"/>
                <w:sz w:val="16"/>
                <w:szCs w:val="16"/>
              </w:rPr>
              <w:t>Unobservable Input</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Range</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Weighted Average (2)</w:t>
            </w:r>
          </w:p>
        </w:tc>
      </w:tr>
      <w:tr w:rsidR="00000000">
        <w:trPr>
          <w:divId w:val="1247349190"/>
          <w:jc w:val="center"/>
        </w:trPr>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5B0BC3">
            <w:pPr>
              <w:spacing w:after="100"/>
              <w:rPr>
                <w:rFonts w:eastAsia="Times New Roman"/>
              </w:rPr>
            </w:pPr>
            <w:r>
              <w:rPr>
                <w:rFonts w:eastAsia="Times New Roman"/>
                <w:color w:val="000000"/>
                <w:sz w:val="18"/>
                <w:szCs w:val="18"/>
              </w:rPr>
              <w:t>AB Contingent Consideration Payable</w:t>
            </w: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18"/>
                <w:szCs w:val="18"/>
              </w:rPr>
              <w:t>38</w:t>
            </w:r>
            <w:r>
              <w:rPr>
                <w:rFonts w:eastAsia="Times New Roman"/>
                <w:color w:val="000000"/>
                <w:sz w:val="18"/>
                <w:szCs w:val="18"/>
              </w:rPr>
              <w:t> </w:t>
            </w:r>
          </w:p>
        </w:tc>
        <w:tc>
          <w:tcPr>
            <w:tcW w:w="0" w:type="auto"/>
            <w:tcBorders>
              <w:top w:val="single" w:sz="2"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5B0BC3">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5B0BC3">
            <w:pPr>
              <w:spacing w:after="100"/>
              <w:jc w:val="right"/>
              <w:rPr>
                <w:rFonts w:eastAsia="Times New Roman"/>
              </w:rPr>
            </w:pPr>
            <w:r>
              <w:rPr>
                <w:rFonts w:eastAsia="Times New Roman"/>
                <w:color w:val="000000"/>
                <w:sz w:val="18"/>
                <w:szCs w:val="18"/>
              </w:rPr>
              <w:t>Expected revenue growth rates</w:t>
            </w:r>
          </w:p>
          <w:p w:rsidR="00000000" w:rsidRDefault="005B0BC3">
            <w:pPr>
              <w:spacing w:after="100"/>
              <w:jc w:val="right"/>
              <w:rPr>
                <w:rFonts w:eastAsia="Times New Roman"/>
              </w:rPr>
            </w:pPr>
            <w:r>
              <w:rPr>
                <w:rFonts w:eastAsia="Times New Roman"/>
                <w:color w:val="000000"/>
                <w:sz w:val="18"/>
                <w:szCs w:val="18"/>
              </w:rPr>
              <w:t>Discount rate</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5B0BC3">
            <w:pPr>
              <w:spacing w:after="100"/>
              <w:jc w:val="center"/>
              <w:rPr>
                <w:rFonts w:eastAsia="Times New Roman"/>
              </w:rPr>
            </w:pPr>
            <w:r>
              <w:rPr>
                <w:rFonts w:eastAsia="Times New Roman"/>
                <w:b/>
                <w:bCs/>
                <w:color w:val="000000"/>
                <w:sz w:val="18"/>
                <w:szCs w:val="18"/>
              </w:rPr>
              <w:t>2.0% - 83.9%</w:t>
            </w:r>
          </w:p>
          <w:p w:rsidR="00000000" w:rsidRDefault="005B0BC3">
            <w:pPr>
              <w:spacing w:after="100"/>
              <w:jc w:val="center"/>
              <w:rPr>
                <w:rFonts w:eastAsia="Times New Roman"/>
              </w:rPr>
            </w:pPr>
            <w:r>
              <w:rPr>
                <w:rFonts w:eastAsia="Times New Roman"/>
                <w:b/>
                <w:bCs/>
                <w:color w:val="000000"/>
                <w:sz w:val="18"/>
                <w:szCs w:val="18"/>
              </w:rPr>
              <w:t>1.9% - 10.4%</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5B0BC3">
            <w:pPr>
              <w:spacing w:after="100"/>
              <w:jc w:val="center"/>
              <w:rPr>
                <w:rFonts w:eastAsia="Times New Roman"/>
              </w:rPr>
            </w:pPr>
            <w:r>
              <w:rPr>
                <w:rFonts w:eastAsia="Times New Roman"/>
                <w:b/>
                <w:bCs/>
                <w:color w:val="000000"/>
                <w:sz w:val="18"/>
                <w:szCs w:val="18"/>
              </w:rPr>
              <w:t>11.9%</w:t>
            </w:r>
          </w:p>
          <w:p w:rsidR="00000000" w:rsidRDefault="005B0BC3">
            <w:pPr>
              <w:spacing w:after="100"/>
              <w:jc w:val="center"/>
              <w:rPr>
                <w:rFonts w:eastAsia="Times New Roman"/>
              </w:rPr>
            </w:pPr>
            <w:r>
              <w:rPr>
                <w:rFonts w:eastAsia="Times New Roman"/>
                <w:b/>
                <w:bCs/>
                <w:color w:val="000000"/>
                <w:sz w:val="18"/>
                <w:szCs w:val="18"/>
              </w:rPr>
              <w:t>7.0%</w:t>
            </w:r>
          </w:p>
        </w:tc>
      </w:tr>
      <w:tr w:rsidR="00000000">
        <w:trPr>
          <w:divId w:val="1247349190"/>
          <w:jc w:val="center"/>
        </w:trPr>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5B0BC3">
            <w:pPr>
              <w:spacing w:after="100"/>
              <w:rPr>
                <w:rFonts w:eastAsia="Times New Roman"/>
              </w:rPr>
            </w:pPr>
            <w:r>
              <w:rPr>
                <w:rFonts w:eastAsia="Times New Roman"/>
                <w:color w:val="000000"/>
                <w:sz w:val="18"/>
                <w:szCs w:val="18"/>
              </w:rPr>
              <w:t>GMIBNLG</w:t>
            </w:r>
          </w:p>
        </w:tc>
        <w:tc>
          <w:tcPr>
            <w:tcW w:w="0" w:type="auto"/>
            <w:gridSpan w:val="2"/>
            <w:tcBorders>
              <w:top w:val="single" w:sz="2" w:space="0" w:color="000000"/>
            </w:tcBorders>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18"/>
                <w:szCs w:val="18"/>
              </w:rPr>
              <w:t>8,503</w:t>
            </w:r>
            <w:r>
              <w:rPr>
                <w:rFonts w:eastAsia="Times New Roman"/>
                <w:color w:val="000000"/>
                <w:sz w:val="18"/>
                <w:szCs w:val="18"/>
              </w:rPr>
              <w:t> </w:t>
            </w:r>
          </w:p>
        </w:tc>
        <w:tc>
          <w:tcPr>
            <w:tcW w:w="0" w:type="auto"/>
            <w:tcBorders>
              <w:top w:val="single" w:sz="2" w:space="0" w:color="000000"/>
            </w:tcBorders>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5B0BC3">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5B0BC3">
            <w:pPr>
              <w:spacing w:after="100"/>
              <w:jc w:val="right"/>
              <w:rPr>
                <w:rFonts w:eastAsia="Times New Roman"/>
              </w:rPr>
            </w:pPr>
            <w:r>
              <w:rPr>
                <w:rFonts w:eastAsia="Times New Roman"/>
                <w:color w:val="000000"/>
                <w:sz w:val="18"/>
                <w:szCs w:val="18"/>
              </w:rPr>
              <w:t>Non-performance risk</w:t>
            </w:r>
          </w:p>
          <w:p w:rsidR="00000000" w:rsidRDefault="005B0BC3">
            <w:pPr>
              <w:spacing w:after="100"/>
              <w:jc w:val="right"/>
              <w:rPr>
                <w:rFonts w:eastAsia="Times New Roman"/>
              </w:rPr>
            </w:pPr>
            <w:r>
              <w:rPr>
                <w:rFonts w:eastAsia="Times New Roman"/>
                <w:color w:val="000000"/>
                <w:sz w:val="18"/>
                <w:szCs w:val="18"/>
              </w:rPr>
              <w:t>Lapse rates</w:t>
            </w:r>
          </w:p>
          <w:p w:rsidR="00000000" w:rsidRDefault="005B0BC3">
            <w:pPr>
              <w:spacing w:after="100"/>
              <w:jc w:val="right"/>
              <w:rPr>
                <w:rFonts w:eastAsia="Times New Roman"/>
              </w:rPr>
            </w:pPr>
            <w:r>
              <w:rPr>
                <w:rFonts w:eastAsia="Times New Roman"/>
                <w:color w:val="000000"/>
                <w:sz w:val="18"/>
                <w:szCs w:val="18"/>
              </w:rPr>
              <w:t>Withdrawal rates</w:t>
            </w:r>
          </w:p>
          <w:p w:rsidR="00000000" w:rsidRDefault="005B0BC3">
            <w:pPr>
              <w:spacing w:after="100"/>
              <w:jc w:val="right"/>
              <w:rPr>
                <w:rFonts w:eastAsia="Times New Roman"/>
              </w:rPr>
            </w:pPr>
            <w:r>
              <w:rPr>
                <w:rFonts w:eastAsia="Times New Roman"/>
                <w:color w:val="000000"/>
                <w:sz w:val="18"/>
                <w:szCs w:val="18"/>
              </w:rPr>
              <w:t>Annuitization rates</w:t>
            </w:r>
          </w:p>
          <w:p w:rsidR="00000000" w:rsidRDefault="005B0BC3">
            <w:pPr>
              <w:spacing w:after="100"/>
              <w:jc w:val="right"/>
              <w:rPr>
                <w:rFonts w:eastAsia="Times New Roman"/>
              </w:rPr>
            </w:pPr>
            <w:r>
              <w:rPr>
                <w:rFonts w:eastAsia="Times New Roman"/>
                <w:color w:val="000000"/>
                <w:sz w:val="18"/>
                <w:szCs w:val="18"/>
              </w:rPr>
              <w:t>Mortality rates (1):</w:t>
            </w:r>
          </w:p>
          <w:p w:rsidR="00000000" w:rsidRDefault="005B0BC3">
            <w:pPr>
              <w:spacing w:after="100"/>
              <w:jc w:val="right"/>
              <w:rPr>
                <w:rFonts w:eastAsia="Times New Roman"/>
              </w:rPr>
            </w:pPr>
            <w:r>
              <w:rPr>
                <w:rFonts w:eastAsia="Times New Roman"/>
                <w:color w:val="000000"/>
                <w:sz w:val="18"/>
                <w:szCs w:val="18"/>
              </w:rPr>
              <w:t>Ages 0 - 40</w:t>
            </w:r>
          </w:p>
          <w:p w:rsidR="00000000" w:rsidRDefault="005B0BC3">
            <w:pPr>
              <w:spacing w:after="100"/>
              <w:jc w:val="right"/>
              <w:rPr>
                <w:rFonts w:eastAsia="Times New Roman"/>
              </w:rPr>
            </w:pPr>
            <w:r>
              <w:rPr>
                <w:rFonts w:eastAsia="Times New Roman"/>
                <w:color w:val="000000"/>
                <w:sz w:val="18"/>
                <w:szCs w:val="18"/>
              </w:rPr>
              <w:t>Ages 41-60</w:t>
            </w:r>
          </w:p>
          <w:p w:rsidR="00000000" w:rsidRDefault="005B0BC3">
            <w:pPr>
              <w:spacing w:after="100"/>
              <w:jc w:val="right"/>
              <w:rPr>
                <w:rFonts w:eastAsia="Times New Roman"/>
              </w:rPr>
            </w:pPr>
            <w:r>
              <w:rPr>
                <w:rFonts w:eastAsia="Times New Roman"/>
                <w:color w:val="000000"/>
                <w:sz w:val="18"/>
                <w:szCs w:val="18"/>
              </w:rPr>
              <w:t>Ages 61-115</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5B0BC3">
            <w:pPr>
              <w:spacing w:after="100"/>
              <w:jc w:val="center"/>
              <w:rPr>
                <w:rFonts w:eastAsia="Times New Roman"/>
              </w:rPr>
            </w:pPr>
            <w:r>
              <w:rPr>
                <w:rFonts w:eastAsia="Times New Roman"/>
                <w:b/>
                <w:bCs/>
                <w:color w:val="000000"/>
                <w:sz w:val="18"/>
                <w:szCs w:val="18"/>
              </w:rPr>
              <w:t>111 bps</w:t>
            </w:r>
          </w:p>
          <w:p w:rsidR="00000000" w:rsidRDefault="005B0BC3">
            <w:pPr>
              <w:spacing w:after="100"/>
              <w:jc w:val="center"/>
              <w:rPr>
                <w:rFonts w:eastAsia="Times New Roman"/>
              </w:rPr>
            </w:pPr>
            <w:r>
              <w:rPr>
                <w:rFonts w:eastAsia="Times New Roman"/>
                <w:b/>
                <w:bCs/>
                <w:color w:val="000000"/>
                <w:sz w:val="18"/>
                <w:szCs w:val="18"/>
              </w:rPr>
              <w:t>1.04%-23.57%</w:t>
            </w:r>
          </w:p>
          <w:p w:rsidR="00000000" w:rsidRDefault="005B0BC3">
            <w:pPr>
              <w:spacing w:after="100"/>
              <w:jc w:val="center"/>
              <w:rPr>
                <w:rFonts w:eastAsia="Times New Roman"/>
              </w:rPr>
            </w:pPr>
            <w:r>
              <w:rPr>
                <w:rFonts w:eastAsia="Times New Roman"/>
                <w:b/>
                <w:bCs/>
                <w:color w:val="000000"/>
                <w:sz w:val="18"/>
                <w:szCs w:val="18"/>
              </w:rPr>
              <w:t>0.27%-8.66%</w:t>
            </w:r>
          </w:p>
          <w:p w:rsidR="00000000" w:rsidRDefault="005B0BC3">
            <w:pPr>
              <w:spacing w:after="100"/>
              <w:jc w:val="center"/>
              <w:rPr>
                <w:rFonts w:eastAsia="Times New Roman"/>
              </w:rPr>
            </w:pPr>
            <w:r>
              <w:rPr>
                <w:rFonts w:eastAsia="Times New Roman"/>
                <w:b/>
                <w:bCs/>
                <w:color w:val="000000"/>
                <w:sz w:val="18"/>
                <w:szCs w:val="18"/>
              </w:rPr>
              <w:t>0.03%-100.00%</w:t>
            </w:r>
          </w:p>
          <w:p w:rsidR="00000000" w:rsidRDefault="005B0BC3">
            <w:pPr>
              <w:spacing w:after="100"/>
              <w:jc w:val="center"/>
              <w:rPr>
                <w:rFonts w:eastAsia="Times New Roman"/>
              </w:rPr>
            </w:pPr>
          </w:p>
          <w:p w:rsidR="00000000" w:rsidRDefault="005B0BC3">
            <w:pPr>
              <w:spacing w:after="100"/>
              <w:jc w:val="center"/>
              <w:rPr>
                <w:rFonts w:eastAsia="Times New Roman"/>
              </w:rPr>
            </w:pPr>
            <w:r>
              <w:rPr>
                <w:rFonts w:eastAsia="Times New Roman"/>
                <w:b/>
                <w:bCs/>
                <w:color w:val="000000"/>
                <w:sz w:val="18"/>
                <w:szCs w:val="18"/>
              </w:rPr>
              <w:t>0.01%-0.19%</w:t>
            </w:r>
          </w:p>
          <w:p w:rsidR="00000000" w:rsidRDefault="005B0BC3">
            <w:pPr>
              <w:spacing w:after="100"/>
              <w:jc w:val="center"/>
              <w:rPr>
                <w:rFonts w:eastAsia="Times New Roman"/>
              </w:rPr>
            </w:pPr>
            <w:r>
              <w:rPr>
                <w:rFonts w:eastAsia="Times New Roman"/>
                <w:b/>
                <w:bCs/>
                <w:color w:val="000000"/>
                <w:sz w:val="18"/>
                <w:szCs w:val="18"/>
              </w:rPr>
              <w:t>0.07%-0.57%</w:t>
            </w:r>
          </w:p>
          <w:p w:rsidR="00000000" w:rsidRDefault="005B0BC3">
            <w:pPr>
              <w:spacing w:after="100"/>
              <w:jc w:val="center"/>
              <w:rPr>
                <w:rFonts w:eastAsia="Times New Roman"/>
              </w:rPr>
            </w:pPr>
            <w:r>
              <w:rPr>
                <w:rFonts w:eastAsia="Times New Roman"/>
                <w:b/>
                <w:bCs/>
                <w:color w:val="000000"/>
                <w:sz w:val="18"/>
                <w:szCs w:val="18"/>
              </w:rPr>
              <w:t>0.44%-43.60%</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5B0BC3">
            <w:pPr>
              <w:spacing w:after="100"/>
              <w:jc w:val="center"/>
              <w:rPr>
                <w:rFonts w:eastAsia="Times New Roman"/>
              </w:rPr>
            </w:pPr>
            <w:r>
              <w:rPr>
                <w:rFonts w:eastAsia="Times New Roman"/>
                <w:b/>
                <w:bCs/>
                <w:color w:val="000000"/>
                <w:sz w:val="18"/>
                <w:szCs w:val="18"/>
              </w:rPr>
              <w:t>111 bps</w:t>
            </w:r>
          </w:p>
          <w:p w:rsidR="00000000" w:rsidRDefault="005B0BC3">
            <w:pPr>
              <w:spacing w:after="100"/>
              <w:jc w:val="center"/>
              <w:rPr>
                <w:rFonts w:eastAsia="Times New Roman"/>
              </w:rPr>
            </w:pPr>
            <w:r>
              <w:rPr>
                <w:rFonts w:eastAsia="Times New Roman"/>
                <w:b/>
                <w:bCs/>
                <w:color w:val="000000"/>
                <w:sz w:val="18"/>
                <w:szCs w:val="18"/>
              </w:rPr>
              <w:t>3.55%</w:t>
            </w:r>
          </w:p>
          <w:p w:rsidR="00000000" w:rsidRDefault="005B0BC3">
            <w:pPr>
              <w:spacing w:after="100"/>
              <w:jc w:val="center"/>
              <w:rPr>
                <w:rFonts w:eastAsia="Times New Roman"/>
              </w:rPr>
            </w:pPr>
            <w:r>
              <w:rPr>
                <w:rFonts w:eastAsia="Times New Roman"/>
                <w:b/>
                <w:bCs/>
                <w:color w:val="000000"/>
                <w:sz w:val="18"/>
                <w:szCs w:val="18"/>
              </w:rPr>
              <w:t>1.04%</w:t>
            </w:r>
          </w:p>
          <w:p w:rsidR="00000000" w:rsidRDefault="005B0BC3">
            <w:pPr>
              <w:spacing w:after="100"/>
              <w:jc w:val="center"/>
              <w:rPr>
                <w:rFonts w:eastAsia="Times New Roman"/>
              </w:rPr>
            </w:pPr>
            <w:r>
              <w:rPr>
                <w:rFonts w:eastAsia="Times New Roman"/>
                <w:b/>
                <w:bCs/>
                <w:color w:val="000000"/>
                <w:sz w:val="18"/>
                <w:szCs w:val="18"/>
              </w:rPr>
              <w:t>5.24%</w:t>
            </w:r>
          </w:p>
          <w:p w:rsidR="00000000" w:rsidRDefault="005B0BC3">
            <w:pPr>
              <w:spacing w:after="100"/>
              <w:jc w:val="center"/>
              <w:rPr>
                <w:rFonts w:eastAsia="Times New Roman"/>
              </w:rPr>
            </w:pPr>
          </w:p>
          <w:p w:rsidR="00000000" w:rsidRDefault="005B0BC3">
            <w:pPr>
              <w:spacing w:after="100"/>
              <w:jc w:val="center"/>
              <w:rPr>
                <w:rFonts w:eastAsia="Times New Roman"/>
              </w:rPr>
            </w:pPr>
            <w:r>
              <w:rPr>
                <w:rFonts w:eastAsia="Times New Roman"/>
                <w:b/>
                <w:bCs/>
                <w:color w:val="000000"/>
                <w:sz w:val="18"/>
                <w:szCs w:val="18"/>
              </w:rPr>
              <w:t>1.62%</w:t>
            </w:r>
          </w:p>
          <w:p w:rsidR="00000000" w:rsidRDefault="005B0BC3">
            <w:pPr>
              <w:spacing w:after="100"/>
              <w:jc w:val="center"/>
              <w:rPr>
                <w:rFonts w:eastAsia="Times New Roman"/>
              </w:rPr>
            </w:pPr>
            <w:r>
              <w:rPr>
                <w:rFonts w:eastAsia="Times New Roman"/>
                <w:b/>
                <w:bCs/>
                <w:color w:val="000000"/>
                <w:sz w:val="18"/>
                <w:szCs w:val="18"/>
              </w:rPr>
              <w:t>(same for all ages)</w:t>
            </w:r>
          </w:p>
          <w:p w:rsidR="00000000" w:rsidRDefault="005B0BC3">
            <w:pPr>
              <w:spacing w:after="100"/>
              <w:jc w:val="center"/>
              <w:rPr>
                <w:rFonts w:eastAsia="Times New Roman"/>
              </w:rPr>
            </w:pPr>
            <w:r>
              <w:rPr>
                <w:rFonts w:eastAsia="Times New Roman"/>
                <w:b/>
                <w:bCs/>
                <w:color w:val="000000"/>
                <w:sz w:val="18"/>
                <w:szCs w:val="18"/>
              </w:rPr>
              <w:t>(same for all ages)</w:t>
            </w:r>
          </w:p>
        </w:tc>
      </w:tr>
      <w:tr w:rsidR="00000000">
        <w:trPr>
          <w:divId w:val="1247349190"/>
          <w:jc w:val="center"/>
        </w:trPr>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5B0BC3">
            <w:pPr>
              <w:spacing w:after="100"/>
              <w:rPr>
                <w:rFonts w:eastAsia="Times New Roman"/>
              </w:rPr>
            </w:pPr>
            <w:r>
              <w:rPr>
                <w:rFonts w:eastAsia="Times New Roman"/>
                <w:color w:val="000000"/>
                <w:sz w:val="18"/>
                <w:szCs w:val="18"/>
              </w:rPr>
              <w:t>GWBL/GMWB</w:t>
            </w: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18"/>
                <w:szCs w:val="18"/>
              </w:rPr>
              <w:t>99</w:t>
            </w:r>
            <w:r>
              <w:rPr>
                <w:rFonts w:eastAsia="Times New Roman"/>
                <w:color w:val="000000"/>
                <w:sz w:val="18"/>
                <w:szCs w:val="18"/>
              </w:rPr>
              <w:t> </w:t>
            </w:r>
          </w:p>
        </w:tc>
        <w:tc>
          <w:tcPr>
            <w:tcW w:w="0" w:type="auto"/>
            <w:tcBorders>
              <w:top w:val="single" w:sz="2"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5B0BC3">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5B0BC3">
            <w:pPr>
              <w:spacing w:after="100"/>
              <w:jc w:val="right"/>
              <w:rPr>
                <w:rFonts w:eastAsia="Times New Roman"/>
              </w:rPr>
            </w:pPr>
            <w:r>
              <w:rPr>
                <w:rFonts w:eastAsia="Times New Roman"/>
                <w:color w:val="000000"/>
                <w:sz w:val="18"/>
                <w:szCs w:val="18"/>
              </w:rPr>
              <w:t>Lapse rates</w:t>
            </w:r>
          </w:p>
          <w:p w:rsidR="00000000" w:rsidRDefault="005B0BC3">
            <w:pPr>
              <w:spacing w:after="100"/>
              <w:jc w:val="right"/>
              <w:rPr>
                <w:rFonts w:eastAsia="Times New Roman"/>
              </w:rPr>
            </w:pPr>
            <w:r>
              <w:rPr>
                <w:rFonts w:eastAsia="Times New Roman"/>
                <w:color w:val="000000"/>
                <w:sz w:val="18"/>
                <w:szCs w:val="18"/>
              </w:rPr>
              <w:t>Withdrawal Rates</w:t>
            </w:r>
          </w:p>
          <w:p w:rsidR="00000000" w:rsidRDefault="005B0BC3">
            <w:pPr>
              <w:spacing w:after="100"/>
              <w:jc w:val="right"/>
              <w:rPr>
                <w:rFonts w:eastAsia="Times New Roman"/>
              </w:rPr>
            </w:pPr>
            <w:r>
              <w:rPr>
                <w:rFonts w:eastAsia="Times New Roman"/>
                <w:color w:val="000000"/>
                <w:sz w:val="18"/>
                <w:szCs w:val="18"/>
              </w:rPr>
              <w:t>Utilization Rates</w:t>
            </w:r>
          </w:p>
          <w:p w:rsidR="00000000" w:rsidRDefault="005B0BC3">
            <w:pPr>
              <w:spacing w:after="100"/>
              <w:jc w:val="right"/>
              <w:rPr>
                <w:rFonts w:eastAsia="Times New Roman"/>
              </w:rPr>
            </w:pPr>
          </w:p>
          <w:p w:rsidR="00000000" w:rsidRDefault="005B0BC3">
            <w:pPr>
              <w:spacing w:after="100"/>
              <w:jc w:val="right"/>
              <w:rPr>
                <w:rFonts w:eastAsia="Times New Roman"/>
              </w:rPr>
            </w:pPr>
            <w:r>
              <w:rPr>
                <w:rFonts w:eastAsia="Times New Roman"/>
                <w:color w:val="000000"/>
                <w:sz w:val="18"/>
                <w:szCs w:val="18"/>
              </w:rPr>
              <w:t>Volatility rates - Equity</w:t>
            </w:r>
          </w:p>
          <w:p w:rsidR="00000000" w:rsidRDefault="005B0BC3">
            <w:pPr>
              <w:spacing w:after="100"/>
              <w:jc w:val="right"/>
              <w:rPr>
                <w:rFonts w:eastAsia="Times New Roman"/>
              </w:rPr>
            </w:pPr>
            <w:r>
              <w:rPr>
                <w:rFonts w:eastAsia="Times New Roman"/>
                <w:color w:val="000000"/>
                <w:sz w:val="18"/>
                <w:szCs w:val="18"/>
              </w:rPr>
              <w:t>Non-performance risk(bps)</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5B0BC3">
            <w:pPr>
              <w:spacing w:after="100"/>
              <w:jc w:val="center"/>
              <w:rPr>
                <w:rFonts w:eastAsia="Times New Roman"/>
              </w:rPr>
            </w:pPr>
            <w:r>
              <w:rPr>
                <w:rFonts w:eastAsia="Times New Roman"/>
                <w:b/>
                <w:bCs/>
                <w:color w:val="000000"/>
                <w:sz w:val="18"/>
                <w:szCs w:val="18"/>
              </w:rPr>
              <w:t>0.60%-20.86%</w:t>
            </w:r>
          </w:p>
          <w:p w:rsidR="00000000" w:rsidRDefault="005B0BC3">
            <w:pPr>
              <w:spacing w:after="100"/>
              <w:jc w:val="center"/>
              <w:rPr>
                <w:rFonts w:eastAsia="Times New Roman"/>
              </w:rPr>
            </w:pPr>
            <w:r>
              <w:rPr>
                <w:rFonts w:eastAsia="Times New Roman"/>
                <w:b/>
                <w:bCs/>
                <w:color w:val="000000"/>
                <w:sz w:val="18"/>
                <w:szCs w:val="18"/>
              </w:rPr>
              <w:t>0.00%-8.00%</w:t>
            </w:r>
          </w:p>
          <w:p w:rsidR="00000000" w:rsidRDefault="005B0BC3">
            <w:pPr>
              <w:spacing w:after="100"/>
              <w:jc w:val="center"/>
              <w:rPr>
                <w:rFonts w:eastAsia="Times New Roman"/>
              </w:rPr>
            </w:pPr>
            <w:r>
              <w:rPr>
                <w:rFonts w:eastAsia="Times New Roman"/>
                <w:b/>
                <w:bCs/>
                <w:color w:val="000000"/>
                <w:sz w:val="18"/>
                <w:szCs w:val="18"/>
              </w:rPr>
              <w:t>100</w:t>
            </w:r>
            <w:r>
              <w:rPr>
                <w:rFonts w:eastAsia="Times New Roman"/>
                <w:b/>
                <w:bCs/>
                <w:color w:val="000000"/>
                <w:sz w:val="18"/>
                <w:szCs w:val="18"/>
              </w:rPr>
              <w:t>% once starting</w:t>
            </w:r>
          </w:p>
          <w:p w:rsidR="00000000" w:rsidRDefault="005B0BC3">
            <w:pPr>
              <w:spacing w:after="100"/>
              <w:jc w:val="center"/>
              <w:rPr>
                <w:rFonts w:eastAsia="Times New Roman"/>
              </w:rPr>
            </w:pPr>
            <w:r>
              <w:rPr>
                <w:rFonts w:eastAsia="Times New Roman"/>
                <w:b/>
                <w:bCs/>
                <w:color w:val="000000"/>
                <w:sz w:val="18"/>
                <w:szCs w:val="18"/>
              </w:rPr>
              <w:t>11%-31%</w:t>
            </w:r>
          </w:p>
          <w:p w:rsidR="00000000" w:rsidRDefault="005B0BC3">
            <w:pPr>
              <w:spacing w:after="100"/>
              <w:jc w:val="center"/>
              <w:rPr>
                <w:rFonts w:eastAsia="Times New Roman"/>
              </w:rPr>
            </w:pPr>
            <w:r>
              <w:rPr>
                <w:rFonts w:eastAsia="Times New Roman"/>
                <w:b/>
                <w:bCs/>
                <w:color w:val="000000"/>
                <w:sz w:val="18"/>
                <w:szCs w:val="18"/>
              </w:rPr>
              <w:t>111 bps</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5B0BC3">
            <w:pPr>
              <w:spacing w:after="100"/>
              <w:jc w:val="center"/>
              <w:rPr>
                <w:rFonts w:eastAsia="Times New Roman"/>
              </w:rPr>
            </w:pPr>
            <w:r>
              <w:rPr>
                <w:rFonts w:eastAsia="Times New Roman"/>
                <w:b/>
                <w:bCs/>
                <w:color w:val="000000"/>
                <w:sz w:val="18"/>
                <w:szCs w:val="18"/>
              </w:rPr>
              <w:t>2.65%</w:t>
            </w:r>
          </w:p>
          <w:p w:rsidR="00000000" w:rsidRDefault="005B0BC3">
            <w:pPr>
              <w:spacing w:after="100"/>
              <w:jc w:val="center"/>
              <w:rPr>
                <w:rFonts w:eastAsia="Times New Roman"/>
              </w:rPr>
            </w:pPr>
            <w:r>
              <w:rPr>
                <w:rFonts w:eastAsia="Times New Roman"/>
                <w:b/>
                <w:bCs/>
                <w:color w:val="000000"/>
                <w:sz w:val="18"/>
                <w:szCs w:val="18"/>
              </w:rPr>
              <w:t>0.93%</w:t>
            </w:r>
          </w:p>
          <w:p w:rsidR="00000000" w:rsidRDefault="005B0BC3">
            <w:pPr>
              <w:spacing w:after="100"/>
              <w:jc w:val="center"/>
              <w:rPr>
                <w:rFonts w:eastAsia="Times New Roman"/>
              </w:rPr>
            </w:pPr>
          </w:p>
          <w:p w:rsidR="00000000" w:rsidRDefault="005B0BC3">
            <w:pPr>
              <w:spacing w:after="100"/>
              <w:jc w:val="center"/>
              <w:rPr>
                <w:rFonts w:eastAsia="Times New Roman"/>
              </w:rPr>
            </w:pPr>
          </w:p>
          <w:p w:rsidR="00000000" w:rsidRDefault="005B0BC3">
            <w:pPr>
              <w:spacing w:after="100"/>
              <w:jc w:val="center"/>
              <w:rPr>
                <w:rFonts w:eastAsia="Times New Roman"/>
              </w:rPr>
            </w:pPr>
            <w:r>
              <w:rPr>
                <w:rFonts w:eastAsia="Times New Roman"/>
                <w:b/>
                <w:bCs/>
                <w:color w:val="000000"/>
                <w:sz w:val="18"/>
                <w:szCs w:val="18"/>
              </w:rPr>
              <w:t>24%</w:t>
            </w:r>
          </w:p>
        </w:tc>
      </w:tr>
      <w:tr w:rsidR="00000000">
        <w:trPr>
          <w:divId w:val="1247349190"/>
          <w:jc w:val="center"/>
        </w:trPr>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5B0BC3">
            <w:pPr>
              <w:spacing w:after="100"/>
              <w:rPr>
                <w:rFonts w:eastAsia="Times New Roman"/>
              </w:rPr>
            </w:pPr>
            <w:r>
              <w:rPr>
                <w:rFonts w:eastAsia="Times New Roman"/>
                <w:color w:val="000000"/>
                <w:sz w:val="18"/>
                <w:szCs w:val="18"/>
              </w:rPr>
              <w:t>GIB</w:t>
            </w:r>
          </w:p>
        </w:tc>
        <w:tc>
          <w:tcPr>
            <w:tcW w:w="0" w:type="auto"/>
            <w:gridSpan w:val="2"/>
            <w:tcBorders>
              <w:top w:val="single" w:sz="2" w:space="0" w:color="000000"/>
            </w:tcBorders>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18"/>
                <w:szCs w:val="18"/>
              </w:rPr>
              <w:t>(75)</w:t>
            </w:r>
          </w:p>
        </w:tc>
        <w:tc>
          <w:tcPr>
            <w:tcW w:w="0" w:type="auto"/>
            <w:tcBorders>
              <w:top w:val="single" w:sz="2" w:space="0" w:color="000000"/>
            </w:tcBorders>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5B0BC3">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5B0BC3">
            <w:pPr>
              <w:spacing w:after="100"/>
              <w:jc w:val="right"/>
              <w:rPr>
                <w:rFonts w:eastAsia="Times New Roman"/>
              </w:rPr>
            </w:pPr>
            <w:r>
              <w:rPr>
                <w:rFonts w:eastAsia="Times New Roman"/>
                <w:color w:val="000000"/>
                <w:sz w:val="18"/>
                <w:szCs w:val="18"/>
              </w:rPr>
              <w:t>Lapse rates</w:t>
            </w:r>
          </w:p>
          <w:p w:rsidR="00000000" w:rsidRDefault="005B0BC3">
            <w:pPr>
              <w:spacing w:after="100"/>
              <w:jc w:val="right"/>
              <w:rPr>
                <w:rFonts w:eastAsia="Times New Roman"/>
              </w:rPr>
            </w:pPr>
            <w:r>
              <w:rPr>
                <w:rFonts w:eastAsia="Times New Roman"/>
                <w:color w:val="000000"/>
                <w:sz w:val="18"/>
                <w:szCs w:val="18"/>
              </w:rPr>
              <w:t>Withdrawal Rates</w:t>
            </w:r>
          </w:p>
          <w:p w:rsidR="00000000" w:rsidRDefault="005B0BC3">
            <w:pPr>
              <w:spacing w:after="100"/>
              <w:jc w:val="right"/>
              <w:rPr>
                <w:rFonts w:eastAsia="Times New Roman"/>
              </w:rPr>
            </w:pPr>
            <w:r>
              <w:rPr>
                <w:rFonts w:eastAsia="Times New Roman"/>
                <w:color w:val="000000"/>
                <w:sz w:val="18"/>
                <w:szCs w:val="18"/>
              </w:rPr>
              <w:t>Utilization Rates</w:t>
            </w:r>
          </w:p>
          <w:p w:rsidR="00000000" w:rsidRDefault="005B0BC3">
            <w:pPr>
              <w:spacing w:after="100"/>
              <w:jc w:val="right"/>
              <w:rPr>
                <w:rFonts w:eastAsia="Times New Roman"/>
              </w:rPr>
            </w:pPr>
            <w:r>
              <w:rPr>
                <w:rFonts w:eastAsia="Times New Roman"/>
                <w:color w:val="000000"/>
                <w:sz w:val="18"/>
                <w:szCs w:val="18"/>
              </w:rPr>
              <w:t>Volatility rates - Equity</w:t>
            </w:r>
          </w:p>
          <w:p w:rsidR="00000000" w:rsidRDefault="005B0BC3">
            <w:pPr>
              <w:spacing w:after="100"/>
              <w:jc w:val="right"/>
              <w:rPr>
                <w:rFonts w:eastAsia="Times New Roman"/>
              </w:rPr>
            </w:pPr>
            <w:r>
              <w:rPr>
                <w:rFonts w:eastAsia="Times New Roman"/>
                <w:color w:val="000000"/>
                <w:sz w:val="18"/>
                <w:szCs w:val="18"/>
              </w:rPr>
              <w:t>Non-performance risk(bps)</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5B0BC3">
            <w:pPr>
              <w:spacing w:after="100"/>
              <w:jc w:val="center"/>
              <w:rPr>
                <w:rFonts w:eastAsia="Times New Roman"/>
              </w:rPr>
            </w:pPr>
            <w:r>
              <w:rPr>
                <w:rFonts w:eastAsia="Times New Roman"/>
                <w:b/>
                <w:bCs/>
                <w:color w:val="000000"/>
                <w:sz w:val="18"/>
                <w:szCs w:val="18"/>
              </w:rPr>
              <w:t>0.60%-20.86%</w:t>
            </w:r>
          </w:p>
          <w:p w:rsidR="00000000" w:rsidRDefault="005B0BC3">
            <w:pPr>
              <w:spacing w:after="100"/>
              <w:jc w:val="center"/>
              <w:rPr>
                <w:rFonts w:eastAsia="Times New Roman"/>
              </w:rPr>
            </w:pPr>
            <w:r>
              <w:rPr>
                <w:rFonts w:eastAsia="Times New Roman"/>
                <w:b/>
                <w:bCs/>
                <w:color w:val="000000"/>
                <w:sz w:val="18"/>
                <w:szCs w:val="18"/>
              </w:rPr>
              <w:t>0.13%-8.66%</w:t>
            </w:r>
          </w:p>
          <w:p w:rsidR="00000000" w:rsidRDefault="005B0BC3">
            <w:pPr>
              <w:spacing w:after="100"/>
              <w:jc w:val="center"/>
              <w:rPr>
                <w:rFonts w:eastAsia="Times New Roman"/>
              </w:rPr>
            </w:pPr>
            <w:r>
              <w:rPr>
                <w:rFonts w:eastAsia="Times New Roman"/>
                <w:b/>
                <w:bCs/>
                <w:color w:val="000000"/>
                <w:sz w:val="18"/>
                <w:szCs w:val="18"/>
              </w:rPr>
              <w:t>0.04%-100.00%</w:t>
            </w:r>
          </w:p>
          <w:p w:rsidR="00000000" w:rsidRDefault="005B0BC3">
            <w:pPr>
              <w:spacing w:after="100"/>
              <w:jc w:val="center"/>
              <w:rPr>
                <w:rFonts w:eastAsia="Times New Roman"/>
              </w:rPr>
            </w:pPr>
            <w:r>
              <w:rPr>
                <w:rFonts w:eastAsia="Times New Roman"/>
                <w:b/>
                <w:bCs/>
                <w:color w:val="000000"/>
                <w:sz w:val="18"/>
                <w:szCs w:val="18"/>
              </w:rPr>
              <w:t>11% - 31%</w:t>
            </w:r>
          </w:p>
          <w:p w:rsidR="00000000" w:rsidRDefault="005B0BC3">
            <w:pPr>
              <w:spacing w:after="100"/>
              <w:jc w:val="center"/>
              <w:rPr>
                <w:rFonts w:eastAsia="Times New Roman"/>
              </w:rPr>
            </w:pPr>
            <w:r>
              <w:rPr>
                <w:rFonts w:eastAsia="Times New Roman"/>
                <w:b/>
                <w:bCs/>
                <w:color w:val="000000"/>
                <w:sz w:val="18"/>
                <w:szCs w:val="18"/>
              </w:rPr>
              <w:t xml:space="preserve">111 bps </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5B0BC3">
            <w:pPr>
              <w:spacing w:after="100"/>
              <w:jc w:val="center"/>
              <w:rPr>
                <w:rFonts w:eastAsia="Times New Roman"/>
              </w:rPr>
            </w:pPr>
            <w:r>
              <w:rPr>
                <w:rFonts w:eastAsia="Times New Roman"/>
                <w:b/>
                <w:bCs/>
                <w:color w:val="000000"/>
                <w:sz w:val="18"/>
                <w:szCs w:val="18"/>
              </w:rPr>
              <w:t>2.65%</w:t>
            </w:r>
          </w:p>
          <w:p w:rsidR="00000000" w:rsidRDefault="005B0BC3">
            <w:pPr>
              <w:spacing w:after="100"/>
              <w:jc w:val="center"/>
              <w:rPr>
                <w:rFonts w:eastAsia="Times New Roman"/>
              </w:rPr>
            </w:pPr>
            <w:r>
              <w:rPr>
                <w:rFonts w:eastAsia="Times New Roman"/>
                <w:b/>
                <w:bCs/>
                <w:color w:val="000000"/>
                <w:sz w:val="18"/>
                <w:szCs w:val="18"/>
              </w:rPr>
              <w:t>0.93%</w:t>
            </w:r>
          </w:p>
          <w:p w:rsidR="00000000" w:rsidRDefault="005B0BC3">
            <w:pPr>
              <w:spacing w:after="100"/>
              <w:jc w:val="center"/>
              <w:rPr>
                <w:rFonts w:eastAsia="Times New Roman"/>
              </w:rPr>
            </w:pPr>
            <w:r>
              <w:rPr>
                <w:rFonts w:eastAsia="Times New Roman"/>
                <w:b/>
                <w:bCs/>
                <w:color w:val="000000"/>
                <w:sz w:val="18"/>
                <w:szCs w:val="18"/>
              </w:rPr>
              <w:t>5.27%</w:t>
            </w:r>
          </w:p>
          <w:p w:rsidR="00000000" w:rsidRDefault="005B0BC3">
            <w:pPr>
              <w:spacing w:after="100"/>
              <w:jc w:val="center"/>
              <w:rPr>
                <w:rFonts w:eastAsia="Times New Roman"/>
              </w:rPr>
            </w:pPr>
            <w:r>
              <w:rPr>
                <w:rFonts w:eastAsia="Times New Roman"/>
                <w:b/>
                <w:bCs/>
                <w:color w:val="000000"/>
                <w:sz w:val="18"/>
                <w:szCs w:val="18"/>
              </w:rPr>
              <w:t>24%</w:t>
            </w:r>
          </w:p>
        </w:tc>
      </w:tr>
      <w:tr w:rsidR="00000000">
        <w:trPr>
          <w:divId w:val="1247349190"/>
          <w:jc w:val="center"/>
        </w:trPr>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vAlign w:val="center"/>
            <w:hideMark/>
          </w:tcPr>
          <w:p w:rsidR="00000000" w:rsidRDefault="005B0BC3">
            <w:pPr>
              <w:spacing w:after="100"/>
              <w:rPr>
                <w:rFonts w:eastAsia="Times New Roman"/>
              </w:rPr>
            </w:pPr>
            <w:r>
              <w:rPr>
                <w:rFonts w:eastAsia="Times New Roman"/>
                <w:color w:val="000000"/>
                <w:sz w:val="18"/>
                <w:szCs w:val="18"/>
              </w:rPr>
              <w:t>GMAB</w:t>
            </w:r>
          </w:p>
        </w:tc>
        <w:tc>
          <w:tcPr>
            <w:tcW w:w="0" w:type="auto"/>
            <w:gridSpan w:val="2"/>
            <w:tcBorders>
              <w:top w:val="single" w:sz="2" w:space="0" w:color="000000"/>
              <w:bottom w:val="single" w:sz="2" w:space="0" w:color="000000"/>
            </w:tcBorders>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b/>
                <w:bCs/>
                <w:color w:val="000000"/>
                <w:sz w:val="18"/>
                <w:szCs w:val="18"/>
              </w:rPr>
              <w:t>(3)</w:t>
            </w:r>
          </w:p>
        </w:tc>
        <w:tc>
          <w:tcPr>
            <w:tcW w:w="0" w:type="auto"/>
            <w:tcBorders>
              <w:top w:val="single" w:sz="2" w:space="0" w:color="000000"/>
              <w:bottom w:val="single" w:sz="2"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vAlign w:val="center"/>
            <w:hideMark/>
          </w:tcPr>
          <w:p w:rsidR="00000000" w:rsidRDefault="005B0BC3">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hideMark/>
          </w:tcPr>
          <w:p w:rsidR="00000000" w:rsidRDefault="005B0BC3">
            <w:pPr>
              <w:spacing w:after="100"/>
              <w:jc w:val="right"/>
              <w:rPr>
                <w:rFonts w:eastAsia="Times New Roman"/>
              </w:rPr>
            </w:pPr>
            <w:r>
              <w:rPr>
                <w:rFonts w:eastAsia="Times New Roman"/>
                <w:color w:val="000000"/>
                <w:sz w:val="18"/>
                <w:szCs w:val="18"/>
              </w:rPr>
              <w:t>Lapse rates</w:t>
            </w:r>
          </w:p>
          <w:p w:rsidR="00000000" w:rsidRDefault="005B0BC3">
            <w:pPr>
              <w:spacing w:after="100"/>
              <w:jc w:val="right"/>
              <w:rPr>
                <w:rFonts w:eastAsia="Times New Roman"/>
              </w:rPr>
            </w:pPr>
            <w:r>
              <w:rPr>
                <w:rFonts w:eastAsia="Times New Roman"/>
                <w:color w:val="000000"/>
                <w:sz w:val="18"/>
                <w:szCs w:val="18"/>
              </w:rPr>
              <w:t>Volatility rates - Equity</w:t>
            </w:r>
          </w:p>
          <w:p w:rsidR="00000000" w:rsidRDefault="005B0BC3">
            <w:pPr>
              <w:spacing w:after="100"/>
              <w:jc w:val="right"/>
              <w:rPr>
                <w:rFonts w:eastAsia="Times New Roman"/>
              </w:rPr>
            </w:pPr>
            <w:r>
              <w:rPr>
                <w:rFonts w:eastAsia="Times New Roman"/>
                <w:color w:val="000000"/>
                <w:sz w:val="18"/>
                <w:szCs w:val="18"/>
              </w:rPr>
              <w:t>Non-performance risk(bps)</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hideMark/>
          </w:tcPr>
          <w:p w:rsidR="00000000" w:rsidRDefault="005B0BC3">
            <w:pPr>
              <w:spacing w:after="100"/>
              <w:jc w:val="center"/>
              <w:rPr>
                <w:rFonts w:eastAsia="Times New Roman"/>
              </w:rPr>
            </w:pPr>
            <w:r>
              <w:rPr>
                <w:rFonts w:eastAsia="Times New Roman"/>
                <w:b/>
                <w:bCs/>
                <w:color w:val="000000"/>
                <w:sz w:val="18"/>
                <w:szCs w:val="18"/>
              </w:rPr>
              <w:t>0.60%-20.86%</w:t>
            </w:r>
          </w:p>
          <w:p w:rsidR="00000000" w:rsidRDefault="005B0BC3">
            <w:pPr>
              <w:spacing w:after="100"/>
              <w:jc w:val="center"/>
              <w:rPr>
                <w:rFonts w:eastAsia="Times New Roman"/>
              </w:rPr>
            </w:pPr>
            <w:r>
              <w:rPr>
                <w:rFonts w:eastAsia="Times New Roman"/>
                <w:b/>
                <w:bCs/>
                <w:color w:val="000000"/>
                <w:sz w:val="18"/>
                <w:szCs w:val="18"/>
              </w:rPr>
              <w:t>11%-31%</w:t>
            </w:r>
          </w:p>
          <w:p w:rsidR="00000000" w:rsidRDefault="005B0BC3">
            <w:pPr>
              <w:spacing w:after="100"/>
              <w:jc w:val="center"/>
              <w:rPr>
                <w:rFonts w:eastAsia="Times New Roman"/>
              </w:rPr>
            </w:pPr>
            <w:r>
              <w:rPr>
                <w:rFonts w:eastAsia="Times New Roman"/>
                <w:b/>
                <w:bCs/>
                <w:color w:val="000000"/>
                <w:sz w:val="18"/>
                <w:szCs w:val="18"/>
              </w:rPr>
              <w:t xml:space="preserve">111 bps </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hideMark/>
          </w:tcPr>
          <w:p w:rsidR="00000000" w:rsidRDefault="005B0BC3">
            <w:pPr>
              <w:spacing w:after="100"/>
              <w:jc w:val="center"/>
              <w:rPr>
                <w:rFonts w:eastAsia="Times New Roman"/>
              </w:rPr>
            </w:pPr>
            <w:r>
              <w:rPr>
                <w:rFonts w:eastAsia="Times New Roman"/>
                <w:b/>
                <w:bCs/>
                <w:color w:val="000000"/>
                <w:sz w:val="18"/>
                <w:szCs w:val="18"/>
              </w:rPr>
              <w:t>2.65%</w:t>
            </w:r>
          </w:p>
          <w:p w:rsidR="00000000" w:rsidRDefault="005B0BC3">
            <w:pPr>
              <w:spacing w:after="100"/>
              <w:jc w:val="center"/>
              <w:rPr>
                <w:rFonts w:eastAsia="Times New Roman"/>
              </w:rPr>
            </w:pPr>
            <w:r>
              <w:rPr>
                <w:rFonts w:eastAsia="Times New Roman"/>
                <w:b/>
                <w:bCs/>
                <w:color w:val="000000"/>
                <w:sz w:val="18"/>
                <w:szCs w:val="18"/>
              </w:rPr>
              <w:t>24%</w:t>
            </w:r>
          </w:p>
        </w:tc>
      </w:tr>
    </w:tbl>
    <w:p w:rsidR="00000000" w:rsidRDefault="005B0BC3">
      <w:pPr>
        <w:ind w:hanging="360"/>
        <w:divId w:val="66925195"/>
        <w:rPr>
          <w:rFonts w:eastAsia="Times New Roman"/>
        </w:rPr>
      </w:pPr>
      <w:r>
        <w:rPr>
          <w:rFonts w:eastAsia="Times New Roman"/>
          <w:color w:val="000000"/>
          <w:sz w:val="20"/>
          <w:szCs w:val="20"/>
        </w:rPr>
        <w:t>______________</w:t>
      </w:r>
    </w:p>
    <w:p w:rsidR="00000000" w:rsidRDefault="005B0BC3">
      <w:pPr>
        <w:ind w:hanging="360"/>
        <w:divId w:val="96101524"/>
        <w:rPr>
          <w:rFonts w:eastAsia="Times New Roman"/>
        </w:rPr>
      </w:pPr>
      <w:r>
        <w:rPr>
          <w:rFonts w:eastAsia="Times New Roman"/>
          <w:color w:val="000000"/>
          <w:sz w:val="18"/>
          <w:szCs w:val="18"/>
        </w:rPr>
        <w:t>(1)Mortality rates vary by age and demographic characteristic such as gender. Mortality rate assumptions are based on a combination of company and industry experience. A mortality improvement assumption is also applied. For any given contrac</w:t>
      </w:r>
      <w:r>
        <w:rPr>
          <w:rFonts w:eastAsia="Times New Roman"/>
          <w:color w:val="000000"/>
          <w:sz w:val="18"/>
          <w:szCs w:val="18"/>
        </w:rPr>
        <w:t>t, mortality rates vary throughout the period over which cash flows are projected for purposes of valuating the embedded derivatives.</w:t>
      </w:r>
    </w:p>
    <w:p w:rsidR="00000000" w:rsidRDefault="005B0BC3">
      <w:pPr>
        <w:ind w:hanging="360"/>
        <w:divId w:val="766737059"/>
        <w:rPr>
          <w:rFonts w:eastAsia="Times New Roman"/>
        </w:rPr>
      </w:pPr>
      <w:r>
        <w:rPr>
          <w:rFonts w:eastAsia="Times New Roman"/>
          <w:color w:val="000000"/>
          <w:sz w:val="18"/>
          <w:szCs w:val="18"/>
        </w:rPr>
        <w:t>(2)For lapses, withdrawals, and utilizations the rates were weighted by counts; for mortality weighted average rates are s</w:t>
      </w:r>
      <w:r>
        <w:rPr>
          <w:rFonts w:eastAsia="Times New Roman"/>
          <w:color w:val="000000"/>
          <w:sz w:val="18"/>
          <w:szCs w:val="18"/>
        </w:rPr>
        <w:t xml:space="preserve">hown for all ages combined; and for withdrawals the weighted averages were based on an estimated split of partial withdrawal and dollar-for-dollar withdrawals. </w:t>
      </w:r>
    </w:p>
    <w:p w:rsidR="00000000" w:rsidRDefault="005B0BC3">
      <w:pPr>
        <w:jc w:val="center"/>
        <w:rPr>
          <w:rFonts w:eastAsia="Times New Roman"/>
        </w:rPr>
      </w:pPr>
      <w:r>
        <w:rPr>
          <w:rFonts w:eastAsia="Times New Roman"/>
          <w:color w:val="000000"/>
          <w:sz w:val="20"/>
          <w:szCs w:val="20"/>
        </w:rPr>
        <w:t>Quantitative Information about Level 3 Fair Value Measurements as of December 31, 2020</w:t>
      </w:r>
    </w:p>
    <w:tbl>
      <w:tblPr>
        <w:tblW w:w="5000" w:type="pct"/>
        <w:jc w:val="center"/>
        <w:tblCellMar>
          <w:top w:w="15" w:type="dxa"/>
          <w:left w:w="15" w:type="dxa"/>
          <w:bottom w:w="15" w:type="dxa"/>
          <w:right w:w="15" w:type="dxa"/>
        </w:tblCellMar>
        <w:tblLook w:val="04A0" w:firstRow="1" w:lastRow="0" w:firstColumn="1" w:lastColumn="0" w:noHBand="0" w:noVBand="1"/>
      </w:tblPr>
      <w:tblGrid>
        <w:gridCol w:w="55"/>
        <w:gridCol w:w="1703"/>
        <w:gridCol w:w="36"/>
        <w:gridCol w:w="112"/>
        <w:gridCol w:w="402"/>
        <w:gridCol w:w="36"/>
        <w:gridCol w:w="36"/>
        <w:gridCol w:w="36"/>
        <w:gridCol w:w="36"/>
        <w:gridCol w:w="52"/>
        <w:gridCol w:w="1285"/>
        <w:gridCol w:w="37"/>
        <w:gridCol w:w="36"/>
        <w:gridCol w:w="36"/>
        <w:gridCol w:w="36"/>
        <w:gridCol w:w="55"/>
        <w:gridCol w:w="1840"/>
        <w:gridCol w:w="36"/>
        <w:gridCol w:w="36"/>
        <w:gridCol w:w="36"/>
        <w:gridCol w:w="36"/>
        <w:gridCol w:w="47"/>
        <w:gridCol w:w="936"/>
        <w:gridCol w:w="37"/>
        <w:gridCol w:w="36"/>
        <w:gridCol w:w="36"/>
        <w:gridCol w:w="36"/>
        <w:gridCol w:w="44"/>
        <w:gridCol w:w="1125"/>
        <w:gridCol w:w="36"/>
      </w:tblGrid>
      <w:tr w:rsidR="00000000">
        <w:trPr>
          <w:divId w:val="1198472655"/>
          <w:jc w:val="center"/>
        </w:trPr>
        <w:tc>
          <w:tcPr>
            <w:tcW w:w="50" w:type="pct"/>
            <w:vAlign w:val="center"/>
            <w:hideMark/>
          </w:tcPr>
          <w:p w:rsidR="00000000" w:rsidRDefault="005B0BC3">
            <w:pPr>
              <w:jc w:val="center"/>
              <w:rPr>
                <w:rFonts w:eastAsia="Times New Roman"/>
              </w:rPr>
            </w:pPr>
          </w:p>
        </w:tc>
        <w:tc>
          <w:tcPr>
            <w:tcW w:w="104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25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80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113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8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9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198472655"/>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Fair</w:t>
            </w:r>
            <w:r>
              <w:rPr>
                <w:rFonts w:eastAsia="Times New Roman"/>
                <w:color w:val="000000"/>
                <w:sz w:val="16"/>
                <w:szCs w:val="16"/>
              </w:rPr>
              <w:br/>
              <w:t>Value</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Valuation</w:t>
            </w:r>
            <w:r>
              <w:rPr>
                <w:rFonts w:eastAsia="Times New Roman"/>
                <w:color w:val="000000"/>
                <w:sz w:val="16"/>
                <w:szCs w:val="16"/>
              </w:rPr>
              <w:br/>
              <w:t>Technique</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Significant</w:t>
            </w:r>
            <w:r>
              <w:rPr>
                <w:rFonts w:eastAsia="Times New Roman"/>
                <w:color w:val="000000"/>
                <w:sz w:val="16"/>
                <w:szCs w:val="16"/>
              </w:rPr>
              <w:br/>
              <w:t>Unobservable Input</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Range</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Weighted Average (2)</w:t>
            </w:r>
          </w:p>
        </w:tc>
      </w:tr>
      <w:tr w:rsidR="00000000">
        <w:trPr>
          <w:divId w:val="1198472655"/>
          <w:jc w:val="center"/>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18"/>
                <w:szCs w:val="18"/>
              </w:rPr>
              <w:t> </w:t>
            </w: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198472655"/>
          <w:jc w:val="center"/>
        </w:trPr>
        <w:tc>
          <w:tcPr>
            <w:tcW w:w="0" w:type="auto"/>
            <w:gridSpan w:val="3"/>
            <w:tcMar>
              <w:top w:w="30" w:type="dxa"/>
              <w:left w:w="20" w:type="dxa"/>
              <w:bottom w:w="30" w:type="dxa"/>
              <w:right w:w="20" w:type="dxa"/>
            </w:tcMar>
            <w:vAlign w:val="center"/>
            <w:hideMark/>
          </w:tcPr>
          <w:p w:rsidR="00000000" w:rsidRDefault="005B0BC3">
            <w:pPr>
              <w:spacing w:after="100"/>
              <w:rPr>
                <w:rFonts w:eastAsia="Times New Roman"/>
              </w:rPr>
            </w:pPr>
            <w:r>
              <w:rPr>
                <w:rFonts w:eastAsia="Times New Roman"/>
                <w:color w:val="000000"/>
                <w:sz w:val="18"/>
                <w:szCs w:val="18"/>
              </w:rPr>
              <w:t>Assets:</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198472655"/>
          <w:jc w:val="center"/>
        </w:trPr>
        <w:tc>
          <w:tcPr>
            <w:tcW w:w="0" w:type="auto"/>
            <w:gridSpan w:val="3"/>
            <w:tcMar>
              <w:top w:w="30" w:type="dxa"/>
              <w:left w:w="20" w:type="dxa"/>
              <w:bottom w:w="30" w:type="dxa"/>
              <w:right w:w="20" w:type="dxa"/>
            </w:tcMar>
            <w:vAlign w:val="center"/>
            <w:hideMark/>
          </w:tcPr>
          <w:p w:rsidR="00000000" w:rsidRDefault="005B0BC3">
            <w:pPr>
              <w:spacing w:after="100"/>
              <w:rPr>
                <w:rFonts w:eastAsia="Times New Roman"/>
              </w:rPr>
            </w:pPr>
            <w:r>
              <w:rPr>
                <w:rFonts w:eastAsia="Times New Roman"/>
                <w:color w:val="000000"/>
                <w:sz w:val="18"/>
                <w:szCs w:val="18"/>
              </w:rPr>
              <w:t>Investments:</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198472655"/>
          <w:jc w:val="center"/>
        </w:trPr>
        <w:tc>
          <w:tcPr>
            <w:tcW w:w="0" w:type="auto"/>
            <w:gridSpan w:val="3"/>
            <w:tcMar>
              <w:top w:w="30" w:type="dxa"/>
              <w:left w:w="155" w:type="dxa"/>
              <w:bottom w:w="30" w:type="dxa"/>
              <w:right w:w="20" w:type="dxa"/>
            </w:tcMar>
            <w:vAlign w:val="center"/>
            <w:hideMark/>
          </w:tcPr>
          <w:p w:rsidR="00000000" w:rsidRDefault="005B0BC3">
            <w:pPr>
              <w:spacing w:after="100"/>
              <w:rPr>
                <w:rFonts w:eastAsia="Times New Roman"/>
              </w:rPr>
            </w:pPr>
            <w:r>
              <w:rPr>
                <w:rFonts w:eastAsia="Times New Roman"/>
                <w:color w:val="000000"/>
                <w:sz w:val="18"/>
                <w:szCs w:val="18"/>
              </w:rPr>
              <w:t>Fixed maturities, AFS:</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198472655"/>
          <w:jc w:val="center"/>
        </w:trPr>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5B0BC3">
            <w:pPr>
              <w:spacing w:after="100"/>
              <w:rPr>
                <w:rFonts w:eastAsia="Times New Roman"/>
              </w:rPr>
            </w:pPr>
            <w:r>
              <w:rPr>
                <w:rFonts w:eastAsia="Times New Roman"/>
                <w:color w:val="000000"/>
                <w:sz w:val="18"/>
                <w:szCs w:val="18"/>
              </w:rPr>
              <w:t>Corporate</w:t>
            </w:r>
          </w:p>
        </w:tc>
        <w:tc>
          <w:tcPr>
            <w:tcW w:w="0" w:type="auto"/>
            <w:tcBorders>
              <w:top w:val="single" w:sz="2" w:space="0" w:color="000000"/>
            </w:tcBorders>
            <w:shd w:val="clear" w:color="auto" w:fill="CCEEFF"/>
            <w:tcMar>
              <w:top w:w="30" w:type="dxa"/>
              <w:left w:w="20" w:type="dxa"/>
              <w:bottom w:w="30" w:type="dxa"/>
              <w:right w:w="0" w:type="dxa"/>
            </w:tcMar>
            <w:vAlign w:val="center"/>
            <w:hideMark/>
          </w:tcPr>
          <w:p w:rsidR="00000000" w:rsidRDefault="005B0BC3">
            <w:pPr>
              <w:spacing w:after="100"/>
              <w:rPr>
                <w:rFonts w:eastAsia="Times New Roman"/>
              </w:rPr>
            </w:pPr>
            <w:r>
              <w:rPr>
                <w:rFonts w:eastAsia="Times New Roman"/>
                <w:color w:val="000000"/>
                <w:sz w:val="18"/>
                <w:szCs w:val="18"/>
              </w:rPr>
              <w:t>$</w:t>
            </w:r>
          </w:p>
        </w:tc>
        <w:tc>
          <w:tcPr>
            <w:tcW w:w="0" w:type="auto"/>
            <w:tcBorders>
              <w:top w:val="single" w:sz="2" w:space="0" w:color="000000"/>
            </w:tcBorders>
            <w:shd w:val="clear" w:color="auto" w:fill="CCEEFF"/>
            <w:tcMar>
              <w:top w:w="30" w:type="dxa"/>
              <w:left w:w="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18"/>
                <w:szCs w:val="18"/>
              </w:rPr>
              <w:t>34 </w:t>
            </w:r>
          </w:p>
        </w:tc>
        <w:tc>
          <w:tcPr>
            <w:tcW w:w="0" w:type="auto"/>
            <w:tcBorders>
              <w:top w:val="single" w:sz="2" w:space="0" w:color="000000"/>
            </w:tcBorders>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5B0BC3">
            <w:pPr>
              <w:spacing w:after="100"/>
              <w:rPr>
                <w:rFonts w:eastAsia="Times New Roman"/>
              </w:rPr>
            </w:pPr>
            <w:r>
              <w:rPr>
                <w:rFonts w:eastAsia="Times New Roman"/>
                <w:color w:val="000000"/>
                <w:sz w:val="18"/>
                <w:szCs w:val="18"/>
              </w:rPr>
              <w:t>Matrix pricing model</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5B0BC3">
            <w:pPr>
              <w:spacing w:after="100"/>
              <w:jc w:val="right"/>
              <w:rPr>
                <w:rFonts w:eastAsia="Times New Roman"/>
              </w:rPr>
            </w:pPr>
            <w:r>
              <w:rPr>
                <w:rFonts w:eastAsia="Times New Roman"/>
                <w:color w:val="000000"/>
                <w:sz w:val="18"/>
                <w:szCs w:val="18"/>
              </w:rPr>
              <w:t>Spread over benchmark</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color w:val="000000"/>
                <w:sz w:val="18"/>
                <w:szCs w:val="18"/>
              </w:rPr>
              <w:t>45 bps - 195 bps</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color w:val="000000"/>
                <w:sz w:val="20"/>
                <w:szCs w:val="20"/>
              </w:rPr>
              <w:t>160 bps</w:t>
            </w:r>
          </w:p>
        </w:tc>
      </w:tr>
      <w:tr w:rsidR="00000000">
        <w:trPr>
          <w:divId w:val="1198472655"/>
          <w:jc w:val="center"/>
        </w:trPr>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18"/>
                <w:szCs w:val="18"/>
              </w:rPr>
              <w:t>1,148 </w:t>
            </w:r>
          </w:p>
        </w:tc>
        <w:tc>
          <w:tcPr>
            <w:tcW w:w="0" w:type="auto"/>
            <w:tcBorders>
              <w:top w:val="single" w:sz="2"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5B0BC3">
            <w:pPr>
              <w:spacing w:after="100"/>
              <w:rPr>
                <w:rFonts w:eastAsia="Times New Roman"/>
              </w:rPr>
            </w:pPr>
            <w:r>
              <w:rPr>
                <w:rFonts w:eastAsia="Times New Roman"/>
                <w:color w:val="000000"/>
                <w:sz w:val="18"/>
                <w:szCs w:val="18"/>
              </w:rPr>
              <w:t>Market comparable companies</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5B0BC3">
            <w:pPr>
              <w:spacing w:after="100"/>
              <w:jc w:val="right"/>
              <w:rPr>
                <w:rFonts w:eastAsia="Times New Roman"/>
              </w:rPr>
            </w:pPr>
            <w:r>
              <w:rPr>
                <w:rFonts w:eastAsia="Times New Roman"/>
                <w:color w:val="000000"/>
                <w:sz w:val="18"/>
                <w:szCs w:val="18"/>
              </w:rPr>
              <w:t>EBITDA multiples</w:t>
            </w:r>
          </w:p>
          <w:p w:rsidR="00000000" w:rsidRDefault="005B0BC3">
            <w:pPr>
              <w:spacing w:after="100"/>
              <w:jc w:val="right"/>
              <w:rPr>
                <w:rFonts w:eastAsia="Times New Roman"/>
              </w:rPr>
            </w:pPr>
            <w:r>
              <w:rPr>
                <w:rFonts w:eastAsia="Times New Roman"/>
                <w:color w:val="000000"/>
                <w:sz w:val="18"/>
                <w:szCs w:val="18"/>
              </w:rPr>
              <w:t> </w:t>
            </w:r>
            <w:r>
              <w:rPr>
                <w:rFonts w:eastAsia="Times New Roman"/>
                <w:color w:val="000000"/>
                <w:sz w:val="18"/>
                <w:szCs w:val="18"/>
              </w:rPr>
              <w:t>Discount rate</w:t>
            </w:r>
          </w:p>
          <w:p w:rsidR="00000000" w:rsidRDefault="005B0BC3">
            <w:pPr>
              <w:spacing w:after="100"/>
              <w:jc w:val="right"/>
              <w:rPr>
                <w:rFonts w:eastAsia="Times New Roman"/>
              </w:rPr>
            </w:pPr>
            <w:r>
              <w:rPr>
                <w:rFonts w:eastAsia="Times New Roman"/>
                <w:color w:val="000000"/>
                <w:sz w:val="18"/>
                <w:szCs w:val="18"/>
              </w:rPr>
              <w:t> Cash flow multiples</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5B0BC3">
            <w:pPr>
              <w:spacing w:after="100"/>
              <w:jc w:val="center"/>
              <w:rPr>
                <w:rFonts w:eastAsia="Times New Roman"/>
              </w:rPr>
            </w:pPr>
            <w:r>
              <w:rPr>
                <w:rFonts w:eastAsia="Times New Roman"/>
                <w:color w:val="000000"/>
                <w:sz w:val="18"/>
                <w:szCs w:val="18"/>
              </w:rPr>
              <w:t>3.5x - 33.1x</w:t>
            </w:r>
          </w:p>
          <w:p w:rsidR="00000000" w:rsidRDefault="005B0BC3">
            <w:pPr>
              <w:spacing w:after="100"/>
              <w:jc w:val="center"/>
              <w:rPr>
                <w:rFonts w:eastAsia="Times New Roman"/>
              </w:rPr>
            </w:pPr>
            <w:r>
              <w:rPr>
                <w:rFonts w:eastAsia="Times New Roman"/>
                <w:color w:val="000000"/>
                <w:sz w:val="18"/>
                <w:szCs w:val="18"/>
              </w:rPr>
              <w:t xml:space="preserve">5.60% - 28.40% </w:t>
            </w:r>
          </w:p>
          <w:p w:rsidR="00000000" w:rsidRDefault="005B0BC3">
            <w:pPr>
              <w:spacing w:after="100"/>
              <w:jc w:val="center"/>
              <w:rPr>
                <w:rFonts w:eastAsia="Times New Roman"/>
              </w:rPr>
            </w:pPr>
            <w:r>
              <w:rPr>
                <w:rFonts w:eastAsia="Times New Roman"/>
                <w:color w:val="000000"/>
                <w:sz w:val="18"/>
                <w:szCs w:val="18"/>
              </w:rPr>
              <w:t>1.9x-25.0x</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5B0BC3">
            <w:pPr>
              <w:spacing w:after="100"/>
              <w:jc w:val="center"/>
              <w:rPr>
                <w:rFonts w:eastAsia="Times New Roman"/>
              </w:rPr>
            </w:pPr>
            <w:r>
              <w:rPr>
                <w:rFonts w:eastAsia="Times New Roman"/>
                <w:color w:val="000000"/>
                <w:sz w:val="18"/>
                <w:szCs w:val="18"/>
              </w:rPr>
              <w:t>10.8x</w:t>
            </w:r>
          </w:p>
          <w:p w:rsidR="00000000" w:rsidRDefault="005B0BC3">
            <w:pPr>
              <w:spacing w:after="100"/>
              <w:jc w:val="center"/>
              <w:rPr>
                <w:rFonts w:eastAsia="Times New Roman"/>
              </w:rPr>
            </w:pPr>
            <w:r>
              <w:rPr>
                <w:rFonts w:eastAsia="Times New Roman"/>
                <w:color w:val="000000"/>
                <w:sz w:val="18"/>
                <w:szCs w:val="18"/>
              </w:rPr>
              <w:t>8.60%</w:t>
            </w:r>
          </w:p>
          <w:p w:rsidR="00000000" w:rsidRDefault="005B0BC3">
            <w:pPr>
              <w:spacing w:after="100"/>
              <w:jc w:val="center"/>
              <w:rPr>
                <w:rFonts w:eastAsia="Times New Roman"/>
              </w:rPr>
            </w:pPr>
            <w:r>
              <w:rPr>
                <w:rFonts w:eastAsia="Times New Roman"/>
                <w:color w:val="000000"/>
                <w:sz w:val="18"/>
                <w:szCs w:val="18"/>
              </w:rPr>
              <w:t>6.8x</w:t>
            </w:r>
          </w:p>
        </w:tc>
      </w:tr>
      <w:tr w:rsidR="00000000">
        <w:trPr>
          <w:divId w:val="1198472655"/>
          <w:jc w:val="center"/>
        </w:trPr>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5B0BC3">
            <w:pPr>
              <w:spacing w:after="100"/>
              <w:rPr>
                <w:rFonts w:eastAsia="Times New Roman"/>
              </w:rPr>
            </w:pPr>
            <w:r>
              <w:rPr>
                <w:rFonts w:eastAsia="Times New Roman"/>
                <w:color w:val="000000"/>
                <w:sz w:val="18"/>
                <w:szCs w:val="18"/>
              </w:rPr>
              <w:t>Trading Securities, at Fair Value</w:t>
            </w:r>
          </w:p>
        </w:tc>
        <w:tc>
          <w:tcPr>
            <w:tcW w:w="0" w:type="auto"/>
            <w:gridSpan w:val="2"/>
            <w:tcBorders>
              <w:top w:val="single" w:sz="2" w:space="0" w:color="000000"/>
            </w:tcBorders>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18"/>
                <w:szCs w:val="18"/>
              </w:rPr>
              <w:t>39 </w:t>
            </w:r>
          </w:p>
        </w:tc>
        <w:tc>
          <w:tcPr>
            <w:tcW w:w="0" w:type="auto"/>
            <w:tcBorders>
              <w:top w:val="single" w:sz="2" w:space="0" w:color="000000"/>
            </w:tcBorders>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5B0BC3">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5B0BC3">
            <w:pPr>
              <w:spacing w:after="100"/>
              <w:jc w:val="right"/>
              <w:rPr>
                <w:rFonts w:eastAsia="Times New Roman"/>
              </w:rPr>
            </w:pPr>
            <w:r>
              <w:rPr>
                <w:rFonts w:eastAsia="Times New Roman"/>
                <w:color w:val="000000"/>
                <w:sz w:val="18"/>
                <w:szCs w:val="18"/>
              </w:rPr>
              <w:t>Earnings multiple</w:t>
            </w:r>
          </w:p>
          <w:p w:rsidR="00000000" w:rsidRDefault="005B0BC3">
            <w:pPr>
              <w:spacing w:after="100"/>
              <w:jc w:val="right"/>
              <w:rPr>
                <w:rFonts w:eastAsia="Times New Roman"/>
              </w:rPr>
            </w:pPr>
            <w:r>
              <w:rPr>
                <w:rFonts w:eastAsia="Times New Roman"/>
                <w:color w:val="000000"/>
                <w:sz w:val="18"/>
                <w:szCs w:val="18"/>
              </w:rPr>
              <w:t>Discounts factor</w:t>
            </w:r>
          </w:p>
          <w:p w:rsidR="00000000" w:rsidRDefault="005B0BC3">
            <w:pPr>
              <w:spacing w:after="100"/>
              <w:jc w:val="right"/>
              <w:rPr>
                <w:rFonts w:eastAsia="Times New Roman"/>
              </w:rPr>
            </w:pPr>
            <w:r>
              <w:rPr>
                <w:rFonts w:eastAsia="Times New Roman"/>
                <w:color w:val="000000"/>
                <w:sz w:val="18"/>
                <w:szCs w:val="18"/>
              </w:rPr>
              <w:t>Discount years</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color w:val="000000"/>
                <w:sz w:val="18"/>
                <w:szCs w:val="18"/>
              </w:rPr>
              <w:t>8.2x</w:t>
            </w:r>
          </w:p>
          <w:p w:rsidR="00000000" w:rsidRDefault="005B0BC3">
            <w:pPr>
              <w:spacing w:after="100"/>
              <w:jc w:val="center"/>
              <w:rPr>
                <w:rFonts w:eastAsia="Times New Roman"/>
              </w:rPr>
            </w:pPr>
            <w:r>
              <w:rPr>
                <w:rFonts w:eastAsia="Times New Roman"/>
                <w:color w:val="000000"/>
                <w:sz w:val="18"/>
                <w:szCs w:val="18"/>
              </w:rPr>
              <w:t>10.00%</w:t>
            </w:r>
          </w:p>
          <w:p w:rsidR="00000000" w:rsidRDefault="005B0BC3">
            <w:pPr>
              <w:spacing w:after="100"/>
              <w:jc w:val="center"/>
              <w:rPr>
                <w:rFonts w:eastAsia="Times New Roman"/>
              </w:rPr>
            </w:pPr>
            <w:r>
              <w:rPr>
                <w:rFonts w:eastAsia="Times New Roman"/>
                <w:color w:val="000000"/>
                <w:sz w:val="18"/>
                <w:szCs w:val="18"/>
              </w:rPr>
              <w:t>11</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198472655"/>
          <w:jc w:val="center"/>
        </w:trPr>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vAlign w:val="center"/>
            <w:hideMark/>
          </w:tcPr>
          <w:p w:rsidR="00000000" w:rsidRDefault="005B0BC3">
            <w:pPr>
              <w:spacing w:after="100"/>
              <w:rPr>
                <w:rFonts w:eastAsia="Times New Roman"/>
              </w:rPr>
            </w:pPr>
            <w:r>
              <w:rPr>
                <w:rFonts w:eastAsia="Times New Roman"/>
                <w:color w:val="000000"/>
                <w:sz w:val="18"/>
                <w:szCs w:val="18"/>
              </w:rPr>
              <w:t>Other equity investments</w:t>
            </w:r>
          </w:p>
        </w:tc>
        <w:tc>
          <w:tcPr>
            <w:tcW w:w="0" w:type="auto"/>
            <w:gridSpan w:val="2"/>
            <w:tcBorders>
              <w:top w:val="single" w:sz="2" w:space="0" w:color="000000"/>
              <w:bottom w:val="single" w:sz="2" w:space="0" w:color="000000"/>
            </w:tcBorders>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18"/>
                <w:szCs w:val="18"/>
              </w:rPr>
              <w:t>2 </w:t>
            </w:r>
          </w:p>
        </w:tc>
        <w:tc>
          <w:tcPr>
            <w:tcW w:w="0" w:type="auto"/>
            <w:tcBorders>
              <w:top w:val="single" w:sz="2" w:space="0" w:color="000000"/>
              <w:bottom w:val="single" w:sz="2"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vAlign w:val="center"/>
            <w:hideMark/>
          </w:tcPr>
          <w:p w:rsidR="00000000" w:rsidRDefault="005B0BC3">
            <w:pPr>
              <w:spacing w:after="100"/>
              <w:rPr>
                <w:rFonts w:eastAsia="Times New Roman"/>
              </w:rPr>
            </w:pPr>
            <w:r>
              <w:rPr>
                <w:rFonts w:eastAsia="Times New Roman"/>
                <w:color w:val="000000"/>
                <w:sz w:val="18"/>
                <w:szCs w:val="18"/>
              </w:rPr>
              <w:t>Market comparable companies</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vAlign w:val="center"/>
            <w:hideMark/>
          </w:tcPr>
          <w:p w:rsidR="00000000" w:rsidRDefault="005B0BC3">
            <w:pPr>
              <w:spacing w:after="100"/>
              <w:jc w:val="right"/>
              <w:rPr>
                <w:rFonts w:eastAsia="Times New Roman"/>
              </w:rPr>
            </w:pPr>
            <w:r>
              <w:rPr>
                <w:rFonts w:eastAsia="Times New Roman"/>
                <w:color w:val="000000"/>
                <w:sz w:val="18"/>
                <w:szCs w:val="18"/>
              </w:rPr>
              <w:t xml:space="preserve">Revenue multiple </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color w:val="000000"/>
                <w:sz w:val="18"/>
                <w:szCs w:val="18"/>
              </w:rPr>
              <w:t xml:space="preserve">9.7x - 26.4x </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vAlign w:val="center"/>
            <w:hideMark/>
          </w:tcPr>
          <w:p w:rsidR="00000000" w:rsidRDefault="005B0BC3">
            <w:pPr>
              <w:spacing w:after="100"/>
              <w:jc w:val="center"/>
              <w:rPr>
                <w:rFonts w:eastAsia="Times New Roman"/>
              </w:rPr>
            </w:pPr>
            <w:r>
              <w:rPr>
                <w:rFonts w:eastAsia="Times New Roman"/>
                <w:color w:val="000000"/>
                <w:sz w:val="18"/>
                <w:szCs w:val="18"/>
              </w:rPr>
              <w:t>18.5x</w:t>
            </w:r>
          </w:p>
        </w:tc>
      </w:tr>
    </w:tbl>
    <w:p w:rsidR="00000000" w:rsidRDefault="005B0BC3">
      <w:pPr>
        <w:jc w:val="center"/>
        <w:divId w:val="1323319194"/>
        <w:rPr>
          <w:rFonts w:eastAsia="Times New Roman"/>
        </w:rPr>
      </w:pPr>
      <w:r>
        <w:rPr>
          <w:rFonts w:eastAsia="Times New Roman"/>
          <w:color w:val="000000"/>
          <w:sz w:val="20"/>
          <w:szCs w:val="20"/>
        </w:rPr>
        <w:t>189</w:t>
      </w:r>
    </w:p>
    <w:p w:rsidR="00000000" w:rsidRDefault="005B0BC3">
      <w:pPr>
        <w:rPr>
          <w:rFonts w:eastAsia="Times New Roman"/>
        </w:rPr>
      </w:pPr>
      <w:r>
        <w:rPr>
          <w:rFonts w:eastAsia="Times New Roman"/>
        </w:rPr>
        <w:pict>
          <v:rect id="_x0000_i1227" style="width:0;height:1.5pt" o:hralign="center" o:hrstd="t" o:hr="t" fillcolor="#a0a0a0" stroked="f"/>
        </w:pict>
      </w:r>
    </w:p>
    <w:p w:rsidR="00000000" w:rsidRDefault="005B0BC3">
      <w:pPr>
        <w:jc w:val="center"/>
        <w:divId w:val="334570903"/>
        <w:rPr>
          <w:rFonts w:eastAsia="Times New Roman"/>
        </w:rPr>
      </w:pPr>
      <w:r>
        <w:rPr>
          <w:rFonts w:eastAsia="Times New Roman"/>
          <w:b/>
          <w:bCs/>
          <w:color w:val="000000"/>
          <w:sz w:val="20"/>
          <w:szCs w:val="20"/>
        </w:rPr>
        <w:t>EQUITABLE HOLDINGS, INC.</w:t>
      </w:r>
    </w:p>
    <w:p w:rsidR="00000000" w:rsidRDefault="005B0BC3">
      <w:pPr>
        <w:jc w:val="center"/>
        <w:divId w:val="334570903"/>
        <w:rPr>
          <w:rFonts w:eastAsia="Times New Roman"/>
        </w:rPr>
      </w:pPr>
      <w:r>
        <w:rPr>
          <w:rFonts w:eastAsia="Times New Roman"/>
          <w:b/>
          <w:bCs/>
          <w:color w:val="000000"/>
          <w:sz w:val="20"/>
          <w:szCs w:val="20"/>
        </w:rPr>
        <w:t>NOTES TO CONSOLIDATED FINANCIAL STATEMENTS, continued</w:t>
      </w:r>
    </w:p>
    <w:tbl>
      <w:tblPr>
        <w:tblW w:w="5000" w:type="pct"/>
        <w:jc w:val="center"/>
        <w:tblCellMar>
          <w:top w:w="15" w:type="dxa"/>
          <w:left w:w="15" w:type="dxa"/>
          <w:bottom w:w="15" w:type="dxa"/>
          <w:right w:w="15" w:type="dxa"/>
        </w:tblCellMar>
        <w:tblLook w:val="04A0" w:firstRow="1" w:lastRow="0" w:firstColumn="1" w:lastColumn="0" w:noHBand="0" w:noVBand="1"/>
      </w:tblPr>
      <w:tblGrid>
        <w:gridCol w:w="55"/>
        <w:gridCol w:w="1695"/>
        <w:gridCol w:w="38"/>
        <w:gridCol w:w="91"/>
        <w:gridCol w:w="469"/>
        <w:gridCol w:w="36"/>
        <w:gridCol w:w="36"/>
        <w:gridCol w:w="36"/>
        <w:gridCol w:w="36"/>
        <w:gridCol w:w="51"/>
        <w:gridCol w:w="1277"/>
        <w:gridCol w:w="36"/>
        <w:gridCol w:w="36"/>
        <w:gridCol w:w="36"/>
        <w:gridCol w:w="36"/>
        <w:gridCol w:w="55"/>
        <w:gridCol w:w="1831"/>
        <w:gridCol w:w="36"/>
        <w:gridCol w:w="36"/>
        <w:gridCol w:w="36"/>
        <w:gridCol w:w="36"/>
        <w:gridCol w:w="47"/>
        <w:gridCol w:w="927"/>
        <w:gridCol w:w="36"/>
        <w:gridCol w:w="36"/>
        <w:gridCol w:w="36"/>
        <w:gridCol w:w="36"/>
        <w:gridCol w:w="44"/>
        <w:gridCol w:w="1114"/>
        <w:gridCol w:w="36"/>
      </w:tblGrid>
      <w:tr w:rsidR="00000000">
        <w:trPr>
          <w:divId w:val="1933853589"/>
          <w:jc w:val="center"/>
        </w:trPr>
        <w:tc>
          <w:tcPr>
            <w:tcW w:w="50" w:type="pct"/>
            <w:vAlign w:val="center"/>
            <w:hideMark/>
          </w:tcPr>
          <w:p w:rsidR="00000000" w:rsidRDefault="005B0BC3">
            <w:pPr>
              <w:jc w:val="center"/>
              <w:rPr>
                <w:rFonts w:eastAsia="Times New Roman"/>
              </w:rPr>
            </w:pPr>
          </w:p>
        </w:tc>
        <w:tc>
          <w:tcPr>
            <w:tcW w:w="104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25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80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113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8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9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933853589"/>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Fair</w:t>
            </w:r>
            <w:r>
              <w:rPr>
                <w:rFonts w:eastAsia="Times New Roman"/>
                <w:color w:val="000000"/>
                <w:sz w:val="16"/>
                <w:szCs w:val="16"/>
              </w:rPr>
              <w:br/>
              <w:t>Value</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Valuation</w:t>
            </w:r>
            <w:r>
              <w:rPr>
                <w:rFonts w:eastAsia="Times New Roman"/>
                <w:color w:val="000000"/>
                <w:sz w:val="16"/>
                <w:szCs w:val="16"/>
              </w:rPr>
              <w:br/>
              <w:t>Technique</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Significant</w:t>
            </w:r>
            <w:r>
              <w:rPr>
                <w:rFonts w:eastAsia="Times New Roman"/>
                <w:color w:val="000000"/>
                <w:sz w:val="16"/>
                <w:szCs w:val="16"/>
              </w:rPr>
              <w:br/>
              <w:t>Unobservable Input</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Range</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Weighted Average (2)</w:t>
            </w:r>
          </w:p>
        </w:tc>
      </w:tr>
      <w:tr w:rsidR="00000000">
        <w:trPr>
          <w:divId w:val="1933853589"/>
          <w:jc w:val="center"/>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18"/>
                <w:szCs w:val="18"/>
              </w:rPr>
              <w:t> </w:t>
            </w: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933853589"/>
          <w:jc w:val="center"/>
        </w:trPr>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5B0BC3">
            <w:pPr>
              <w:spacing w:after="100"/>
              <w:rPr>
                <w:rFonts w:eastAsia="Times New Roman"/>
              </w:rPr>
            </w:pPr>
            <w:r>
              <w:rPr>
                <w:rFonts w:eastAsia="Times New Roman"/>
                <w:color w:val="000000"/>
                <w:sz w:val="18"/>
                <w:szCs w:val="18"/>
              </w:rPr>
              <w:t>GMIB reinsurance contract asset</w:t>
            </w:r>
          </w:p>
        </w:tc>
        <w:tc>
          <w:tcPr>
            <w:tcW w:w="0" w:type="auto"/>
            <w:gridSpan w:val="2"/>
            <w:tcBorders>
              <w:top w:val="single" w:sz="2" w:space="0" w:color="000000"/>
            </w:tcBorders>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18"/>
                <w:szCs w:val="18"/>
              </w:rPr>
              <w:t>2,488 </w:t>
            </w:r>
          </w:p>
        </w:tc>
        <w:tc>
          <w:tcPr>
            <w:tcW w:w="0" w:type="auto"/>
            <w:tcBorders>
              <w:top w:val="single" w:sz="2" w:space="0" w:color="000000"/>
            </w:tcBorders>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5B0BC3">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5B0BC3">
            <w:pPr>
              <w:spacing w:after="100"/>
              <w:jc w:val="right"/>
              <w:rPr>
                <w:rFonts w:eastAsia="Times New Roman"/>
              </w:rPr>
            </w:pPr>
            <w:r>
              <w:rPr>
                <w:rFonts w:eastAsia="Times New Roman"/>
                <w:color w:val="000000"/>
                <w:sz w:val="18"/>
                <w:szCs w:val="18"/>
              </w:rPr>
              <w:t>Non-performance risk</w:t>
            </w:r>
          </w:p>
          <w:p w:rsidR="00000000" w:rsidRDefault="005B0BC3">
            <w:pPr>
              <w:spacing w:after="100"/>
              <w:jc w:val="right"/>
              <w:rPr>
                <w:rFonts w:eastAsia="Times New Roman"/>
              </w:rPr>
            </w:pPr>
            <w:r>
              <w:rPr>
                <w:rFonts w:eastAsia="Times New Roman"/>
                <w:color w:val="000000"/>
                <w:sz w:val="18"/>
                <w:szCs w:val="18"/>
              </w:rPr>
              <w:t>Lapse rates</w:t>
            </w:r>
          </w:p>
          <w:p w:rsidR="00000000" w:rsidRDefault="005B0BC3">
            <w:pPr>
              <w:spacing w:after="100"/>
              <w:jc w:val="right"/>
              <w:rPr>
                <w:rFonts w:eastAsia="Times New Roman"/>
              </w:rPr>
            </w:pPr>
            <w:r>
              <w:rPr>
                <w:rFonts w:eastAsia="Times New Roman"/>
                <w:color w:val="000000"/>
                <w:sz w:val="18"/>
                <w:szCs w:val="18"/>
              </w:rPr>
              <w:t>Withdrawal rates</w:t>
            </w:r>
          </w:p>
          <w:p w:rsidR="00000000" w:rsidRDefault="005B0BC3">
            <w:pPr>
              <w:spacing w:after="100"/>
              <w:jc w:val="right"/>
              <w:rPr>
                <w:rFonts w:eastAsia="Times New Roman"/>
              </w:rPr>
            </w:pPr>
            <w:r>
              <w:rPr>
                <w:rFonts w:eastAsia="Times New Roman"/>
                <w:color w:val="000000"/>
                <w:sz w:val="18"/>
                <w:szCs w:val="18"/>
              </w:rPr>
              <w:t>Utilization rates</w:t>
            </w:r>
          </w:p>
          <w:p w:rsidR="00000000" w:rsidRDefault="005B0BC3">
            <w:pPr>
              <w:spacing w:after="100"/>
              <w:jc w:val="right"/>
              <w:rPr>
                <w:rFonts w:eastAsia="Times New Roman"/>
              </w:rPr>
            </w:pPr>
            <w:r>
              <w:rPr>
                <w:rFonts w:eastAsia="Times New Roman"/>
                <w:color w:val="000000"/>
                <w:sz w:val="18"/>
                <w:szCs w:val="18"/>
              </w:rPr>
              <w:t>Volatility rates - Equity</w:t>
            </w:r>
          </w:p>
          <w:p w:rsidR="00000000" w:rsidRDefault="005B0BC3">
            <w:pPr>
              <w:spacing w:after="100"/>
              <w:jc w:val="right"/>
              <w:rPr>
                <w:rFonts w:eastAsia="Times New Roman"/>
              </w:rPr>
            </w:pPr>
            <w:r>
              <w:rPr>
                <w:rFonts w:eastAsia="Times New Roman"/>
                <w:color w:val="000000"/>
                <w:sz w:val="18"/>
                <w:szCs w:val="18"/>
              </w:rPr>
              <w:t>Mortality rates (1):</w:t>
            </w:r>
          </w:p>
          <w:p w:rsidR="00000000" w:rsidRDefault="005B0BC3">
            <w:pPr>
              <w:spacing w:after="100"/>
              <w:jc w:val="right"/>
              <w:rPr>
                <w:rFonts w:eastAsia="Times New Roman"/>
              </w:rPr>
            </w:pPr>
            <w:r>
              <w:rPr>
                <w:rFonts w:eastAsia="Times New Roman"/>
                <w:color w:val="000000"/>
                <w:sz w:val="18"/>
                <w:szCs w:val="18"/>
              </w:rPr>
              <w:t>Ages 0 - 40</w:t>
            </w:r>
          </w:p>
          <w:p w:rsidR="00000000" w:rsidRDefault="005B0BC3">
            <w:pPr>
              <w:spacing w:after="100"/>
              <w:jc w:val="right"/>
              <w:rPr>
                <w:rFonts w:eastAsia="Times New Roman"/>
              </w:rPr>
            </w:pPr>
            <w:r>
              <w:rPr>
                <w:rFonts w:eastAsia="Times New Roman"/>
                <w:color w:val="000000"/>
                <w:sz w:val="18"/>
                <w:szCs w:val="18"/>
              </w:rPr>
              <w:t>Ages 41 - 60</w:t>
            </w:r>
          </w:p>
          <w:p w:rsidR="00000000" w:rsidRDefault="005B0BC3">
            <w:pPr>
              <w:spacing w:after="100"/>
              <w:jc w:val="right"/>
              <w:rPr>
                <w:rFonts w:eastAsia="Times New Roman"/>
              </w:rPr>
            </w:pPr>
            <w:r>
              <w:rPr>
                <w:rFonts w:eastAsia="Times New Roman"/>
                <w:color w:val="000000"/>
                <w:sz w:val="18"/>
                <w:szCs w:val="18"/>
              </w:rPr>
              <w:t>Ages 60 - 115</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5B0BC3">
            <w:pPr>
              <w:spacing w:after="100"/>
              <w:jc w:val="center"/>
              <w:rPr>
                <w:rFonts w:eastAsia="Times New Roman"/>
              </w:rPr>
            </w:pPr>
            <w:r>
              <w:rPr>
                <w:rFonts w:eastAsia="Times New Roman"/>
                <w:color w:val="000000"/>
                <w:sz w:val="18"/>
                <w:szCs w:val="18"/>
              </w:rPr>
              <w:t>43 - 85 bps</w:t>
            </w:r>
          </w:p>
          <w:p w:rsidR="00000000" w:rsidRDefault="005B0BC3">
            <w:pPr>
              <w:spacing w:after="100"/>
              <w:jc w:val="center"/>
              <w:rPr>
                <w:rFonts w:eastAsia="Times New Roman"/>
              </w:rPr>
            </w:pPr>
            <w:r>
              <w:rPr>
                <w:rFonts w:eastAsia="Times New Roman"/>
                <w:color w:val="000000"/>
                <w:sz w:val="18"/>
                <w:szCs w:val="18"/>
              </w:rPr>
              <w:t>0.6% - 16%</w:t>
            </w:r>
          </w:p>
          <w:p w:rsidR="00000000" w:rsidRDefault="005B0BC3">
            <w:pPr>
              <w:spacing w:after="100"/>
              <w:jc w:val="center"/>
              <w:rPr>
                <w:rFonts w:eastAsia="Times New Roman"/>
              </w:rPr>
            </w:pPr>
            <w:r>
              <w:rPr>
                <w:rFonts w:eastAsia="Times New Roman"/>
                <w:color w:val="000000"/>
                <w:sz w:val="18"/>
                <w:szCs w:val="18"/>
              </w:rPr>
              <w:t>0% - 2%</w:t>
            </w:r>
          </w:p>
          <w:p w:rsidR="00000000" w:rsidRDefault="005B0BC3">
            <w:pPr>
              <w:spacing w:after="100"/>
              <w:jc w:val="center"/>
              <w:rPr>
                <w:rFonts w:eastAsia="Times New Roman"/>
              </w:rPr>
            </w:pPr>
            <w:r>
              <w:rPr>
                <w:rFonts w:eastAsia="Times New Roman"/>
                <w:color w:val="000000"/>
                <w:sz w:val="18"/>
                <w:szCs w:val="18"/>
              </w:rPr>
              <w:t>0% - 61%</w:t>
            </w:r>
          </w:p>
          <w:p w:rsidR="00000000" w:rsidRDefault="005B0BC3">
            <w:pPr>
              <w:spacing w:after="100"/>
              <w:jc w:val="center"/>
              <w:rPr>
                <w:rFonts w:eastAsia="Times New Roman"/>
              </w:rPr>
            </w:pPr>
            <w:r>
              <w:rPr>
                <w:rFonts w:eastAsia="Times New Roman"/>
                <w:color w:val="000000"/>
                <w:sz w:val="18"/>
                <w:szCs w:val="18"/>
              </w:rPr>
              <w:t>7% - 32%</w:t>
            </w:r>
          </w:p>
          <w:p w:rsidR="00000000" w:rsidRDefault="005B0BC3">
            <w:pPr>
              <w:spacing w:after="100"/>
              <w:jc w:val="center"/>
              <w:rPr>
                <w:rFonts w:eastAsia="Times New Roman"/>
              </w:rPr>
            </w:pPr>
          </w:p>
          <w:p w:rsidR="00000000" w:rsidRDefault="005B0BC3">
            <w:pPr>
              <w:spacing w:after="100"/>
              <w:jc w:val="center"/>
              <w:rPr>
                <w:rFonts w:eastAsia="Times New Roman"/>
              </w:rPr>
            </w:pPr>
            <w:r>
              <w:rPr>
                <w:rFonts w:eastAsia="Times New Roman"/>
                <w:color w:val="000000"/>
                <w:sz w:val="18"/>
                <w:szCs w:val="18"/>
              </w:rPr>
              <w:t>0.01% - 0.18%</w:t>
            </w:r>
          </w:p>
          <w:p w:rsidR="00000000" w:rsidRDefault="005B0BC3">
            <w:pPr>
              <w:spacing w:after="100"/>
              <w:jc w:val="center"/>
              <w:rPr>
                <w:rFonts w:eastAsia="Times New Roman"/>
              </w:rPr>
            </w:pPr>
            <w:r>
              <w:rPr>
                <w:rFonts w:eastAsia="Times New Roman"/>
                <w:color w:val="000000"/>
                <w:sz w:val="18"/>
                <w:szCs w:val="18"/>
              </w:rPr>
              <w:t>0.07% - 0.54%</w:t>
            </w:r>
          </w:p>
          <w:p w:rsidR="00000000" w:rsidRDefault="005B0BC3">
            <w:pPr>
              <w:spacing w:after="100"/>
              <w:jc w:val="center"/>
              <w:rPr>
                <w:rFonts w:eastAsia="Times New Roman"/>
              </w:rPr>
            </w:pPr>
            <w:r>
              <w:rPr>
                <w:rFonts w:eastAsia="Times New Roman"/>
                <w:color w:val="000000"/>
                <w:sz w:val="18"/>
                <w:szCs w:val="18"/>
              </w:rPr>
              <w:t>0.42% - 42.20%</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5B0BC3">
            <w:pPr>
              <w:spacing w:after="100"/>
              <w:jc w:val="center"/>
              <w:rPr>
                <w:rFonts w:eastAsia="Times New Roman"/>
              </w:rPr>
            </w:pPr>
            <w:r>
              <w:rPr>
                <w:rFonts w:eastAsia="Times New Roman"/>
                <w:color w:val="000000"/>
                <w:sz w:val="18"/>
                <w:szCs w:val="18"/>
              </w:rPr>
              <w:t>50 bps</w:t>
            </w:r>
          </w:p>
          <w:p w:rsidR="00000000" w:rsidRDefault="005B0BC3">
            <w:pPr>
              <w:spacing w:after="100"/>
              <w:jc w:val="center"/>
              <w:rPr>
                <w:rFonts w:eastAsia="Times New Roman"/>
              </w:rPr>
            </w:pPr>
            <w:r>
              <w:rPr>
                <w:rFonts w:eastAsia="Times New Roman"/>
                <w:color w:val="000000"/>
                <w:sz w:val="18"/>
                <w:szCs w:val="18"/>
              </w:rPr>
              <w:t>1.69%</w:t>
            </w:r>
          </w:p>
          <w:p w:rsidR="00000000" w:rsidRDefault="005B0BC3">
            <w:pPr>
              <w:spacing w:after="100"/>
              <w:jc w:val="center"/>
              <w:rPr>
                <w:rFonts w:eastAsia="Times New Roman"/>
              </w:rPr>
            </w:pPr>
            <w:r>
              <w:rPr>
                <w:rFonts w:eastAsia="Times New Roman"/>
                <w:color w:val="000000"/>
                <w:sz w:val="18"/>
                <w:szCs w:val="18"/>
              </w:rPr>
              <w:t>0.91%</w:t>
            </w:r>
          </w:p>
          <w:p w:rsidR="00000000" w:rsidRDefault="005B0BC3">
            <w:pPr>
              <w:spacing w:after="100"/>
              <w:jc w:val="center"/>
              <w:rPr>
                <w:rFonts w:eastAsia="Times New Roman"/>
              </w:rPr>
            </w:pPr>
            <w:r>
              <w:rPr>
                <w:rFonts w:eastAsia="Times New Roman"/>
                <w:color w:val="000000"/>
                <w:sz w:val="18"/>
                <w:szCs w:val="18"/>
              </w:rPr>
              <w:t>5.82%</w:t>
            </w:r>
          </w:p>
          <w:p w:rsidR="00000000" w:rsidRDefault="005B0BC3">
            <w:pPr>
              <w:spacing w:after="100"/>
              <w:jc w:val="center"/>
              <w:rPr>
                <w:rFonts w:eastAsia="Times New Roman"/>
              </w:rPr>
            </w:pPr>
            <w:r>
              <w:rPr>
                <w:rFonts w:eastAsia="Times New Roman"/>
                <w:color w:val="000000"/>
                <w:sz w:val="18"/>
                <w:szCs w:val="18"/>
              </w:rPr>
              <w:t>24%</w:t>
            </w:r>
          </w:p>
          <w:p w:rsidR="00000000" w:rsidRDefault="005B0BC3">
            <w:pPr>
              <w:spacing w:after="100"/>
              <w:jc w:val="center"/>
              <w:rPr>
                <w:rFonts w:eastAsia="Times New Roman"/>
              </w:rPr>
            </w:pPr>
          </w:p>
          <w:p w:rsidR="00000000" w:rsidRDefault="005B0BC3">
            <w:pPr>
              <w:spacing w:after="100"/>
              <w:jc w:val="center"/>
              <w:rPr>
                <w:rFonts w:eastAsia="Times New Roman"/>
              </w:rPr>
            </w:pPr>
            <w:r>
              <w:rPr>
                <w:rFonts w:eastAsia="Times New Roman"/>
                <w:color w:val="000000"/>
                <w:sz w:val="18"/>
                <w:szCs w:val="18"/>
              </w:rPr>
              <w:t>2.80%</w:t>
            </w:r>
          </w:p>
          <w:p w:rsidR="00000000" w:rsidRDefault="005B0BC3">
            <w:pPr>
              <w:spacing w:after="100"/>
              <w:jc w:val="center"/>
              <w:rPr>
                <w:rFonts w:eastAsia="Times New Roman"/>
              </w:rPr>
            </w:pPr>
            <w:r>
              <w:rPr>
                <w:rFonts w:eastAsia="Times New Roman"/>
                <w:color w:val="000000"/>
                <w:sz w:val="18"/>
                <w:szCs w:val="18"/>
              </w:rPr>
              <w:t>(same for all ages)</w:t>
            </w:r>
          </w:p>
          <w:p w:rsidR="00000000" w:rsidRDefault="005B0BC3">
            <w:pPr>
              <w:spacing w:after="100"/>
              <w:jc w:val="center"/>
              <w:rPr>
                <w:rFonts w:eastAsia="Times New Roman"/>
              </w:rPr>
            </w:pPr>
            <w:r>
              <w:rPr>
                <w:rFonts w:eastAsia="Times New Roman"/>
                <w:color w:val="000000"/>
                <w:sz w:val="18"/>
                <w:szCs w:val="18"/>
              </w:rPr>
              <w:t>(same for all ages)</w:t>
            </w:r>
          </w:p>
        </w:tc>
      </w:tr>
      <w:tr w:rsidR="00000000">
        <w:trPr>
          <w:divId w:val="1933853589"/>
          <w:jc w:val="center"/>
        </w:trPr>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5B0BC3">
            <w:pPr>
              <w:spacing w:after="100"/>
              <w:rPr>
                <w:rFonts w:eastAsia="Times New Roman"/>
              </w:rPr>
            </w:pPr>
            <w:r>
              <w:rPr>
                <w:rFonts w:eastAsia="Times New Roman"/>
                <w:color w:val="000000"/>
                <w:sz w:val="18"/>
                <w:szCs w:val="18"/>
              </w:rPr>
              <w:t>Liabilities:</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933853589"/>
          <w:jc w:val="center"/>
        </w:trPr>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5B0BC3">
            <w:pPr>
              <w:spacing w:after="100"/>
              <w:rPr>
                <w:rFonts w:eastAsia="Times New Roman"/>
              </w:rPr>
            </w:pPr>
            <w:r>
              <w:rPr>
                <w:rFonts w:eastAsia="Times New Roman"/>
                <w:color w:val="000000"/>
                <w:sz w:val="18"/>
                <w:szCs w:val="18"/>
              </w:rPr>
              <w:t>AB Contingent Consideration Payable</w:t>
            </w:r>
          </w:p>
        </w:tc>
        <w:tc>
          <w:tcPr>
            <w:tcW w:w="0" w:type="auto"/>
            <w:gridSpan w:val="2"/>
            <w:tcBorders>
              <w:top w:val="single" w:sz="2" w:space="0" w:color="000000"/>
            </w:tcBorders>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18"/>
                <w:szCs w:val="18"/>
              </w:rPr>
              <w:t>28 </w:t>
            </w:r>
          </w:p>
        </w:tc>
        <w:tc>
          <w:tcPr>
            <w:tcW w:w="0" w:type="auto"/>
            <w:tcBorders>
              <w:top w:val="single" w:sz="2" w:space="0" w:color="000000"/>
            </w:tcBorders>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5B0BC3">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5B0BC3">
            <w:pPr>
              <w:spacing w:after="100"/>
              <w:jc w:val="right"/>
              <w:rPr>
                <w:rFonts w:eastAsia="Times New Roman"/>
              </w:rPr>
            </w:pPr>
            <w:r>
              <w:rPr>
                <w:rFonts w:eastAsia="Times New Roman"/>
                <w:color w:val="000000"/>
                <w:sz w:val="18"/>
                <w:szCs w:val="18"/>
              </w:rPr>
              <w:t>Expected revenue growth rates</w:t>
            </w:r>
          </w:p>
          <w:p w:rsidR="00000000" w:rsidRDefault="005B0BC3">
            <w:pPr>
              <w:spacing w:after="100"/>
              <w:jc w:val="right"/>
              <w:rPr>
                <w:rFonts w:eastAsia="Times New Roman"/>
              </w:rPr>
            </w:pPr>
            <w:r>
              <w:rPr>
                <w:rFonts w:eastAsia="Times New Roman"/>
                <w:color w:val="000000"/>
                <w:sz w:val="18"/>
                <w:szCs w:val="18"/>
              </w:rPr>
              <w:t>Discount rate</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5B0BC3">
            <w:pPr>
              <w:spacing w:after="100"/>
              <w:jc w:val="center"/>
              <w:rPr>
                <w:rFonts w:eastAsia="Times New Roman"/>
              </w:rPr>
            </w:pPr>
            <w:r>
              <w:rPr>
                <w:rFonts w:eastAsia="Times New Roman"/>
                <w:color w:val="000000"/>
                <w:sz w:val="18"/>
                <w:szCs w:val="18"/>
              </w:rPr>
              <w:t>0.7% - 50.0%</w:t>
            </w:r>
          </w:p>
          <w:p w:rsidR="00000000" w:rsidRDefault="005B0BC3">
            <w:pPr>
              <w:spacing w:after="100"/>
              <w:jc w:val="center"/>
              <w:rPr>
                <w:rFonts w:eastAsia="Times New Roman"/>
              </w:rPr>
            </w:pPr>
            <w:r>
              <w:rPr>
                <w:rFonts w:eastAsia="Times New Roman"/>
                <w:color w:val="000000"/>
                <w:sz w:val="18"/>
                <w:szCs w:val="18"/>
              </w:rPr>
              <w:t>1.9% - 10.4%</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5B0BC3">
            <w:pPr>
              <w:spacing w:after="100"/>
              <w:jc w:val="center"/>
              <w:rPr>
                <w:rFonts w:eastAsia="Times New Roman"/>
              </w:rPr>
            </w:pPr>
            <w:r>
              <w:rPr>
                <w:rFonts w:eastAsia="Times New Roman"/>
                <w:color w:val="000000"/>
                <w:sz w:val="18"/>
                <w:szCs w:val="18"/>
              </w:rPr>
              <w:t>4.9%</w:t>
            </w:r>
          </w:p>
          <w:p w:rsidR="00000000" w:rsidRDefault="005B0BC3">
            <w:pPr>
              <w:spacing w:after="100"/>
              <w:jc w:val="center"/>
              <w:rPr>
                <w:rFonts w:eastAsia="Times New Roman"/>
              </w:rPr>
            </w:pPr>
            <w:r>
              <w:rPr>
                <w:rFonts w:eastAsia="Times New Roman"/>
                <w:color w:val="000000"/>
                <w:sz w:val="18"/>
                <w:szCs w:val="18"/>
              </w:rPr>
              <w:t>8.0%</w:t>
            </w:r>
          </w:p>
        </w:tc>
      </w:tr>
      <w:tr w:rsidR="00000000">
        <w:trPr>
          <w:divId w:val="1933853589"/>
          <w:jc w:val="center"/>
        </w:trPr>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5B0BC3">
            <w:pPr>
              <w:spacing w:after="100"/>
              <w:rPr>
                <w:rFonts w:eastAsia="Times New Roman"/>
              </w:rPr>
            </w:pPr>
            <w:r>
              <w:rPr>
                <w:rFonts w:eastAsia="Times New Roman"/>
                <w:color w:val="000000"/>
                <w:sz w:val="18"/>
                <w:szCs w:val="18"/>
              </w:rPr>
              <w:t>GMIBNLG</w:t>
            </w: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18"/>
                <w:szCs w:val="18"/>
              </w:rPr>
              <w:t>10,713 </w:t>
            </w:r>
          </w:p>
        </w:tc>
        <w:tc>
          <w:tcPr>
            <w:tcW w:w="0" w:type="auto"/>
            <w:tcBorders>
              <w:top w:val="single" w:sz="2"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5B0BC3">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5B0BC3">
            <w:pPr>
              <w:spacing w:after="100"/>
              <w:jc w:val="right"/>
              <w:rPr>
                <w:rFonts w:eastAsia="Times New Roman"/>
              </w:rPr>
            </w:pPr>
            <w:r>
              <w:rPr>
                <w:rFonts w:eastAsia="Times New Roman"/>
                <w:color w:val="000000"/>
                <w:sz w:val="18"/>
                <w:szCs w:val="18"/>
              </w:rPr>
              <w:t>Non-performance risk</w:t>
            </w:r>
          </w:p>
          <w:p w:rsidR="00000000" w:rsidRDefault="005B0BC3">
            <w:pPr>
              <w:spacing w:after="100"/>
              <w:jc w:val="right"/>
              <w:rPr>
                <w:rFonts w:eastAsia="Times New Roman"/>
              </w:rPr>
            </w:pPr>
            <w:r>
              <w:rPr>
                <w:rFonts w:eastAsia="Times New Roman"/>
                <w:color w:val="000000"/>
                <w:sz w:val="18"/>
                <w:szCs w:val="18"/>
              </w:rPr>
              <w:t>Lapse rates</w:t>
            </w:r>
          </w:p>
          <w:p w:rsidR="00000000" w:rsidRDefault="005B0BC3">
            <w:pPr>
              <w:spacing w:after="100"/>
              <w:jc w:val="right"/>
              <w:rPr>
                <w:rFonts w:eastAsia="Times New Roman"/>
              </w:rPr>
            </w:pPr>
            <w:r>
              <w:rPr>
                <w:rFonts w:eastAsia="Times New Roman"/>
                <w:color w:val="000000"/>
                <w:sz w:val="18"/>
                <w:szCs w:val="18"/>
              </w:rPr>
              <w:t>Withdrawal rates</w:t>
            </w:r>
          </w:p>
          <w:p w:rsidR="00000000" w:rsidRDefault="005B0BC3">
            <w:pPr>
              <w:spacing w:after="100"/>
              <w:jc w:val="right"/>
              <w:rPr>
                <w:rFonts w:eastAsia="Times New Roman"/>
              </w:rPr>
            </w:pPr>
            <w:r>
              <w:rPr>
                <w:rFonts w:eastAsia="Times New Roman"/>
                <w:color w:val="000000"/>
                <w:sz w:val="18"/>
                <w:szCs w:val="18"/>
              </w:rPr>
              <w:t>Annuitization rates</w:t>
            </w:r>
          </w:p>
          <w:p w:rsidR="00000000" w:rsidRDefault="005B0BC3">
            <w:pPr>
              <w:spacing w:after="100"/>
              <w:jc w:val="right"/>
              <w:rPr>
                <w:rFonts w:eastAsia="Times New Roman"/>
              </w:rPr>
            </w:pPr>
            <w:r>
              <w:rPr>
                <w:rFonts w:eastAsia="Times New Roman"/>
                <w:color w:val="000000"/>
                <w:sz w:val="18"/>
                <w:szCs w:val="18"/>
              </w:rPr>
              <w:t>Mortality rates (1):</w:t>
            </w:r>
          </w:p>
          <w:p w:rsidR="00000000" w:rsidRDefault="005B0BC3">
            <w:pPr>
              <w:spacing w:after="100"/>
              <w:jc w:val="right"/>
              <w:rPr>
                <w:rFonts w:eastAsia="Times New Roman"/>
              </w:rPr>
            </w:pPr>
            <w:r>
              <w:rPr>
                <w:rFonts w:eastAsia="Times New Roman"/>
                <w:color w:val="000000"/>
                <w:sz w:val="18"/>
                <w:szCs w:val="18"/>
              </w:rPr>
              <w:t>Ages 0 - 40</w:t>
            </w:r>
          </w:p>
          <w:p w:rsidR="00000000" w:rsidRDefault="005B0BC3">
            <w:pPr>
              <w:spacing w:after="100"/>
              <w:jc w:val="right"/>
              <w:rPr>
                <w:rFonts w:eastAsia="Times New Roman"/>
              </w:rPr>
            </w:pPr>
            <w:r>
              <w:rPr>
                <w:rFonts w:eastAsia="Times New Roman"/>
                <w:color w:val="000000"/>
                <w:sz w:val="18"/>
                <w:szCs w:val="18"/>
              </w:rPr>
              <w:t>Ages 41 - 60</w:t>
            </w:r>
          </w:p>
          <w:p w:rsidR="00000000" w:rsidRDefault="005B0BC3">
            <w:pPr>
              <w:spacing w:after="100"/>
              <w:jc w:val="right"/>
              <w:rPr>
                <w:rFonts w:eastAsia="Times New Roman"/>
              </w:rPr>
            </w:pPr>
            <w:r>
              <w:rPr>
                <w:rFonts w:eastAsia="Times New Roman"/>
                <w:color w:val="000000"/>
                <w:sz w:val="18"/>
                <w:szCs w:val="18"/>
              </w:rPr>
              <w:t>Ages 60 - 115</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5B0BC3">
            <w:pPr>
              <w:spacing w:after="100"/>
              <w:jc w:val="center"/>
              <w:rPr>
                <w:rFonts w:eastAsia="Times New Roman"/>
              </w:rPr>
            </w:pPr>
            <w:r>
              <w:rPr>
                <w:rFonts w:eastAsia="Times New Roman"/>
                <w:color w:val="000000"/>
                <w:sz w:val="18"/>
                <w:szCs w:val="18"/>
              </w:rPr>
              <w:t>96.0 bps</w:t>
            </w:r>
          </w:p>
          <w:p w:rsidR="00000000" w:rsidRDefault="005B0BC3">
            <w:pPr>
              <w:spacing w:after="100"/>
              <w:jc w:val="center"/>
              <w:rPr>
                <w:rFonts w:eastAsia="Times New Roman"/>
              </w:rPr>
            </w:pPr>
            <w:r>
              <w:rPr>
                <w:rFonts w:eastAsia="Times New Roman"/>
                <w:color w:val="000000"/>
                <w:sz w:val="18"/>
                <w:szCs w:val="18"/>
              </w:rPr>
              <w:t>1.1% - 25.7%</w:t>
            </w:r>
          </w:p>
          <w:p w:rsidR="00000000" w:rsidRDefault="005B0BC3">
            <w:pPr>
              <w:spacing w:after="100"/>
              <w:jc w:val="center"/>
              <w:rPr>
                <w:rFonts w:eastAsia="Times New Roman"/>
              </w:rPr>
            </w:pPr>
            <w:r>
              <w:rPr>
                <w:rFonts w:eastAsia="Times New Roman"/>
                <w:color w:val="000000"/>
                <w:sz w:val="18"/>
                <w:szCs w:val="18"/>
              </w:rPr>
              <w:t>0.4% - 2%</w:t>
            </w:r>
          </w:p>
          <w:p w:rsidR="00000000" w:rsidRDefault="005B0BC3">
            <w:pPr>
              <w:spacing w:after="100"/>
              <w:jc w:val="center"/>
              <w:rPr>
                <w:rFonts w:eastAsia="Times New Roman"/>
              </w:rPr>
            </w:pPr>
            <w:r>
              <w:rPr>
                <w:rFonts w:eastAsia="Times New Roman"/>
                <w:color w:val="000000"/>
                <w:sz w:val="18"/>
                <w:szCs w:val="18"/>
              </w:rPr>
              <w:t>0% - 100%</w:t>
            </w:r>
          </w:p>
          <w:p w:rsidR="00000000" w:rsidRDefault="005B0BC3">
            <w:pPr>
              <w:spacing w:after="100"/>
              <w:jc w:val="center"/>
              <w:rPr>
                <w:rFonts w:eastAsia="Times New Roman"/>
              </w:rPr>
            </w:pPr>
          </w:p>
          <w:p w:rsidR="00000000" w:rsidRDefault="005B0BC3">
            <w:pPr>
              <w:spacing w:after="100"/>
              <w:jc w:val="center"/>
              <w:rPr>
                <w:rFonts w:eastAsia="Times New Roman"/>
              </w:rPr>
            </w:pPr>
            <w:r>
              <w:rPr>
                <w:rFonts w:eastAsia="Times New Roman"/>
                <w:color w:val="000000"/>
                <w:sz w:val="18"/>
                <w:szCs w:val="18"/>
              </w:rPr>
              <w:t>0.01% - 0.19%</w:t>
            </w:r>
          </w:p>
          <w:p w:rsidR="00000000" w:rsidRDefault="005B0BC3">
            <w:pPr>
              <w:spacing w:after="100"/>
              <w:jc w:val="center"/>
              <w:rPr>
                <w:rFonts w:eastAsia="Times New Roman"/>
              </w:rPr>
            </w:pPr>
            <w:r>
              <w:rPr>
                <w:rFonts w:eastAsia="Times New Roman"/>
                <w:color w:val="000000"/>
                <w:sz w:val="18"/>
                <w:szCs w:val="18"/>
              </w:rPr>
              <w:t xml:space="preserve">0.06% - </w:t>
            </w:r>
            <w:r>
              <w:rPr>
                <w:rFonts w:eastAsia="Times New Roman"/>
                <w:color w:val="000000"/>
                <w:sz w:val="18"/>
                <w:szCs w:val="18"/>
              </w:rPr>
              <w:t>0.53%</w:t>
            </w:r>
          </w:p>
          <w:p w:rsidR="00000000" w:rsidRDefault="005B0BC3">
            <w:pPr>
              <w:spacing w:after="100"/>
              <w:jc w:val="center"/>
              <w:rPr>
                <w:rFonts w:eastAsia="Times New Roman"/>
              </w:rPr>
            </w:pPr>
            <w:r>
              <w:rPr>
                <w:rFonts w:eastAsia="Times New Roman"/>
                <w:color w:val="000000"/>
                <w:sz w:val="18"/>
                <w:szCs w:val="18"/>
              </w:rPr>
              <w:t>0.41% - 41.39%</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5B0BC3">
            <w:pPr>
              <w:spacing w:after="100"/>
              <w:jc w:val="center"/>
              <w:rPr>
                <w:rFonts w:eastAsia="Times New Roman"/>
              </w:rPr>
            </w:pPr>
          </w:p>
          <w:p w:rsidR="00000000" w:rsidRDefault="005B0BC3">
            <w:pPr>
              <w:spacing w:after="100"/>
              <w:jc w:val="center"/>
              <w:rPr>
                <w:rFonts w:eastAsia="Times New Roman"/>
              </w:rPr>
            </w:pPr>
            <w:r>
              <w:rPr>
                <w:rFonts w:eastAsia="Times New Roman"/>
                <w:color w:val="000000"/>
                <w:sz w:val="18"/>
                <w:szCs w:val="18"/>
              </w:rPr>
              <w:t>3.19%</w:t>
            </w:r>
          </w:p>
          <w:p w:rsidR="00000000" w:rsidRDefault="005B0BC3">
            <w:pPr>
              <w:spacing w:after="100"/>
              <w:jc w:val="center"/>
              <w:rPr>
                <w:rFonts w:eastAsia="Times New Roman"/>
              </w:rPr>
            </w:pPr>
            <w:r>
              <w:rPr>
                <w:rFonts w:eastAsia="Times New Roman"/>
                <w:color w:val="000000"/>
                <w:sz w:val="18"/>
                <w:szCs w:val="18"/>
              </w:rPr>
              <w:t>0.93%</w:t>
            </w:r>
          </w:p>
          <w:p w:rsidR="00000000" w:rsidRDefault="005B0BC3">
            <w:pPr>
              <w:spacing w:after="100"/>
              <w:jc w:val="center"/>
              <w:rPr>
                <w:rFonts w:eastAsia="Times New Roman"/>
              </w:rPr>
            </w:pPr>
            <w:r>
              <w:rPr>
                <w:rFonts w:eastAsia="Times New Roman"/>
                <w:color w:val="000000"/>
                <w:sz w:val="18"/>
                <w:szCs w:val="18"/>
              </w:rPr>
              <w:t>5.51%</w:t>
            </w:r>
          </w:p>
          <w:p w:rsidR="00000000" w:rsidRDefault="005B0BC3">
            <w:pPr>
              <w:spacing w:after="100"/>
              <w:jc w:val="center"/>
              <w:rPr>
                <w:rFonts w:eastAsia="Times New Roman"/>
              </w:rPr>
            </w:pPr>
          </w:p>
          <w:p w:rsidR="00000000" w:rsidRDefault="005B0BC3">
            <w:pPr>
              <w:spacing w:after="100"/>
              <w:jc w:val="center"/>
              <w:rPr>
                <w:rFonts w:eastAsia="Times New Roman"/>
              </w:rPr>
            </w:pPr>
            <w:r>
              <w:rPr>
                <w:rFonts w:eastAsia="Times New Roman"/>
                <w:color w:val="000000"/>
                <w:sz w:val="18"/>
                <w:szCs w:val="18"/>
              </w:rPr>
              <w:t>1.56%</w:t>
            </w:r>
          </w:p>
          <w:p w:rsidR="00000000" w:rsidRDefault="005B0BC3">
            <w:pPr>
              <w:spacing w:after="100"/>
              <w:jc w:val="center"/>
              <w:rPr>
                <w:rFonts w:eastAsia="Times New Roman"/>
              </w:rPr>
            </w:pPr>
            <w:r>
              <w:rPr>
                <w:rFonts w:eastAsia="Times New Roman"/>
                <w:color w:val="000000"/>
                <w:sz w:val="18"/>
                <w:szCs w:val="18"/>
              </w:rPr>
              <w:t>(same for all ages)</w:t>
            </w:r>
          </w:p>
          <w:p w:rsidR="00000000" w:rsidRDefault="005B0BC3">
            <w:pPr>
              <w:spacing w:after="100"/>
              <w:jc w:val="center"/>
              <w:rPr>
                <w:rFonts w:eastAsia="Times New Roman"/>
              </w:rPr>
            </w:pPr>
            <w:r>
              <w:rPr>
                <w:rFonts w:eastAsia="Times New Roman"/>
                <w:color w:val="000000"/>
                <w:sz w:val="18"/>
                <w:szCs w:val="18"/>
              </w:rPr>
              <w:t>(same for all ages)</w:t>
            </w:r>
          </w:p>
        </w:tc>
      </w:tr>
      <w:tr w:rsidR="00000000">
        <w:trPr>
          <w:divId w:val="1933853589"/>
          <w:jc w:val="center"/>
        </w:trPr>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5B0BC3">
            <w:pPr>
              <w:spacing w:after="100"/>
              <w:rPr>
                <w:rFonts w:eastAsia="Times New Roman"/>
              </w:rPr>
            </w:pPr>
            <w:r>
              <w:rPr>
                <w:rFonts w:eastAsia="Times New Roman"/>
                <w:color w:val="000000"/>
                <w:sz w:val="18"/>
                <w:szCs w:val="18"/>
              </w:rPr>
              <w:t>Assumed GMIB Reinsurance Contracts</w:t>
            </w:r>
          </w:p>
        </w:tc>
        <w:tc>
          <w:tcPr>
            <w:tcW w:w="0" w:type="auto"/>
            <w:gridSpan w:val="2"/>
            <w:tcBorders>
              <w:top w:val="single" w:sz="2" w:space="0" w:color="000000"/>
            </w:tcBorders>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18"/>
                <w:szCs w:val="18"/>
              </w:rPr>
              <w:t>195 </w:t>
            </w:r>
          </w:p>
        </w:tc>
        <w:tc>
          <w:tcPr>
            <w:tcW w:w="0" w:type="auto"/>
            <w:tcBorders>
              <w:top w:val="single" w:sz="2" w:space="0" w:color="000000"/>
            </w:tcBorders>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5B0BC3">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5B0BC3">
            <w:pPr>
              <w:spacing w:after="100"/>
              <w:jc w:val="right"/>
              <w:rPr>
                <w:rFonts w:eastAsia="Times New Roman"/>
              </w:rPr>
            </w:pPr>
            <w:r>
              <w:rPr>
                <w:rFonts w:eastAsia="Times New Roman"/>
                <w:color w:val="000000"/>
                <w:sz w:val="18"/>
                <w:szCs w:val="18"/>
              </w:rPr>
              <w:t>Non-performance risk</w:t>
            </w:r>
          </w:p>
          <w:p w:rsidR="00000000" w:rsidRDefault="005B0BC3">
            <w:pPr>
              <w:spacing w:after="100"/>
              <w:jc w:val="right"/>
              <w:rPr>
                <w:rFonts w:eastAsia="Times New Roman"/>
              </w:rPr>
            </w:pPr>
            <w:r>
              <w:rPr>
                <w:rFonts w:eastAsia="Times New Roman"/>
                <w:color w:val="000000"/>
                <w:sz w:val="18"/>
                <w:szCs w:val="18"/>
              </w:rPr>
              <w:t>Lapse rates</w:t>
            </w:r>
          </w:p>
          <w:p w:rsidR="00000000" w:rsidRDefault="005B0BC3">
            <w:pPr>
              <w:spacing w:after="100"/>
              <w:jc w:val="right"/>
              <w:rPr>
                <w:rFonts w:eastAsia="Times New Roman"/>
              </w:rPr>
            </w:pPr>
            <w:r>
              <w:rPr>
                <w:rFonts w:eastAsia="Times New Roman"/>
                <w:color w:val="000000"/>
                <w:sz w:val="18"/>
                <w:szCs w:val="18"/>
              </w:rPr>
              <w:t>Withdrawal rates (Age 0 - 85)</w:t>
            </w:r>
          </w:p>
          <w:p w:rsidR="00000000" w:rsidRDefault="005B0BC3">
            <w:pPr>
              <w:spacing w:after="100"/>
              <w:jc w:val="right"/>
              <w:rPr>
                <w:rFonts w:eastAsia="Times New Roman"/>
              </w:rPr>
            </w:pPr>
            <w:r>
              <w:rPr>
                <w:rFonts w:eastAsia="Times New Roman"/>
                <w:color w:val="000000"/>
                <w:sz w:val="18"/>
                <w:szCs w:val="18"/>
              </w:rPr>
              <w:t>Withdrawal rates (Age 86+)</w:t>
            </w:r>
          </w:p>
          <w:p w:rsidR="00000000" w:rsidRDefault="005B0BC3">
            <w:pPr>
              <w:spacing w:after="100"/>
              <w:jc w:val="right"/>
              <w:rPr>
                <w:rFonts w:eastAsia="Times New Roman"/>
              </w:rPr>
            </w:pPr>
            <w:r>
              <w:rPr>
                <w:rFonts w:eastAsia="Times New Roman"/>
                <w:color w:val="000000"/>
                <w:sz w:val="18"/>
                <w:szCs w:val="18"/>
              </w:rPr>
              <w:t xml:space="preserve">Utilization rates </w:t>
            </w:r>
          </w:p>
          <w:p w:rsidR="00000000" w:rsidRDefault="005B0BC3">
            <w:pPr>
              <w:spacing w:after="100"/>
              <w:jc w:val="right"/>
              <w:rPr>
                <w:rFonts w:eastAsia="Times New Roman"/>
              </w:rPr>
            </w:pPr>
            <w:r>
              <w:rPr>
                <w:rFonts w:eastAsia="Times New Roman"/>
                <w:color w:val="000000"/>
                <w:sz w:val="18"/>
                <w:szCs w:val="18"/>
              </w:rPr>
              <w:t>Volatility rates - Equity</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5B0BC3">
            <w:pPr>
              <w:spacing w:after="100"/>
              <w:jc w:val="center"/>
              <w:rPr>
                <w:rFonts w:eastAsia="Times New Roman"/>
              </w:rPr>
            </w:pPr>
            <w:r>
              <w:rPr>
                <w:rFonts w:eastAsia="Times New Roman"/>
                <w:color w:val="000000"/>
                <w:sz w:val="18"/>
                <w:szCs w:val="18"/>
              </w:rPr>
              <w:t>60 - 133 bps</w:t>
            </w:r>
          </w:p>
          <w:p w:rsidR="00000000" w:rsidRDefault="005B0BC3">
            <w:pPr>
              <w:spacing w:after="100"/>
              <w:jc w:val="center"/>
              <w:rPr>
                <w:rFonts w:eastAsia="Times New Roman"/>
              </w:rPr>
            </w:pPr>
            <w:r>
              <w:rPr>
                <w:rFonts w:eastAsia="Times New Roman"/>
                <w:color w:val="000000"/>
                <w:sz w:val="18"/>
                <w:szCs w:val="18"/>
              </w:rPr>
              <w:t>1.1% - 11.1%</w:t>
            </w:r>
          </w:p>
          <w:p w:rsidR="00000000" w:rsidRDefault="005B0BC3">
            <w:pPr>
              <w:spacing w:after="100"/>
              <w:jc w:val="center"/>
              <w:rPr>
                <w:rFonts w:eastAsia="Times New Roman"/>
              </w:rPr>
            </w:pPr>
            <w:r>
              <w:rPr>
                <w:rFonts w:eastAsia="Times New Roman"/>
                <w:color w:val="000000"/>
                <w:sz w:val="18"/>
                <w:szCs w:val="18"/>
              </w:rPr>
              <w:t>0.6% - 22.2%</w:t>
            </w:r>
          </w:p>
          <w:p w:rsidR="00000000" w:rsidRDefault="005B0BC3">
            <w:pPr>
              <w:spacing w:after="100"/>
              <w:jc w:val="center"/>
              <w:rPr>
                <w:rFonts w:eastAsia="Times New Roman"/>
              </w:rPr>
            </w:pPr>
            <w:r>
              <w:rPr>
                <w:rFonts w:eastAsia="Times New Roman"/>
                <w:color w:val="000000"/>
                <w:sz w:val="18"/>
                <w:szCs w:val="18"/>
              </w:rPr>
              <w:t>1.1% - 100%</w:t>
            </w:r>
          </w:p>
          <w:p w:rsidR="00000000" w:rsidRDefault="005B0BC3">
            <w:pPr>
              <w:spacing w:after="100"/>
              <w:jc w:val="center"/>
              <w:rPr>
                <w:rFonts w:eastAsia="Times New Roman"/>
              </w:rPr>
            </w:pPr>
            <w:r>
              <w:rPr>
                <w:rFonts w:eastAsia="Times New Roman"/>
                <w:color w:val="000000"/>
                <w:sz w:val="18"/>
                <w:szCs w:val="18"/>
              </w:rPr>
              <w:t>0% -30%</w:t>
            </w:r>
          </w:p>
          <w:p w:rsidR="00000000" w:rsidRDefault="005B0BC3">
            <w:pPr>
              <w:spacing w:after="100"/>
              <w:jc w:val="center"/>
              <w:rPr>
                <w:rFonts w:eastAsia="Times New Roman"/>
              </w:rPr>
            </w:pPr>
            <w:r>
              <w:rPr>
                <w:rFonts w:eastAsia="Times New Roman"/>
                <w:color w:val="000000"/>
                <w:sz w:val="18"/>
                <w:szCs w:val="18"/>
              </w:rPr>
              <w:t>7%-32%</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5B0BC3">
            <w:pPr>
              <w:spacing w:after="100"/>
              <w:jc w:val="center"/>
              <w:rPr>
                <w:rFonts w:eastAsia="Times New Roman"/>
              </w:rPr>
            </w:pPr>
            <w:r>
              <w:rPr>
                <w:rFonts w:eastAsia="Times New Roman"/>
                <w:color w:val="000000"/>
                <w:sz w:val="18"/>
                <w:szCs w:val="18"/>
              </w:rPr>
              <w:t>99 bps</w:t>
            </w:r>
          </w:p>
          <w:p w:rsidR="00000000" w:rsidRDefault="005B0BC3">
            <w:pPr>
              <w:spacing w:after="100"/>
              <w:jc w:val="center"/>
              <w:rPr>
                <w:rFonts w:eastAsia="Times New Roman"/>
              </w:rPr>
            </w:pPr>
            <w:r>
              <w:rPr>
                <w:rFonts w:eastAsia="Times New Roman"/>
                <w:color w:val="000000"/>
                <w:sz w:val="18"/>
                <w:szCs w:val="18"/>
              </w:rPr>
              <w:t>1.69%</w:t>
            </w:r>
          </w:p>
          <w:p w:rsidR="00000000" w:rsidRDefault="005B0BC3">
            <w:pPr>
              <w:spacing w:after="100"/>
              <w:jc w:val="center"/>
              <w:rPr>
                <w:rFonts w:eastAsia="Times New Roman"/>
              </w:rPr>
            </w:pPr>
            <w:r>
              <w:rPr>
                <w:rFonts w:eastAsia="Times New Roman"/>
                <w:color w:val="000000"/>
                <w:sz w:val="18"/>
                <w:szCs w:val="18"/>
              </w:rPr>
              <w:t>0.91%</w:t>
            </w:r>
          </w:p>
          <w:p w:rsidR="00000000" w:rsidRDefault="005B0BC3">
            <w:pPr>
              <w:spacing w:after="100"/>
              <w:jc w:val="center"/>
              <w:rPr>
                <w:rFonts w:eastAsia="Times New Roman"/>
              </w:rPr>
            </w:pPr>
            <w:r>
              <w:rPr>
                <w:rFonts w:eastAsia="Times New Roman"/>
                <w:color w:val="000000"/>
                <w:sz w:val="18"/>
                <w:szCs w:val="18"/>
              </w:rPr>
              <w:t>(same for all ages)</w:t>
            </w:r>
          </w:p>
          <w:p w:rsidR="00000000" w:rsidRDefault="005B0BC3">
            <w:pPr>
              <w:spacing w:after="100"/>
              <w:jc w:val="center"/>
              <w:rPr>
                <w:rFonts w:eastAsia="Times New Roman"/>
              </w:rPr>
            </w:pPr>
            <w:r>
              <w:rPr>
                <w:rFonts w:eastAsia="Times New Roman"/>
                <w:color w:val="000000"/>
                <w:sz w:val="18"/>
                <w:szCs w:val="18"/>
              </w:rPr>
              <w:t>5.82%</w:t>
            </w:r>
          </w:p>
          <w:p w:rsidR="00000000" w:rsidRDefault="005B0BC3">
            <w:pPr>
              <w:spacing w:after="100"/>
              <w:jc w:val="center"/>
              <w:rPr>
                <w:rFonts w:eastAsia="Times New Roman"/>
              </w:rPr>
            </w:pPr>
            <w:r>
              <w:rPr>
                <w:rFonts w:eastAsia="Times New Roman"/>
                <w:color w:val="000000"/>
                <w:sz w:val="18"/>
                <w:szCs w:val="18"/>
              </w:rPr>
              <w:t>24%</w:t>
            </w:r>
          </w:p>
        </w:tc>
      </w:tr>
      <w:tr w:rsidR="00000000">
        <w:trPr>
          <w:divId w:val="1933853589"/>
          <w:jc w:val="center"/>
        </w:trPr>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5B0BC3">
            <w:pPr>
              <w:spacing w:after="100"/>
              <w:rPr>
                <w:rFonts w:eastAsia="Times New Roman"/>
              </w:rPr>
            </w:pPr>
            <w:r>
              <w:rPr>
                <w:rFonts w:eastAsia="Times New Roman"/>
                <w:color w:val="000000"/>
                <w:sz w:val="18"/>
                <w:szCs w:val="18"/>
              </w:rPr>
              <w:t>GWBL/GMWB</w:t>
            </w:r>
          </w:p>
        </w:tc>
        <w:tc>
          <w:tcPr>
            <w:tcW w:w="0" w:type="auto"/>
            <w:gridSpan w:val="2"/>
            <w:tcBorders>
              <w:top w:val="single" w:sz="2" w:space="0" w:color="000000"/>
            </w:tcBorders>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18"/>
                <w:szCs w:val="18"/>
              </w:rPr>
              <w:t>190 </w:t>
            </w:r>
          </w:p>
        </w:tc>
        <w:tc>
          <w:tcPr>
            <w:tcW w:w="0" w:type="auto"/>
            <w:tcBorders>
              <w:top w:val="single" w:sz="2"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single" w:sz="2" w:space="0" w:color="000000"/>
            </w:tcBorders>
            <w:shd w:val="clear" w:color="auto" w:fill="FFFFFF"/>
            <w:tcMar>
              <w:top w:w="30" w:type="dxa"/>
              <w:left w:w="20" w:type="dxa"/>
              <w:bottom w:w="30" w:type="dxa"/>
              <w:right w:w="20" w:type="dxa"/>
            </w:tcMar>
            <w:vAlign w:val="center"/>
            <w:hideMark/>
          </w:tcPr>
          <w:p w:rsidR="00000000" w:rsidRDefault="005B0BC3">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5B0BC3">
            <w:pPr>
              <w:spacing w:after="100"/>
              <w:jc w:val="right"/>
              <w:rPr>
                <w:rFonts w:eastAsia="Times New Roman"/>
              </w:rPr>
            </w:pPr>
            <w:r>
              <w:rPr>
                <w:rFonts w:eastAsia="Times New Roman"/>
                <w:color w:val="000000"/>
                <w:sz w:val="18"/>
                <w:szCs w:val="18"/>
              </w:rPr>
              <w:t>Non-performance risk</w:t>
            </w:r>
          </w:p>
          <w:p w:rsidR="00000000" w:rsidRDefault="005B0BC3">
            <w:pPr>
              <w:spacing w:after="100"/>
              <w:jc w:val="right"/>
              <w:rPr>
                <w:rFonts w:eastAsia="Times New Roman"/>
              </w:rPr>
            </w:pPr>
            <w:r>
              <w:rPr>
                <w:rFonts w:eastAsia="Times New Roman"/>
                <w:color w:val="000000"/>
                <w:sz w:val="18"/>
                <w:szCs w:val="18"/>
              </w:rPr>
              <w:t>Lapse rates</w:t>
            </w:r>
          </w:p>
          <w:p w:rsidR="00000000" w:rsidRDefault="005B0BC3">
            <w:pPr>
              <w:spacing w:after="100"/>
              <w:jc w:val="right"/>
              <w:rPr>
                <w:rFonts w:eastAsia="Times New Roman"/>
              </w:rPr>
            </w:pPr>
            <w:r>
              <w:rPr>
                <w:rFonts w:eastAsia="Times New Roman"/>
                <w:color w:val="000000"/>
                <w:sz w:val="18"/>
                <w:szCs w:val="18"/>
              </w:rPr>
              <w:t>Withdrawal rates</w:t>
            </w:r>
          </w:p>
          <w:p w:rsidR="00000000" w:rsidRDefault="005B0BC3">
            <w:pPr>
              <w:spacing w:after="100"/>
              <w:jc w:val="right"/>
              <w:rPr>
                <w:rFonts w:eastAsia="Times New Roman"/>
              </w:rPr>
            </w:pPr>
            <w:r>
              <w:rPr>
                <w:rFonts w:eastAsia="Times New Roman"/>
                <w:color w:val="000000"/>
                <w:sz w:val="18"/>
                <w:szCs w:val="18"/>
              </w:rPr>
              <w:t>Utilization rates</w:t>
            </w:r>
          </w:p>
          <w:p w:rsidR="00000000" w:rsidRDefault="005B0BC3">
            <w:pPr>
              <w:spacing w:after="100"/>
              <w:jc w:val="right"/>
              <w:rPr>
                <w:rFonts w:eastAsia="Times New Roman"/>
              </w:rPr>
            </w:pPr>
          </w:p>
          <w:p w:rsidR="00000000" w:rsidRDefault="005B0BC3">
            <w:pPr>
              <w:spacing w:after="100"/>
              <w:jc w:val="right"/>
              <w:rPr>
                <w:rFonts w:eastAsia="Times New Roman"/>
              </w:rPr>
            </w:pPr>
            <w:r>
              <w:rPr>
                <w:rFonts w:eastAsia="Times New Roman"/>
                <w:color w:val="000000"/>
                <w:sz w:val="18"/>
                <w:szCs w:val="18"/>
              </w:rPr>
              <w:t>Volatility rates - Equity</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5B0BC3">
            <w:pPr>
              <w:spacing w:after="100"/>
              <w:jc w:val="center"/>
              <w:rPr>
                <w:rFonts w:eastAsia="Times New Roman"/>
              </w:rPr>
            </w:pPr>
            <w:r>
              <w:rPr>
                <w:rFonts w:eastAsia="Times New Roman"/>
                <w:color w:val="000000"/>
                <w:sz w:val="18"/>
                <w:szCs w:val="18"/>
              </w:rPr>
              <w:t>96.0 bps</w:t>
            </w:r>
          </w:p>
          <w:p w:rsidR="00000000" w:rsidRDefault="005B0BC3">
            <w:pPr>
              <w:spacing w:after="100"/>
              <w:jc w:val="center"/>
              <w:rPr>
                <w:rFonts w:eastAsia="Times New Roman"/>
              </w:rPr>
            </w:pPr>
            <w:r>
              <w:rPr>
                <w:rFonts w:eastAsia="Times New Roman"/>
                <w:color w:val="000000"/>
                <w:sz w:val="18"/>
                <w:szCs w:val="18"/>
              </w:rPr>
              <w:t>0.8%-16%</w:t>
            </w:r>
          </w:p>
          <w:p w:rsidR="00000000" w:rsidRDefault="005B0BC3">
            <w:pPr>
              <w:spacing w:after="100"/>
              <w:jc w:val="center"/>
              <w:rPr>
                <w:rFonts w:eastAsia="Times New Roman"/>
              </w:rPr>
            </w:pPr>
            <w:r>
              <w:rPr>
                <w:rFonts w:eastAsia="Times New Roman"/>
                <w:color w:val="000000"/>
                <w:sz w:val="18"/>
                <w:szCs w:val="18"/>
              </w:rPr>
              <w:t>0%-8%</w:t>
            </w:r>
          </w:p>
          <w:p w:rsidR="00000000" w:rsidRDefault="005B0BC3">
            <w:pPr>
              <w:spacing w:after="100"/>
              <w:jc w:val="center"/>
              <w:rPr>
                <w:rFonts w:eastAsia="Times New Roman"/>
              </w:rPr>
            </w:pPr>
            <w:r>
              <w:rPr>
                <w:rFonts w:eastAsia="Times New Roman"/>
                <w:color w:val="000000"/>
                <w:sz w:val="18"/>
                <w:szCs w:val="18"/>
              </w:rPr>
              <w:t>100% once starting</w:t>
            </w:r>
          </w:p>
          <w:p w:rsidR="00000000" w:rsidRDefault="005B0BC3">
            <w:pPr>
              <w:spacing w:after="100"/>
              <w:jc w:val="center"/>
              <w:rPr>
                <w:rFonts w:eastAsia="Times New Roman"/>
              </w:rPr>
            </w:pPr>
            <w:r>
              <w:rPr>
                <w:rFonts w:eastAsia="Times New Roman"/>
                <w:color w:val="000000"/>
                <w:sz w:val="18"/>
                <w:szCs w:val="18"/>
              </w:rPr>
              <w:t>7%-32%</w:t>
            </w:r>
          </w:p>
        </w:tc>
        <w:tc>
          <w:tcPr>
            <w:tcW w:w="0" w:type="auto"/>
            <w:gridSpan w:val="3"/>
            <w:tcBorders>
              <w:top w:val="single" w:sz="2" w:space="0" w:color="000000"/>
            </w:tcBorders>
            <w:shd w:val="clear" w:color="auto" w:fill="FFFF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2" w:space="0" w:color="000000"/>
            </w:tcBorders>
            <w:shd w:val="clear" w:color="auto" w:fill="FFFFFF"/>
            <w:tcMar>
              <w:top w:w="30" w:type="dxa"/>
              <w:left w:w="20" w:type="dxa"/>
              <w:bottom w:w="30" w:type="dxa"/>
              <w:right w:w="20" w:type="dxa"/>
            </w:tcMar>
            <w:hideMark/>
          </w:tcPr>
          <w:p w:rsidR="00000000" w:rsidRDefault="005B0BC3">
            <w:pPr>
              <w:spacing w:after="100"/>
              <w:jc w:val="center"/>
              <w:rPr>
                <w:rFonts w:eastAsia="Times New Roman"/>
              </w:rPr>
            </w:pPr>
          </w:p>
          <w:p w:rsidR="00000000" w:rsidRDefault="005B0BC3">
            <w:pPr>
              <w:spacing w:after="100"/>
              <w:jc w:val="center"/>
              <w:rPr>
                <w:rFonts w:eastAsia="Times New Roman"/>
              </w:rPr>
            </w:pPr>
            <w:r>
              <w:rPr>
                <w:rFonts w:eastAsia="Times New Roman"/>
                <w:color w:val="000000"/>
                <w:sz w:val="18"/>
                <w:szCs w:val="18"/>
              </w:rPr>
              <w:t>1.69%</w:t>
            </w:r>
          </w:p>
          <w:p w:rsidR="00000000" w:rsidRDefault="005B0BC3">
            <w:pPr>
              <w:spacing w:after="100"/>
              <w:jc w:val="center"/>
              <w:rPr>
                <w:rFonts w:eastAsia="Times New Roman"/>
              </w:rPr>
            </w:pPr>
            <w:r>
              <w:rPr>
                <w:rFonts w:eastAsia="Times New Roman"/>
                <w:color w:val="000000"/>
                <w:sz w:val="18"/>
                <w:szCs w:val="18"/>
              </w:rPr>
              <w:t>0.91%</w:t>
            </w:r>
          </w:p>
          <w:p w:rsidR="00000000" w:rsidRDefault="005B0BC3">
            <w:pPr>
              <w:spacing w:after="100"/>
              <w:jc w:val="center"/>
              <w:rPr>
                <w:rFonts w:eastAsia="Times New Roman"/>
              </w:rPr>
            </w:pPr>
          </w:p>
          <w:p w:rsidR="00000000" w:rsidRDefault="005B0BC3">
            <w:pPr>
              <w:spacing w:after="100"/>
              <w:jc w:val="center"/>
              <w:rPr>
                <w:rFonts w:eastAsia="Times New Roman"/>
              </w:rPr>
            </w:pPr>
            <w:r>
              <w:rPr>
                <w:rFonts w:eastAsia="Times New Roman"/>
                <w:color w:val="000000"/>
                <w:sz w:val="18"/>
                <w:szCs w:val="18"/>
              </w:rPr>
              <w:t>24%</w:t>
            </w:r>
          </w:p>
        </w:tc>
      </w:tr>
      <w:tr w:rsidR="00000000">
        <w:trPr>
          <w:divId w:val="1933853589"/>
          <w:jc w:val="center"/>
        </w:trPr>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5B0BC3">
            <w:pPr>
              <w:spacing w:after="100"/>
              <w:rPr>
                <w:rFonts w:eastAsia="Times New Roman"/>
              </w:rPr>
            </w:pPr>
            <w:r>
              <w:rPr>
                <w:rFonts w:eastAsia="Times New Roman"/>
                <w:color w:val="000000"/>
                <w:sz w:val="18"/>
                <w:szCs w:val="18"/>
              </w:rPr>
              <w:t>GIB</w:t>
            </w:r>
          </w:p>
        </w:tc>
        <w:tc>
          <w:tcPr>
            <w:tcW w:w="0" w:type="auto"/>
            <w:gridSpan w:val="2"/>
            <w:tcBorders>
              <w:top w:val="single" w:sz="2" w:space="0" w:color="000000"/>
            </w:tcBorders>
            <w:shd w:val="clear" w:color="auto" w:fill="CCEE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18"/>
                <w:szCs w:val="18"/>
              </w:rPr>
              <w:t>31 </w:t>
            </w:r>
          </w:p>
        </w:tc>
        <w:tc>
          <w:tcPr>
            <w:tcW w:w="0" w:type="auto"/>
            <w:tcBorders>
              <w:top w:val="single" w:sz="2" w:space="0" w:color="000000"/>
            </w:tcBorders>
            <w:shd w:val="clear" w:color="auto" w:fill="CCEE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single" w:sz="2" w:space="0" w:color="000000"/>
            </w:tcBorders>
            <w:shd w:val="clear" w:color="auto" w:fill="CCEEFF"/>
            <w:tcMar>
              <w:top w:w="30" w:type="dxa"/>
              <w:left w:w="20" w:type="dxa"/>
              <w:bottom w:w="30" w:type="dxa"/>
              <w:right w:w="20" w:type="dxa"/>
            </w:tcMar>
            <w:vAlign w:val="center"/>
            <w:hideMark/>
          </w:tcPr>
          <w:p w:rsidR="00000000" w:rsidRDefault="005B0BC3">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5B0BC3">
            <w:pPr>
              <w:spacing w:after="100"/>
              <w:jc w:val="right"/>
              <w:rPr>
                <w:rFonts w:eastAsia="Times New Roman"/>
              </w:rPr>
            </w:pPr>
            <w:r>
              <w:rPr>
                <w:rFonts w:eastAsia="Times New Roman"/>
                <w:color w:val="000000"/>
                <w:sz w:val="18"/>
                <w:szCs w:val="18"/>
              </w:rPr>
              <w:t>Non-performance risk</w:t>
            </w:r>
          </w:p>
          <w:p w:rsidR="00000000" w:rsidRDefault="005B0BC3">
            <w:pPr>
              <w:spacing w:after="100"/>
              <w:jc w:val="right"/>
              <w:rPr>
                <w:rFonts w:eastAsia="Times New Roman"/>
              </w:rPr>
            </w:pPr>
            <w:r>
              <w:rPr>
                <w:rFonts w:eastAsia="Times New Roman"/>
                <w:color w:val="000000"/>
                <w:sz w:val="18"/>
                <w:szCs w:val="18"/>
              </w:rPr>
              <w:t>Lapse rates</w:t>
            </w:r>
          </w:p>
          <w:p w:rsidR="00000000" w:rsidRDefault="005B0BC3">
            <w:pPr>
              <w:spacing w:after="100"/>
              <w:jc w:val="right"/>
              <w:rPr>
                <w:rFonts w:eastAsia="Times New Roman"/>
              </w:rPr>
            </w:pPr>
            <w:r>
              <w:rPr>
                <w:rFonts w:eastAsia="Times New Roman"/>
                <w:color w:val="000000"/>
                <w:sz w:val="18"/>
                <w:szCs w:val="18"/>
              </w:rPr>
              <w:t>Withdrawal rates</w:t>
            </w:r>
          </w:p>
          <w:p w:rsidR="00000000" w:rsidRDefault="005B0BC3">
            <w:pPr>
              <w:spacing w:after="100"/>
              <w:jc w:val="right"/>
              <w:rPr>
                <w:rFonts w:eastAsia="Times New Roman"/>
              </w:rPr>
            </w:pPr>
            <w:r>
              <w:rPr>
                <w:rFonts w:eastAsia="Times New Roman"/>
                <w:color w:val="000000"/>
                <w:sz w:val="18"/>
                <w:szCs w:val="18"/>
              </w:rPr>
              <w:t>Utilization rates</w:t>
            </w:r>
          </w:p>
          <w:p w:rsidR="00000000" w:rsidRDefault="005B0BC3">
            <w:pPr>
              <w:spacing w:after="100"/>
              <w:jc w:val="right"/>
              <w:rPr>
                <w:rFonts w:eastAsia="Times New Roman"/>
              </w:rPr>
            </w:pPr>
            <w:r>
              <w:rPr>
                <w:rFonts w:eastAsia="Times New Roman"/>
                <w:color w:val="000000"/>
                <w:sz w:val="18"/>
                <w:szCs w:val="18"/>
              </w:rPr>
              <w:t>Volatility rates - Equity</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5B0BC3">
            <w:pPr>
              <w:spacing w:after="100"/>
              <w:jc w:val="center"/>
              <w:rPr>
                <w:rFonts w:eastAsia="Times New Roman"/>
              </w:rPr>
            </w:pPr>
            <w:r>
              <w:rPr>
                <w:rFonts w:eastAsia="Times New Roman"/>
                <w:color w:val="000000"/>
                <w:sz w:val="18"/>
                <w:szCs w:val="18"/>
              </w:rPr>
              <w:t>96.0 bps</w:t>
            </w:r>
          </w:p>
          <w:p w:rsidR="00000000" w:rsidRDefault="005B0BC3">
            <w:pPr>
              <w:spacing w:after="100"/>
              <w:jc w:val="center"/>
              <w:rPr>
                <w:rFonts w:eastAsia="Times New Roman"/>
              </w:rPr>
            </w:pPr>
            <w:r>
              <w:rPr>
                <w:rFonts w:eastAsia="Times New Roman"/>
                <w:color w:val="000000"/>
                <w:sz w:val="18"/>
                <w:szCs w:val="18"/>
              </w:rPr>
              <w:t>0.8%-15.6%</w:t>
            </w:r>
          </w:p>
          <w:p w:rsidR="00000000" w:rsidRDefault="005B0BC3">
            <w:pPr>
              <w:spacing w:after="100"/>
              <w:jc w:val="center"/>
              <w:rPr>
                <w:rFonts w:eastAsia="Times New Roman"/>
              </w:rPr>
            </w:pPr>
            <w:r>
              <w:rPr>
                <w:rFonts w:eastAsia="Times New Roman"/>
                <w:color w:val="000000"/>
                <w:sz w:val="18"/>
                <w:szCs w:val="18"/>
              </w:rPr>
              <w:t>0%-2%</w:t>
            </w:r>
          </w:p>
          <w:p w:rsidR="00000000" w:rsidRDefault="005B0BC3">
            <w:pPr>
              <w:spacing w:after="100"/>
              <w:jc w:val="center"/>
              <w:rPr>
                <w:rFonts w:eastAsia="Times New Roman"/>
              </w:rPr>
            </w:pPr>
            <w:r>
              <w:rPr>
                <w:rFonts w:eastAsia="Times New Roman"/>
                <w:color w:val="000000"/>
                <w:sz w:val="18"/>
                <w:szCs w:val="18"/>
              </w:rPr>
              <w:t>0%-100%</w:t>
            </w:r>
          </w:p>
          <w:p w:rsidR="00000000" w:rsidRDefault="005B0BC3">
            <w:pPr>
              <w:spacing w:after="100"/>
              <w:jc w:val="center"/>
              <w:rPr>
                <w:rFonts w:eastAsia="Times New Roman"/>
              </w:rPr>
            </w:pPr>
            <w:r>
              <w:rPr>
                <w:rFonts w:eastAsia="Times New Roman"/>
                <w:color w:val="000000"/>
                <w:sz w:val="18"/>
                <w:szCs w:val="18"/>
              </w:rPr>
              <w:t>7%-32%</w:t>
            </w:r>
          </w:p>
        </w:tc>
        <w:tc>
          <w:tcPr>
            <w:tcW w:w="0" w:type="auto"/>
            <w:gridSpan w:val="3"/>
            <w:tcBorders>
              <w:top w:val="single" w:sz="2" w:space="0" w:color="000000"/>
            </w:tcBorders>
            <w:shd w:val="clear" w:color="auto" w:fill="CCEE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2" w:space="0" w:color="000000"/>
            </w:tcBorders>
            <w:shd w:val="clear" w:color="auto" w:fill="CCEEFF"/>
            <w:tcMar>
              <w:top w:w="30" w:type="dxa"/>
              <w:left w:w="20" w:type="dxa"/>
              <w:bottom w:w="30" w:type="dxa"/>
              <w:right w:w="20" w:type="dxa"/>
            </w:tcMar>
            <w:hideMark/>
          </w:tcPr>
          <w:p w:rsidR="00000000" w:rsidRDefault="005B0BC3">
            <w:pPr>
              <w:spacing w:after="100"/>
              <w:jc w:val="center"/>
              <w:rPr>
                <w:rFonts w:eastAsia="Times New Roman"/>
              </w:rPr>
            </w:pPr>
          </w:p>
          <w:p w:rsidR="00000000" w:rsidRDefault="005B0BC3">
            <w:pPr>
              <w:spacing w:after="100"/>
              <w:jc w:val="center"/>
              <w:rPr>
                <w:rFonts w:eastAsia="Times New Roman"/>
              </w:rPr>
            </w:pPr>
            <w:r>
              <w:rPr>
                <w:rFonts w:eastAsia="Times New Roman"/>
                <w:color w:val="000000"/>
                <w:sz w:val="18"/>
                <w:szCs w:val="18"/>
              </w:rPr>
              <w:t>1.69%</w:t>
            </w:r>
          </w:p>
          <w:p w:rsidR="00000000" w:rsidRDefault="005B0BC3">
            <w:pPr>
              <w:spacing w:after="100"/>
              <w:jc w:val="center"/>
              <w:rPr>
                <w:rFonts w:eastAsia="Times New Roman"/>
              </w:rPr>
            </w:pPr>
            <w:r>
              <w:rPr>
                <w:rFonts w:eastAsia="Times New Roman"/>
                <w:color w:val="000000"/>
                <w:sz w:val="18"/>
                <w:szCs w:val="18"/>
              </w:rPr>
              <w:t>0.91%</w:t>
            </w:r>
          </w:p>
          <w:p w:rsidR="00000000" w:rsidRDefault="005B0BC3">
            <w:pPr>
              <w:spacing w:after="100"/>
              <w:jc w:val="center"/>
              <w:rPr>
                <w:rFonts w:eastAsia="Times New Roman"/>
              </w:rPr>
            </w:pPr>
            <w:r>
              <w:rPr>
                <w:rFonts w:eastAsia="Times New Roman"/>
                <w:color w:val="000000"/>
                <w:sz w:val="18"/>
                <w:szCs w:val="18"/>
              </w:rPr>
              <w:t>5.82%</w:t>
            </w:r>
          </w:p>
          <w:p w:rsidR="00000000" w:rsidRDefault="005B0BC3">
            <w:pPr>
              <w:spacing w:after="100"/>
              <w:jc w:val="center"/>
              <w:rPr>
                <w:rFonts w:eastAsia="Times New Roman"/>
              </w:rPr>
            </w:pPr>
            <w:r>
              <w:rPr>
                <w:rFonts w:eastAsia="Times New Roman"/>
                <w:color w:val="000000"/>
                <w:sz w:val="18"/>
                <w:szCs w:val="18"/>
              </w:rPr>
              <w:t>24%</w:t>
            </w:r>
          </w:p>
        </w:tc>
      </w:tr>
      <w:tr w:rsidR="00000000">
        <w:trPr>
          <w:divId w:val="1933853589"/>
          <w:jc w:val="center"/>
        </w:trPr>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vAlign w:val="center"/>
            <w:hideMark/>
          </w:tcPr>
          <w:p w:rsidR="00000000" w:rsidRDefault="005B0BC3">
            <w:pPr>
              <w:spacing w:after="100"/>
              <w:rPr>
                <w:rFonts w:eastAsia="Times New Roman"/>
              </w:rPr>
            </w:pPr>
            <w:r>
              <w:rPr>
                <w:rFonts w:eastAsia="Times New Roman"/>
                <w:color w:val="000000"/>
                <w:sz w:val="18"/>
                <w:szCs w:val="18"/>
              </w:rPr>
              <w:t>GMAB</w:t>
            </w:r>
          </w:p>
        </w:tc>
        <w:tc>
          <w:tcPr>
            <w:tcW w:w="0" w:type="auto"/>
            <w:gridSpan w:val="2"/>
            <w:tcBorders>
              <w:top w:val="single" w:sz="2" w:space="0" w:color="000000"/>
              <w:bottom w:val="single" w:sz="2" w:space="0" w:color="000000"/>
            </w:tcBorders>
            <w:shd w:val="clear" w:color="auto" w:fill="FFFFFF"/>
            <w:tcMar>
              <w:top w:w="30" w:type="dxa"/>
              <w:left w:w="20" w:type="dxa"/>
              <w:bottom w:w="30" w:type="dxa"/>
              <w:right w:w="0" w:type="dxa"/>
            </w:tcMar>
            <w:vAlign w:val="center"/>
            <w:hideMark/>
          </w:tcPr>
          <w:p w:rsidR="00000000" w:rsidRDefault="005B0BC3">
            <w:pPr>
              <w:spacing w:after="100"/>
              <w:jc w:val="right"/>
              <w:rPr>
                <w:rFonts w:eastAsia="Times New Roman"/>
              </w:rPr>
            </w:pPr>
            <w:r>
              <w:rPr>
                <w:rFonts w:eastAsia="Times New Roman"/>
                <w:color w:val="000000"/>
                <w:sz w:val="18"/>
                <w:szCs w:val="18"/>
              </w:rPr>
              <w:t>2 </w:t>
            </w:r>
          </w:p>
        </w:tc>
        <w:tc>
          <w:tcPr>
            <w:tcW w:w="0" w:type="auto"/>
            <w:tcBorders>
              <w:top w:val="single" w:sz="2" w:space="0" w:color="000000"/>
              <w:bottom w:val="single" w:sz="2" w:space="0" w:color="000000"/>
            </w:tcBorders>
            <w:shd w:val="clear" w:color="auto" w:fill="FFFFFF"/>
            <w:tcMar>
              <w:top w:w="30" w:type="dxa"/>
              <w:left w:w="0" w:type="dxa"/>
              <w:bottom w:w="30" w:type="dxa"/>
              <w:right w:w="20" w:type="dxa"/>
            </w:tcMar>
            <w:vAlign w:val="center"/>
            <w:hideMark/>
          </w:tcPr>
          <w:p w:rsidR="00000000" w:rsidRDefault="005B0BC3">
            <w:pPr>
              <w:spacing w:after="100"/>
              <w:jc w:val="right"/>
              <w:rPr>
                <w:rFonts w:eastAsia="Times New Roman"/>
              </w:rPr>
            </w:pP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vAlign w:val="center"/>
            <w:hideMark/>
          </w:tcPr>
          <w:p w:rsidR="00000000" w:rsidRDefault="005B0BC3">
            <w:pPr>
              <w:spacing w:after="100"/>
              <w:rPr>
                <w:rFonts w:eastAsia="Times New Roman"/>
              </w:rPr>
            </w:pPr>
            <w:r>
              <w:rPr>
                <w:rFonts w:eastAsia="Times New Roman"/>
                <w:color w:val="000000"/>
                <w:sz w:val="18"/>
                <w:szCs w:val="18"/>
              </w:rPr>
              <w:t>Discounted cash flow</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hideMark/>
          </w:tcPr>
          <w:p w:rsidR="00000000" w:rsidRDefault="005B0BC3">
            <w:pPr>
              <w:spacing w:after="100"/>
              <w:jc w:val="right"/>
              <w:rPr>
                <w:rFonts w:eastAsia="Times New Roman"/>
              </w:rPr>
            </w:pPr>
            <w:r>
              <w:rPr>
                <w:rFonts w:eastAsia="Times New Roman"/>
                <w:color w:val="000000"/>
                <w:sz w:val="18"/>
                <w:szCs w:val="18"/>
              </w:rPr>
              <w:t>Non-performance risk</w:t>
            </w:r>
          </w:p>
          <w:p w:rsidR="00000000" w:rsidRDefault="005B0BC3">
            <w:pPr>
              <w:spacing w:after="100"/>
              <w:jc w:val="right"/>
              <w:rPr>
                <w:rFonts w:eastAsia="Times New Roman"/>
              </w:rPr>
            </w:pPr>
            <w:r>
              <w:rPr>
                <w:rFonts w:eastAsia="Times New Roman"/>
                <w:color w:val="000000"/>
                <w:sz w:val="18"/>
                <w:szCs w:val="18"/>
              </w:rPr>
              <w:t>Lapse rates</w:t>
            </w:r>
          </w:p>
          <w:p w:rsidR="00000000" w:rsidRDefault="005B0BC3">
            <w:pPr>
              <w:spacing w:after="100"/>
              <w:jc w:val="right"/>
              <w:rPr>
                <w:rFonts w:eastAsia="Times New Roman"/>
              </w:rPr>
            </w:pPr>
            <w:r>
              <w:rPr>
                <w:rFonts w:eastAsia="Times New Roman"/>
                <w:color w:val="000000"/>
                <w:sz w:val="18"/>
                <w:szCs w:val="18"/>
              </w:rPr>
              <w:t>Volatility rates - Equity</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hideMark/>
          </w:tcPr>
          <w:p w:rsidR="00000000" w:rsidRDefault="005B0BC3">
            <w:pPr>
              <w:spacing w:after="100"/>
              <w:jc w:val="center"/>
              <w:rPr>
                <w:rFonts w:eastAsia="Times New Roman"/>
              </w:rPr>
            </w:pPr>
            <w:r>
              <w:rPr>
                <w:rFonts w:eastAsia="Times New Roman"/>
                <w:color w:val="000000"/>
                <w:sz w:val="18"/>
                <w:szCs w:val="18"/>
              </w:rPr>
              <w:t>96.0 bps</w:t>
            </w:r>
          </w:p>
          <w:p w:rsidR="00000000" w:rsidRDefault="005B0BC3">
            <w:pPr>
              <w:spacing w:after="100"/>
              <w:jc w:val="center"/>
              <w:rPr>
                <w:rFonts w:eastAsia="Times New Roman"/>
              </w:rPr>
            </w:pPr>
            <w:r>
              <w:rPr>
                <w:rFonts w:eastAsia="Times New Roman"/>
                <w:color w:val="000000"/>
                <w:sz w:val="18"/>
                <w:szCs w:val="18"/>
              </w:rPr>
              <w:t>0.8%-16%</w:t>
            </w:r>
          </w:p>
          <w:p w:rsidR="00000000" w:rsidRDefault="005B0BC3">
            <w:pPr>
              <w:spacing w:after="100"/>
              <w:jc w:val="center"/>
              <w:rPr>
                <w:rFonts w:eastAsia="Times New Roman"/>
              </w:rPr>
            </w:pPr>
            <w:r>
              <w:rPr>
                <w:rFonts w:eastAsia="Times New Roman"/>
                <w:color w:val="000000"/>
                <w:sz w:val="18"/>
                <w:szCs w:val="18"/>
              </w:rPr>
              <w:t>7%-32%</w:t>
            </w:r>
          </w:p>
        </w:tc>
        <w:tc>
          <w:tcPr>
            <w:tcW w:w="0" w:type="auto"/>
            <w:gridSpan w:val="3"/>
            <w:tcBorders>
              <w:top w:val="single" w:sz="2" w:space="0" w:color="000000"/>
              <w:bottom w:val="single" w:sz="2" w:space="0" w:color="000000"/>
            </w:tcBorders>
            <w:shd w:val="clear" w:color="auto" w:fill="FFFF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2" w:space="0" w:color="000000"/>
              <w:bottom w:val="single" w:sz="2" w:space="0" w:color="000000"/>
            </w:tcBorders>
            <w:shd w:val="clear" w:color="auto" w:fill="FFFFFF"/>
            <w:tcMar>
              <w:top w:w="30" w:type="dxa"/>
              <w:left w:w="20" w:type="dxa"/>
              <w:bottom w:w="30" w:type="dxa"/>
              <w:right w:w="20" w:type="dxa"/>
            </w:tcMar>
            <w:hideMark/>
          </w:tcPr>
          <w:p w:rsidR="00000000" w:rsidRDefault="005B0BC3">
            <w:pPr>
              <w:spacing w:after="100"/>
              <w:jc w:val="center"/>
              <w:rPr>
                <w:rFonts w:eastAsia="Times New Roman"/>
              </w:rPr>
            </w:pPr>
          </w:p>
          <w:p w:rsidR="00000000" w:rsidRDefault="005B0BC3">
            <w:pPr>
              <w:spacing w:after="100"/>
              <w:jc w:val="center"/>
              <w:rPr>
                <w:rFonts w:eastAsia="Times New Roman"/>
              </w:rPr>
            </w:pPr>
            <w:r>
              <w:rPr>
                <w:rFonts w:eastAsia="Times New Roman"/>
                <w:color w:val="000000"/>
                <w:sz w:val="18"/>
                <w:szCs w:val="18"/>
              </w:rPr>
              <w:t>1.69%</w:t>
            </w:r>
          </w:p>
          <w:p w:rsidR="00000000" w:rsidRDefault="005B0BC3">
            <w:pPr>
              <w:spacing w:after="100"/>
              <w:jc w:val="center"/>
              <w:rPr>
                <w:rFonts w:eastAsia="Times New Roman"/>
              </w:rPr>
            </w:pPr>
            <w:r>
              <w:rPr>
                <w:rFonts w:eastAsia="Times New Roman"/>
                <w:color w:val="000000"/>
                <w:sz w:val="18"/>
                <w:szCs w:val="18"/>
              </w:rPr>
              <w:t>24%</w:t>
            </w:r>
          </w:p>
        </w:tc>
      </w:tr>
    </w:tbl>
    <w:p w:rsidR="00000000" w:rsidRDefault="005B0BC3">
      <w:pPr>
        <w:jc w:val="both"/>
        <w:rPr>
          <w:rFonts w:eastAsia="Times New Roman"/>
        </w:rPr>
      </w:pPr>
      <w:r>
        <w:rPr>
          <w:rFonts w:eastAsia="Times New Roman"/>
          <w:color w:val="000000"/>
          <w:sz w:val="20"/>
          <w:szCs w:val="20"/>
        </w:rPr>
        <w:t>_____________</w:t>
      </w:r>
      <w:r>
        <w:rPr>
          <w:rFonts w:eastAsia="Times New Roman"/>
          <w:color w:val="000000"/>
          <w:sz w:val="20"/>
          <w:szCs w:val="20"/>
        </w:rPr>
        <w:t>_</w:t>
      </w:r>
    </w:p>
    <w:p w:rsidR="00000000" w:rsidRDefault="005B0BC3">
      <w:pPr>
        <w:ind w:hanging="360"/>
        <w:divId w:val="1332099314"/>
        <w:rPr>
          <w:rFonts w:eastAsia="Times New Roman"/>
        </w:rPr>
      </w:pPr>
      <w:r>
        <w:rPr>
          <w:rFonts w:eastAsia="Times New Roman"/>
          <w:color w:val="000000"/>
          <w:sz w:val="18"/>
          <w:szCs w:val="18"/>
        </w:rPr>
        <w:t xml:space="preserve">(1)Mortality rates vary by age and demographic characteristic such as gender. Mortality rate assumptions are based on a combination of company and industry experience. A mortality improvement assumption is also applied. For any given contract, mortality </w:t>
      </w:r>
      <w:r>
        <w:rPr>
          <w:rFonts w:eastAsia="Times New Roman"/>
          <w:color w:val="000000"/>
          <w:sz w:val="18"/>
          <w:szCs w:val="18"/>
        </w:rPr>
        <w:t>rates vary throughout the period over which cash flows are projected for purposes of valuating the embedded derivatives.</w:t>
      </w:r>
    </w:p>
    <w:p w:rsidR="00000000" w:rsidRDefault="005B0BC3">
      <w:pPr>
        <w:ind w:hanging="360"/>
        <w:divId w:val="1077480713"/>
        <w:rPr>
          <w:rFonts w:eastAsia="Times New Roman"/>
        </w:rPr>
      </w:pPr>
      <w:r>
        <w:rPr>
          <w:rFonts w:eastAsia="Times New Roman"/>
          <w:color w:val="000000"/>
          <w:sz w:val="18"/>
          <w:szCs w:val="18"/>
        </w:rPr>
        <w:t>(2)</w:t>
      </w:r>
      <w:r>
        <w:rPr>
          <w:rFonts w:eastAsia="Times New Roman"/>
          <w:color w:val="000000"/>
          <w:sz w:val="18"/>
          <w:szCs w:val="18"/>
        </w:rPr>
        <w:t>For lapses, withdrawals, and utilizations the rates were weighted by counts; for mortality weighted average rates are shown for all ages combined; and for withdrawals the weighted averages were based on an estimated split of partial withdrawal and dollar-f</w:t>
      </w:r>
      <w:r>
        <w:rPr>
          <w:rFonts w:eastAsia="Times New Roman"/>
          <w:color w:val="000000"/>
          <w:sz w:val="18"/>
          <w:szCs w:val="18"/>
        </w:rPr>
        <w:t>or-dollar withdrawals.</w:t>
      </w:r>
    </w:p>
    <w:p w:rsidR="00000000" w:rsidRDefault="005B0BC3">
      <w:pPr>
        <w:jc w:val="center"/>
        <w:divId w:val="430125077"/>
        <w:rPr>
          <w:rFonts w:eastAsia="Times New Roman"/>
        </w:rPr>
      </w:pPr>
      <w:r>
        <w:rPr>
          <w:rFonts w:eastAsia="Times New Roman"/>
          <w:color w:val="000000"/>
          <w:sz w:val="20"/>
          <w:szCs w:val="20"/>
        </w:rPr>
        <w:t>190</w:t>
      </w:r>
    </w:p>
    <w:p w:rsidR="00000000" w:rsidRDefault="005B0BC3">
      <w:pPr>
        <w:rPr>
          <w:rFonts w:eastAsia="Times New Roman"/>
        </w:rPr>
      </w:pPr>
      <w:r>
        <w:rPr>
          <w:rFonts w:eastAsia="Times New Roman"/>
        </w:rPr>
        <w:pict>
          <v:rect id="_x0000_i1228" style="width:0;height:1.5pt" o:hralign="center" o:hrstd="t" o:hr="t" fillcolor="#a0a0a0" stroked="f"/>
        </w:pict>
      </w:r>
    </w:p>
    <w:p w:rsidR="00000000" w:rsidRDefault="005B0BC3">
      <w:pPr>
        <w:jc w:val="center"/>
        <w:divId w:val="1025181335"/>
        <w:rPr>
          <w:rFonts w:eastAsia="Times New Roman"/>
        </w:rPr>
      </w:pPr>
      <w:r>
        <w:rPr>
          <w:rFonts w:eastAsia="Times New Roman"/>
          <w:b/>
          <w:bCs/>
          <w:color w:val="000000"/>
          <w:sz w:val="20"/>
          <w:szCs w:val="20"/>
        </w:rPr>
        <w:t>EQUITABLE HOLDINGS, INC.</w:t>
      </w:r>
    </w:p>
    <w:p w:rsidR="00000000" w:rsidRDefault="005B0BC3">
      <w:pPr>
        <w:jc w:val="center"/>
        <w:divId w:val="1025181335"/>
        <w:rPr>
          <w:rFonts w:eastAsia="Times New Roman"/>
        </w:rPr>
      </w:pPr>
      <w:r>
        <w:rPr>
          <w:rFonts w:eastAsia="Times New Roman"/>
          <w:b/>
          <w:bCs/>
          <w:color w:val="000000"/>
          <w:sz w:val="20"/>
          <w:szCs w:val="20"/>
        </w:rPr>
        <w:t>NOTES TO CONSOLIDATED FINANCIAL STATEMENTS, continued</w:t>
      </w:r>
    </w:p>
    <w:p w:rsidR="00000000" w:rsidRDefault="005B0BC3">
      <w:pPr>
        <w:jc w:val="both"/>
        <w:divId w:val="1365013717"/>
        <w:rPr>
          <w:rFonts w:eastAsia="Times New Roman"/>
        </w:rPr>
      </w:pPr>
      <w:r>
        <w:rPr>
          <w:rFonts w:eastAsia="Times New Roman"/>
          <w:b/>
          <w:bCs/>
          <w:i/>
          <w:iCs/>
          <w:color w:val="000000"/>
          <w:sz w:val="20"/>
          <w:szCs w:val="20"/>
        </w:rPr>
        <w:t>Level 3 Financial Instruments for which Quantitative Inputs are Not Available</w:t>
      </w:r>
    </w:p>
    <w:p w:rsidR="00000000" w:rsidRDefault="005B0BC3">
      <w:pPr>
        <w:jc w:val="both"/>
        <w:divId w:val="986323562"/>
        <w:rPr>
          <w:rFonts w:eastAsia="Times New Roman"/>
        </w:rPr>
      </w:pPr>
      <w:r>
        <w:rPr>
          <w:rFonts w:eastAsia="Times New Roman"/>
          <w:color w:val="000000"/>
          <w:sz w:val="20"/>
          <w:szCs w:val="20"/>
          <w:u w:val="single"/>
        </w:rPr>
        <w:t>Certain Privately Placed Debt Securities with Limited Trading Activity</w:t>
      </w:r>
    </w:p>
    <w:p w:rsidR="00000000" w:rsidRDefault="005B0BC3">
      <w:pPr>
        <w:divId w:val="1450775826"/>
        <w:rPr>
          <w:rFonts w:eastAsia="Times New Roman"/>
        </w:rPr>
      </w:pPr>
      <w:r>
        <w:rPr>
          <w:rFonts w:eastAsia="Times New Roman"/>
          <w:color w:val="000000"/>
          <w:sz w:val="20"/>
          <w:szCs w:val="20"/>
        </w:rPr>
        <w:t>Excluded from the tables above as of December 31, 2021 and December 31, 2020, respectively, are approximate</w:t>
      </w:r>
      <w:r>
        <w:rPr>
          <w:rFonts w:eastAsia="Times New Roman"/>
          <w:color w:val="000000"/>
          <w:sz w:val="20"/>
          <w:szCs w:val="20"/>
        </w:rPr>
        <w:t xml:space="preserve">ly $635 million and $743 million of Level 3 fair value measurements of investments for which the underlying quantitative inputs are not developed by the Company and are not readily available. These investments primarily consist of certain privately placed </w:t>
      </w:r>
      <w:r>
        <w:rPr>
          <w:rFonts w:eastAsia="Times New Roman"/>
          <w:color w:val="000000"/>
          <w:sz w:val="20"/>
          <w:szCs w:val="20"/>
        </w:rPr>
        <w:t xml:space="preserve">debt securities with limited trading activity, including residential mortgage- and asset-backed instruments, and their fair values generally reflect unadjusted prices obtained from independent valuation service providers and indicative, non-binding quotes </w:t>
      </w:r>
      <w:r>
        <w:rPr>
          <w:rFonts w:eastAsia="Times New Roman"/>
          <w:color w:val="000000"/>
          <w:sz w:val="20"/>
          <w:szCs w:val="20"/>
        </w:rPr>
        <w:t>obtained from third-party broker-dealers recognized as market participants. Significant increases or decreases in the fair value amounts received from these pricing sources may result in the Company’s reporting significantly higher or lower fair value meas</w:t>
      </w:r>
      <w:r>
        <w:rPr>
          <w:rFonts w:eastAsia="Times New Roman"/>
          <w:color w:val="000000"/>
          <w:sz w:val="20"/>
          <w:szCs w:val="20"/>
        </w:rPr>
        <w:t>urements for these Level 3 investments.</w:t>
      </w:r>
    </w:p>
    <w:p w:rsidR="00000000" w:rsidRDefault="005B0BC3">
      <w:pPr>
        <w:ind w:hanging="360"/>
        <w:jc w:val="both"/>
        <w:divId w:val="1795634163"/>
        <w:rPr>
          <w:rFonts w:eastAsia="Times New Roman"/>
        </w:rPr>
      </w:pPr>
      <w:r>
        <w:rPr>
          <w:rFonts w:eastAsia="Times New Roman"/>
          <w:color w:val="000000"/>
          <w:sz w:val="20"/>
          <w:szCs w:val="20"/>
        </w:rPr>
        <w:t>•The fair value of private placement securities is determined by application of a matrix pricing model or a market comparable company value technique. The significant unobservable input to the matrix pricing model va</w:t>
      </w:r>
      <w:r>
        <w:rPr>
          <w:rFonts w:eastAsia="Times New Roman"/>
          <w:color w:val="000000"/>
          <w:sz w:val="20"/>
          <w:szCs w:val="20"/>
        </w:rPr>
        <w:t>luation technique is the spread over the industry-specific benchmark yield curve. Generally, an increase or decrease in spreads would lead to directionally inverse movement in the fair value measurements of these securities. The significant unobservable in</w:t>
      </w:r>
      <w:r>
        <w:rPr>
          <w:rFonts w:eastAsia="Times New Roman"/>
          <w:color w:val="000000"/>
          <w:sz w:val="20"/>
          <w:szCs w:val="20"/>
        </w:rPr>
        <w:t>put to the market comparable company valuation technique is the discount rate. Generally, a significant increase (decrease) in the discount rate would result in significantly lower (higher) fair value measurements of these securities.</w:t>
      </w:r>
    </w:p>
    <w:p w:rsidR="00000000" w:rsidRDefault="005B0BC3">
      <w:pPr>
        <w:ind w:hanging="360"/>
        <w:jc w:val="both"/>
        <w:divId w:val="2067877533"/>
        <w:rPr>
          <w:rFonts w:eastAsia="Times New Roman"/>
        </w:rPr>
      </w:pPr>
      <w:r>
        <w:rPr>
          <w:rFonts w:eastAsia="Times New Roman"/>
          <w:color w:val="000000"/>
          <w:sz w:val="20"/>
          <w:szCs w:val="20"/>
        </w:rPr>
        <w:t>•Residential mortgage</w:t>
      </w:r>
      <w:r>
        <w:rPr>
          <w:rFonts w:eastAsia="Times New Roman"/>
          <w:color w:val="000000"/>
          <w:sz w:val="20"/>
          <w:szCs w:val="20"/>
        </w:rPr>
        <w:t xml:space="preserve">-backed securities classified as Level 3 primarily consist of non-agency paper with low trading activity. Included in the tables above as of December 31, 2021 and December 31, 2020, there were no Level 3 securities that were determined by application of a </w:t>
      </w:r>
      <w:r>
        <w:rPr>
          <w:rFonts w:eastAsia="Times New Roman"/>
          <w:color w:val="000000"/>
          <w:sz w:val="20"/>
          <w:szCs w:val="20"/>
        </w:rPr>
        <w:t>matrix pricing model and for which the spread over the U.S. Treasury curve is the most significant unobservable input to the pricing result. Generally, a change in spreads would lead to directionally inverse movement in the fair value measurements of these</w:t>
      </w:r>
      <w:r>
        <w:rPr>
          <w:rFonts w:eastAsia="Times New Roman"/>
          <w:color w:val="000000"/>
          <w:sz w:val="20"/>
          <w:szCs w:val="20"/>
        </w:rPr>
        <w:t xml:space="preserve"> securities.</w:t>
      </w:r>
    </w:p>
    <w:p w:rsidR="00000000" w:rsidRDefault="005B0BC3">
      <w:pPr>
        <w:ind w:hanging="360"/>
        <w:divId w:val="25756196"/>
        <w:rPr>
          <w:rFonts w:eastAsia="Times New Roman"/>
        </w:rPr>
      </w:pPr>
      <w:r>
        <w:rPr>
          <w:rFonts w:eastAsia="Times New Roman"/>
          <w:color w:val="000000"/>
          <w:sz w:val="20"/>
          <w:szCs w:val="20"/>
        </w:rPr>
        <w:t xml:space="preserve">•Asset-backed securities classified as Level 3 primarily consist of non-agency mortgage loan trust certificates, including subprime and Alt-A paper, credit risk transfer securities, and equipment financings. Included in the tables above as of </w:t>
      </w:r>
      <w:r>
        <w:rPr>
          <w:rFonts w:eastAsia="Times New Roman"/>
          <w:color w:val="000000"/>
          <w:sz w:val="20"/>
          <w:szCs w:val="20"/>
        </w:rPr>
        <w:t>December 31, 2021 and December 31, 2020, there were no securities that were determined by the application of matrix-pricing for which the spread over the U.S. Treasury curve is the most significant unobservable input to the pricing result. Significant incr</w:t>
      </w:r>
      <w:r>
        <w:rPr>
          <w:rFonts w:eastAsia="Times New Roman"/>
          <w:color w:val="000000"/>
          <w:sz w:val="20"/>
          <w:szCs w:val="20"/>
        </w:rPr>
        <w:t>eases (decreases) in spreads would have resulted in significantly lower (higher) fair value measurements.</w:t>
      </w:r>
    </w:p>
    <w:p w:rsidR="00000000" w:rsidRDefault="005B0BC3">
      <w:pPr>
        <w:jc w:val="both"/>
        <w:divId w:val="541333571"/>
        <w:rPr>
          <w:rFonts w:eastAsia="Times New Roman"/>
        </w:rPr>
      </w:pPr>
      <w:r>
        <w:rPr>
          <w:rFonts w:eastAsia="Times New Roman"/>
          <w:color w:val="000000"/>
          <w:sz w:val="20"/>
          <w:szCs w:val="20"/>
          <w:u w:val="single"/>
        </w:rPr>
        <w:t>Other Equity Investments</w:t>
      </w:r>
    </w:p>
    <w:p w:rsidR="00000000" w:rsidRDefault="005B0BC3">
      <w:pPr>
        <w:divId w:val="1065101513"/>
        <w:rPr>
          <w:rFonts w:eastAsia="Times New Roman"/>
        </w:rPr>
      </w:pPr>
      <w:r>
        <w:rPr>
          <w:rFonts w:eastAsia="Times New Roman"/>
          <w:color w:val="000000"/>
          <w:sz w:val="20"/>
          <w:szCs w:val="20"/>
        </w:rPr>
        <w:t>Included in other equity investments classified as Level 3 are venture capital securities in the Technology, Media and Teleco</w:t>
      </w:r>
      <w:r>
        <w:rPr>
          <w:rFonts w:eastAsia="Times New Roman"/>
          <w:color w:val="000000"/>
          <w:sz w:val="20"/>
          <w:szCs w:val="20"/>
        </w:rPr>
        <w:t>mmunications industries. The fair value measurements of these securities include significant unobservable inputs including an enterprise value to revenue multiples and a discount rate to account for liquidity and various risk factors. Significant increases</w:t>
      </w:r>
      <w:r>
        <w:rPr>
          <w:rFonts w:eastAsia="Times New Roman"/>
          <w:color w:val="000000"/>
          <w:sz w:val="20"/>
          <w:szCs w:val="20"/>
        </w:rPr>
        <w:t xml:space="preserve"> (decreases) in the enterprise value to revenue multiple inputs in isolation would have resulted in a significantly higher (lower) fair value measurement. Significant increases (decreases) in the discount rate would have resulted in a significantly lower (</w:t>
      </w:r>
      <w:r>
        <w:rPr>
          <w:rFonts w:eastAsia="Times New Roman"/>
          <w:color w:val="000000"/>
          <w:sz w:val="20"/>
          <w:szCs w:val="20"/>
        </w:rPr>
        <w:t>higher) fair value measurement.</w:t>
      </w:r>
    </w:p>
    <w:p w:rsidR="00000000" w:rsidRDefault="005B0BC3">
      <w:pPr>
        <w:jc w:val="both"/>
        <w:divId w:val="976376739"/>
        <w:rPr>
          <w:rFonts w:eastAsia="Times New Roman"/>
        </w:rPr>
      </w:pPr>
      <w:r>
        <w:rPr>
          <w:rFonts w:eastAsia="Times New Roman"/>
          <w:color w:val="000000"/>
          <w:sz w:val="20"/>
          <w:szCs w:val="20"/>
          <w:u w:val="single"/>
        </w:rPr>
        <w:t xml:space="preserve">GMIB Reinsurance Contract Asset, Amounts Due from Reinsurers and GMxB Derivative Features </w:t>
      </w:r>
    </w:p>
    <w:p w:rsidR="00000000" w:rsidRDefault="005B0BC3">
      <w:pPr>
        <w:divId w:val="809591869"/>
        <w:rPr>
          <w:rFonts w:eastAsia="Times New Roman"/>
        </w:rPr>
      </w:pPr>
      <w:r>
        <w:rPr>
          <w:rFonts w:eastAsia="Times New Roman"/>
          <w:color w:val="000000"/>
          <w:sz w:val="20"/>
          <w:szCs w:val="20"/>
        </w:rPr>
        <w:t>Significant unobservable inputs with respect to the fair value measurement of the Level 3 GMIB reinsurance contract asset and the Lev</w:t>
      </w:r>
      <w:r>
        <w:rPr>
          <w:rFonts w:eastAsia="Times New Roman"/>
          <w:color w:val="000000"/>
          <w:sz w:val="20"/>
          <w:szCs w:val="20"/>
        </w:rPr>
        <w:t>el 3 liabilities identified in the table above are developed using Company data.</w:t>
      </w:r>
    </w:p>
    <w:p w:rsidR="00000000" w:rsidRDefault="005B0BC3">
      <w:pPr>
        <w:divId w:val="367678556"/>
        <w:rPr>
          <w:rFonts w:eastAsia="Times New Roman"/>
        </w:rPr>
      </w:pPr>
      <w:r>
        <w:rPr>
          <w:rFonts w:eastAsia="Times New Roman"/>
          <w:color w:val="000000"/>
          <w:sz w:val="20"/>
          <w:szCs w:val="20"/>
        </w:rPr>
        <w:t>The significant unobservable inputs used in the fair value measurement of the Company’s GMIB reinsurance contract asset are lapse rates, withdrawal rates, and GMIB utilization</w:t>
      </w:r>
      <w:r>
        <w:rPr>
          <w:rFonts w:eastAsia="Times New Roman"/>
          <w:color w:val="000000"/>
          <w:sz w:val="20"/>
          <w:szCs w:val="20"/>
        </w:rPr>
        <w:t xml:space="preserve"> rates. Significant increases in GMIB utilization rates or decreases in lapse or withdrawal rates in isolation would tend to increase the GMIB reinsurance contract asset.</w:t>
      </w:r>
    </w:p>
    <w:p w:rsidR="00000000" w:rsidRDefault="005B0BC3">
      <w:pPr>
        <w:divId w:val="1766026887"/>
        <w:rPr>
          <w:rFonts w:eastAsia="Times New Roman"/>
        </w:rPr>
      </w:pPr>
      <w:r>
        <w:rPr>
          <w:rFonts w:eastAsia="Times New Roman"/>
          <w:color w:val="000000"/>
          <w:sz w:val="20"/>
          <w:szCs w:val="20"/>
        </w:rPr>
        <w:t>Fair value measurement of the GMIB reinsurance contract asset, GMIB NLG Reinsurance a</w:t>
      </w:r>
      <w:r>
        <w:rPr>
          <w:rFonts w:eastAsia="Times New Roman"/>
          <w:color w:val="000000"/>
          <w:sz w:val="20"/>
          <w:szCs w:val="20"/>
        </w:rPr>
        <w:t>nd liabilities includes dynamic lapse and GMIB utilization assumptions whereby projected contractual lapses and GMIB utilization reflect the projected net amount of risks of the contract. As the net amount of risk of a contract increases, the assumed lapse</w:t>
      </w:r>
      <w:r>
        <w:rPr>
          <w:rFonts w:eastAsia="Times New Roman"/>
          <w:color w:val="000000"/>
          <w:sz w:val="20"/>
          <w:szCs w:val="20"/>
        </w:rPr>
        <w:t xml:space="preserve"> rate decreases and the GMIB utilization increases. Increases in volatility would increase the asset and liabilities.</w:t>
      </w:r>
    </w:p>
    <w:p w:rsidR="00000000" w:rsidRDefault="005B0BC3">
      <w:pPr>
        <w:divId w:val="1412387590"/>
        <w:rPr>
          <w:rFonts w:eastAsia="Times New Roman"/>
        </w:rPr>
      </w:pPr>
      <w:r>
        <w:rPr>
          <w:rFonts w:eastAsia="Times New Roman"/>
          <w:color w:val="000000"/>
          <w:sz w:val="20"/>
          <w:szCs w:val="20"/>
        </w:rPr>
        <w:t>The significant unobservable inputs used in the fair value measurement of the Company’s GMIBNLG liability and GMIB NLG Reinsurance are lap</w:t>
      </w:r>
      <w:r>
        <w:rPr>
          <w:rFonts w:eastAsia="Times New Roman"/>
          <w:color w:val="000000"/>
          <w:sz w:val="20"/>
          <w:szCs w:val="20"/>
        </w:rPr>
        <w:t>se rates, withdrawal rates, GMIB utilization rates, adjustment for non-performance risk and NLG forfeiture rates. NLG forfeiture rates are caused by excess withdrawals above the annual GMIB accrual rate that cause the NLG to expire. Significant decreases i</w:t>
      </w:r>
      <w:r>
        <w:rPr>
          <w:rFonts w:eastAsia="Times New Roman"/>
          <w:color w:val="000000"/>
          <w:sz w:val="20"/>
          <w:szCs w:val="20"/>
        </w:rPr>
        <w:t>n lapse rates, NLG forfeiture rates, adjustment for non-</w:t>
      </w:r>
    </w:p>
    <w:p w:rsidR="00000000" w:rsidRDefault="005B0BC3">
      <w:pPr>
        <w:jc w:val="center"/>
        <w:divId w:val="586160513"/>
        <w:rPr>
          <w:rFonts w:eastAsia="Times New Roman"/>
        </w:rPr>
      </w:pPr>
      <w:r>
        <w:rPr>
          <w:rFonts w:eastAsia="Times New Roman"/>
          <w:color w:val="000000"/>
          <w:sz w:val="20"/>
          <w:szCs w:val="20"/>
        </w:rPr>
        <w:t>191</w:t>
      </w:r>
    </w:p>
    <w:p w:rsidR="00000000" w:rsidRDefault="005B0BC3">
      <w:pPr>
        <w:rPr>
          <w:rFonts w:eastAsia="Times New Roman"/>
        </w:rPr>
      </w:pPr>
      <w:r>
        <w:rPr>
          <w:rFonts w:eastAsia="Times New Roman"/>
        </w:rPr>
        <w:pict>
          <v:rect id="_x0000_i1229" style="width:0;height:1.5pt" o:hralign="center" o:hrstd="t" o:hr="t" fillcolor="#a0a0a0" stroked="f"/>
        </w:pict>
      </w:r>
    </w:p>
    <w:p w:rsidR="00000000" w:rsidRDefault="005B0BC3">
      <w:pPr>
        <w:jc w:val="center"/>
        <w:divId w:val="1542209174"/>
        <w:rPr>
          <w:rFonts w:eastAsia="Times New Roman"/>
        </w:rPr>
      </w:pPr>
      <w:r>
        <w:rPr>
          <w:rFonts w:eastAsia="Times New Roman"/>
          <w:b/>
          <w:bCs/>
          <w:color w:val="000000"/>
          <w:sz w:val="20"/>
          <w:szCs w:val="20"/>
        </w:rPr>
        <w:t>EQUITABLE HOLDINGS, INC.</w:t>
      </w:r>
    </w:p>
    <w:p w:rsidR="00000000" w:rsidRDefault="005B0BC3">
      <w:pPr>
        <w:jc w:val="center"/>
        <w:divId w:val="1542209174"/>
        <w:rPr>
          <w:rFonts w:eastAsia="Times New Roman"/>
        </w:rPr>
      </w:pPr>
      <w:r>
        <w:rPr>
          <w:rFonts w:eastAsia="Times New Roman"/>
          <w:b/>
          <w:bCs/>
          <w:color w:val="000000"/>
          <w:sz w:val="20"/>
          <w:szCs w:val="20"/>
        </w:rPr>
        <w:t>NOTES TO CONSOLIDATED FINANCIAL STATEMENTS, continued</w:t>
      </w:r>
    </w:p>
    <w:p w:rsidR="00000000" w:rsidRDefault="005B0BC3">
      <w:pPr>
        <w:divId w:val="293944847"/>
        <w:rPr>
          <w:rFonts w:eastAsia="Times New Roman"/>
        </w:rPr>
      </w:pPr>
      <w:r>
        <w:rPr>
          <w:rFonts w:eastAsia="Times New Roman"/>
          <w:color w:val="000000"/>
          <w:sz w:val="20"/>
          <w:szCs w:val="20"/>
        </w:rPr>
        <w:t xml:space="preserve">performance risk and GMIB utilization rates would tend to increase the GMIBNLG </w:t>
      </w:r>
      <w:r>
        <w:rPr>
          <w:rFonts w:eastAsia="Times New Roman"/>
          <w:color w:val="000000"/>
          <w:sz w:val="20"/>
          <w:szCs w:val="20"/>
        </w:rPr>
        <w:t>liability and GMIB NLG Reinsurance, while decreases in withdrawal rates and volatility rates would tend to decrease the GMIBNLG liability and GMIB NLG Reinsurance.</w:t>
      </w:r>
    </w:p>
    <w:p w:rsidR="00000000" w:rsidRDefault="005B0BC3">
      <w:pPr>
        <w:divId w:val="1889757504"/>
        <w:rPr>
          <w:rFonts w:eastAsia="Times New Roman"/>
        </w:rPr>
      </w:pPr>
      <w:r>
        <w:rPr>
          <w:rFonts w:eastAsia="Times New Roman"/>
          <w:color w:val="000000"/>
          <w:sz w:val="20"/>
          <w:szCs w:val="20"/>
        </w:rPr>
        <w:t>The significant unobservable inputs used in the fair value measurement of the Company’s GMWB</w:t>
      </w:r>
      <w:r>
        <w:rPr>
          <w:rFonts w:eastAsia="Times New Roman"/>
          <w:color w:val="000000"/>
          <w:sz w:val="20"/>
          <w:szCs w:val="20"/>
        </w:rPr>
        <w:t xml:space="preserve"> and GWBL liability are lapse rates and withdrawal rates. Significant increases in withdrawal rates or decreases in lapse rates in isolation would tend to increase these liabilities. Increases in volatility would increase these liabilities.</w:t>
      </w:r>
    </w:p>
    <w:p w:rsidR="00000000" w:rsidRDefault="005B0BC3">
      <w:pPr>
        <w:jc w:val="both"/>
        <w:divId w:val="1672029874"/>
        <w:rPr>
          <w:rFonts w:eastAsia="Times New Roman"/>
        </w:rPr>
      </w:pPr>
      <w:r>
        <w:rPr>
          <w:rFonts w:eastAsia="Times New Roman"/>
          <w:color w:val="000000"/>
          <w:sz w:val="20"/>
          <w:szCs w:val="20"/>
          <w:u w:val="single"/>
        </w:rPr>
        <w:t xml:space="preserve">Carrying Value </w:t>
      </w:r>
      <w:r>
        <w:rPr>
          <w:rFonts w:eastAsia="Times New Roman"/>
          <w:color w:val="000000"/>
          <w:sz w:val="20"/>
          <w:szCs w:val="20"/>
          <w:u w:val="single"/>
        </w:rPr>
        <w:t>of Financial Instruments Not Otherwise Disclosed in Note 3 and Note 4 of the Notes to these Consolidated Financial Statements</w:t>
      </w:r>
    </w:p>
    <w:p w:rsidR="00000000" w:rsidRDefault="005B0BC3">
      <w:pPr>
        <w:divId w:val="446700037"/>
        <w:rPr>
          <w:rFonts w:eastAsia="Times New Roman"/>
        </w:rPr>
      </w:pPr>
      <w:r>
        <w:rPr>
          <w:rFonts w:eastAsia="Times New Roman"/>
          <w:color w:val="000000"/>
          <w:sz w:val="20"/>
          <w:szCs w:val="20"/>
        </w:rPr>
        <w:t>The carrying values and fair values as of December 31, 2021 and December 31, 2020 for financial instruments not otherwise disclose</w:t>
      </w:r>
      <w:r>
        <w:rPr>
          <w:rFonts w:eastAsia="Times New Roman"/>
          <w:color w:val="000000"/>
          <w:sz w:val="20"/>
          <w:szCs w:val="20"/>
        </w:rPr>
        <w:t>d in Note 3 and Note 4 of the Notes to these Consolidated Financial Statements are presented in the table below.</w:t>
      </w:r>
    </w:p>
    <w:p w:rsidR="00000000" w:rsidRDefault="005B0BC3">
      <w:pPr>
        <w:jc w:val="center"/>
        <w:rPr>
          <w:rFonts w:eastAsia="Times New Roman"/>
        </w:rPr>
      </w:pPr>
      <w:r>
        <w:rPr>
          <w:rFonts w:eastAsia="Times New Roman"/>
          <w:b/>
          <w:bCs/>
          <w:color w:val="000000"/>
          <w:sz w:val="20"/>
          <w:szCs w:val="20"/>
        </w:rPr>
        <w:t>Carrying Values and Fair Values for Financial Instruments Not Otherwise Disclosed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386"/>
        <w:gridCol w:w="37"/>
        <w:gridCol w:w="120"/>
        <w:gridCol w:w="767"/>
        <w:gridCol w:w="36"/>
        <w:gridCol w:w="36"/>
        <w:gridCol w:w="36"/>
        <w:gridCol w:w="36"/>
        <w:gridCol w:w="121"/>
        <w:gridCol w:w="697"/>
        <w:gridCol w:w="36"/>
        <w:gridCol w:w="36"/>
        <w:gridCol w:w="36"/>
        <w:gridCol w:w="36"/>
        <w:gridCol w:w="120"/>
        <w:gridCol w:w="722"/>
        <w:gridCol w:w="36"/>
        <w:gridCol w:w="36"/>
        <w:gridCol w:w="36"/>
        <w:gridCol w:w="36"/>
        <w:gridCol w:w="120"/>
        <w:gridCol w:w="722"/>
        <w:gridCol w:w="36"/>
        <w:gridCol w:w="36"/>
        <w:gridCol w:w="36"/>
        <w:gridCol w:w="36"/>
        <w:gridCol w:w="120"/>
        <w:gridCol w:w="724"/>
        <w:gridCol w:w="36"/>
      </w:tblGrid>
      <w:tr w:rsidR="00000000">
        <w:trPr>
          <w:divId w:val="1795831226"/>
          <w:jc w:val="center"/>
        </w:trPr>
        <w:tc>
          <w:tcPr>
            <w:tcW w:w="50" w:type="pct"/>
            <w:vAlign w:val="center"/>
            <w:hideMark/>
          </w:tcPr>
          <w:p w:rsidR="00000000" w:rsidRDefault="005B0BC3">
            <w:pPr>
              <w:jc w:val="center"/>
              <w:rPr>
                <w:rFonts w:eastAsia="Times New Roman"/>
              </w:rPr>
            </w:pPr>
          </w:p>
        </w:tc>
        <w:tc>
          <w:tcPr>
            <w:tcW w:w="207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9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7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9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9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9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795831226"/>
          <w:trHeight w:val="240"/>
          <w:jc w:val="center"/>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gridSpan w:val="3"/>
            <w:vMerge w:val="restart"/>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Carrying</w:t>
            </w:r>
            <w:r>
              <w:rPr>
                <w:rFonts w:eastAsia="Times New Roman"/>
                <w:b/>
                <w:bCs/>
                <w:color w:val="000000"/>
                <w:sz w:val="16"/>
                <w:szCs w:val="16"/>
              </w:rPr>
              <w:br/>
              <w:t>Value</w:t>
            </w:r>
          </w:p>
        </w:tc>
        <w:tc>
          <w:tcPr>
            <w:tcW w:w="0" w:type="auto"/>
            <w:gridSpan w:val="3"/>
            <w:vMerge w:val="restart"/>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21"/>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Fair Value</w:t>
            </w:r>
          </w:p>
        </w:tc>
      </w:tr>
      <w:tr w:rsidR="00000000">
        <w:trPr>
          <w:divId w:val="1795831226"/>
          <w:trHeight w:val="240"/>
          <w:jc w:val="center"/>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gridSpan w:val="3"/>
            <w:vMerge/>
            <w:vAlign w:val="center"/>
            <w:hideMark/>
          </w:tcPr>
          <w:p w:rsidR="00000000" w:rsidRDefault="005B0BC3">
            <w:pPr>
              <w:spacing w:after="100"/>
              <w:rPr>
                <w:rFonts w:eastAsia="Times New Roman"/>
              </w:rPr>
            </w:pPr>
          </w:p>
        </w:tc>
        <w:tc>
          <w:tcPr>
            <w:tcW w:w="0" w:type="auto"/>
            <w:gridSpan w:val="3"/>
            <w:vMerge/>
            <w:vAlign w:val="center"/>
            <w:hideMark/>
          </w:tcPr>
          <w:p w:rsidR="00000000" w:rsidRDefault="005B0BC3">
            <w:pPr>
              <w:spacing w:after="100"/>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Level 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Level 2</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Level 3</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Total</w:t>
            </w:r>
          </w:p>
        </w:tc>
      </w:tr>
      <w:tr w:rsidR="00000000">
        <w:trPr>
          <w:divId w:val="1795831226"/>
          <w:jc w:val="center"/>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27"/>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1795831226"/>
          <w:jc w:val="center"/>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December 31, 2021:</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795831226"/>
          <w:jc w:val="center"/>
        </w:trPr>
        <w:tc>
          <w:tcPr>
            <w:tcW w:w="0" w:type="auto"/>
            <w:gridSpan w:val="3"/>
            <w:shd w:val="clear" w:color="auto" w:fill="CCEE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xml:space="preserve">Mortgage loans on real estate </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14,033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14,308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14,308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95831226"/>
          <w:jc w:val="center"/>
        </w:trPr>
        <w:tc>
          <w:tcPr>
            <w:tcW w:w="0" w:type="auto"/>
            <w:gridSpan w:val="3"/>
            <w:shd w:val="clear" w:color="auto" w:fill="FFFF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Policy loans</w:t>
            </w: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4,024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5,050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5,050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95831226"/>
          <w:jc w:val="center"/>
        </w:trPr>
        <w:tc>
          <w:tcPr>
            <w:tcW w:w="0" w:type="auto"/>
            <w:gridSpan w:val="3"/>
            <w:shd w:val="clear" w:color="auto" w:fill="CCEE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xml:space="preserve">Policyholders’ </w:t>
            </w:r>
            <w:r>
              <w:rPr>
                <w:rFonts w:eastAsia="Times New Roman"/>
                <w:color w:val="000000"/>
                <w:sz w:val="20"/>
                <w:szCs w:val="20"/>
              </w:rPr>
              <w:t>liabilities: Investment contracts (3)</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2,035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2,103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2,103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95831226"/>
          <w:jc w:val="center"/>
        </w:trPr>
        <w:tc>
          <w:tcPr>
            <w:tcW w:w="0" w:type="auto"/>
            <w:gridSpan w:val="3"/>
            <w:shd w:val="clear" w:color="auto" w:fill="FFFF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xml:space="preserve">FHLB funding agreements </w:t>
            </w: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6,647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6,679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6,679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95831226"/>
          <w:jc w:val="center"/>
        </w:trPr>
        <w:tc>
          <w:tcPr>
            <w:tcW w:w="0" w:type="auto"/>
            <w:gridSpan w:val="3"/>
            <w:shd w:val="clear" w:color="auto" w:fill="CCEE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FABN funding agreements</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6,689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6,626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6,626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95831226"/>
          <w:jc w:val="center"/>
        </w:trPr>
        <w:tc>
          <w:tcPr>
            <w:tcW w:w="0" w:type="auto"/>
            <w:gridSpan w:val="3"/>
            <w:shd w:val="clear" w:color="auto" w:fill="FFFF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Short-term and long-term debt (2)</w:t>
            </w: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3,839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4,544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4,544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95831226"/>
          <w:jc w:val="center"/>
        </w:trPr>
        <w:tc>
          <w:tcPr>
            <w:tcW w:w="0" w:type="auto"/>
            <w:gridSpan w:val="3"/>
            <w:shd w:val="clear" w:color="auto" w:fill="CCEE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Separate Accounts liabilities</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11,620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11,620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11,620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95831226"/>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795831226"/>
          <w:jc w:val="center"/>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December 31, 2020:</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795831226"/>
          <w:jc w:val="center"/>
        </w:trPr>
        <w:tc>
          <w:tcPr>
            <w:tcW w:w="0" w:type="auto"/>
            <w:gridSpan w:val="3"/>
            <w:shd w:val="clear" w:color="auto" w:fill="FFFF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Mortgage loans on real estate</w:t>
            </w: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13,159 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13,491 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13,491 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95831226"/>
          <w:jc w:val="center"/>
        </w:trPr>
        <w:tc>
          <w:tcPr>
            <w:tcW w:w="0" w:type="auto"/>
            <w:gridSpan w:val="3"/>
            <w:shd w:val="clear" w:color="auto" w:fill="CCEE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Policy loans (1)</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4,118 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5,352 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5,352 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95831226"/>
          <w:jc w:val="center"/>
        </w:trPr>
        <w:tc>
          <w:tcPr>
            <w:tcW w:w="0" w:type="auto"/>
            <w:gridSpan w:val="3"/>
            <w:shd w:val="clear" w:color="auto" w:fill="FFFF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xml:space="preserve">Policyholders’ </w:t>
            </w:r>
            <w:r>
              <w:rPr>
                <w:rFonts w:eastAsia="Times New Roman"/>
                <w:color w:val="000000"/>
                <w:sz w:val="20"/>
                <w:szCs w:val="20"/>
              </w:rPr>
              <w:t>liabilities: Investment contracts (1)</w:t>
            </w: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2,198 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2,416 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2,416 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95831226"/>
          <w:jc w:val="center"/>
        </w:trPr>
        <w:tc>
          <w:tcPr>
            <w:tcW w:w="0" w:type="auto"/>
            <w:gridSpan w:val="3"/>
            <w:shd w:val="clear" w:color="auto" w:fill="CCEE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xml:space="preserve">FHLB funding agreements </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6,897 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6,990 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6,990 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95831226"/>
          <w:jc w:val="center"/>
        </w:trPr>
        <w:tc>
          <w:tcPr>
            <w:tcW w:w="0" w:type="auto"/>
            <w:gridSpan w:val="3"/>
            <w:shd w:val="clear" w:color="auto" w:fill="FFFF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FABN funding agreements</w:t>
            </w: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1,939 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1,971 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1,971 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95831226"/>
          <w:jc w:val="center"/>
        </w:trPr>
        <w:tc>
          <w:tcPr>
            <w:tcW w:w="0" w:type="auto"/>
            <w:gridSpan w:val="3"/>
            <w:shd w:val="clear" w:color="auto" w:fill="CCEE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Short-term and long-term debt</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4,115 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5,065 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5,065 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795831226"/>
          <w:jc w:val="center"/>
        </w:trPr>
        <w:tc>
          <w:tcPr>
            <w:tcW w:w="0" w:type="auto"/>
            <w:gridSpan w:val="3"/>
            <w:shd w:val="clear" w:color="auto" w:fill="FFFF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Separate Accounts liabilities</w:t>
            </w: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10,081 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10,081 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10,081 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ind w:hanging="360"/>
        <w:divId w:val="721753384"/>
        <w:rPr>
          <w:rFonts w:eastAsia="Times New Roman"/>
        </w:rPr>
      </w:pPr>
      <w:r>
        <w:rPr>
          <w:rFonts w:eastAsia="Times New Roman"/>
          <w:color w:val="000000"/>
          <w:sz w:val="18"/>
          <w:szCs w:val="18"/>
        </w:rPr>
        <w:t>_____________</w:t>
      </w:r>
    </w:p>
    <w:p w:rsidR="00000000" w:rsidRDefault="005B0BC3">
      <w:pPr>
        <w:ind w:hanging="360"/>
        <w:divId w:val="574321664"/>
        <w:rPr>
          <w:rFonts w:eastAsia="Times New Roman"/>
        </w:rPr>
      </w:pPr>
      <w:r>
        <w:rPr>
          <w:rFonts w:eastAsia="Times New Roman"/>
          <w:color w:val="000000"/>
          <w:sz w:val="18"/>
          <w:szCs w:val="18"/>
        </w:rPr>
        <w:t>(1)Excludes amounts reclassified as HFS.</w:t>
      </w:r>
    </w:p>
    <w:p w:rsidR="00000000" w:rsidRDefault="005B0BC3">
      <w:pPr>
        <w:ind w:hanging="360"/>
        <w:divId w:val="1019048014"/>
        <w:rPr>
          <w:rFonts w:eastAsia="Times New Roman"/>
        </w:rPr>
      </w:pPr>
      <w:r>
        <w:rPr>
          <w:rFonts w:eastAsia="Times New Roman"/>
          <w:color w:val="000000"/>
          <w:sz w:val="18"/>
          <w:szCs w:val="18"/>
        </w:rPr>
        <w:t>(2)</w:t>
      </w:r>
      <w:r>
        <w:rPr>
          <w:rFonts w:eastAsia="Times New Roman"/>
          <w:color w:val="000000"/>
          <w:sz w:val="18"/>
          <w:szCs w:val="18"/>
        </w:rPr>
        <w:t>Excludes CLO short-term debt of $92 million which is inclusive as fair valued within Notes issued by consolidated VIE’s, at fair value using the fair value option.</w:t>
      </w:r>
    </w:p>
    <w:p w:rsidR="00000000" w:rsidRDefault="005B0BC3">
      <w:pPr>
        <w:ind w:hanging="360"/>
        <w:divId w:val="2035381378"/>
        <w:rPr>
          <w:rFonts w:eastAsia="Times New Roman"/>
        </w:rPr>
      </w:pPr>
      <w:r>
        <w:rPr>
          <w:rFonts w:eastAsia="Times New Roman"/>
          <w:color w:val="000000"/>
          <w:sz w:val="18"/>
          <w:szCs w:val="18"/>
        </w:rPr>
        <w:t xml:space="preserve">(3) As of </w:t>
      </w:r>
      <w:r>
        <w:rPr>
          <w:rFonts w:eastAsia="Times New Roman"/>
          <w:color w:val="000000"/>
          <w:sz w:val="20"/>
          <w:szCs w:val="20"/>
        </w:rPr>
        <w:t>December 31, 2021, r</w:t>
      </w:r>
      <w:r>
        <w:rPr>
          <w:rFonts w:eastAsia="Times New Roman"/>
          <w:color w:val="000000"/>
          <w:sz w:val="18"/>
          <w:szCs w:val="18"/>
        </w:rPr>
        <w:t xml:space="preserve">eflects transfer of certain policyholders account balances to </w:t>
      </w:r>
      <w:r>
        <w:rPr>
          <w:rFonts w:eastAsia="Times New Roman"/>
          <w:color w:val="000000"/>
          <w:sz w:val="18"/>
          <w:szCs w:val="18"/>
        </w:rPr>
        <w:t>future policyholder benefits and other policyholders liabilities related to structured settlement contracts.</w:t>
      </w:r>
    </w:p>
    <w:p w:rsidR="00000000" w:rsidRDefault="005B0BC3">
      <w:pPr>
        <w:ind w:firstLine="360"/>
        <w:divId w:val="1357464750"/>
        <w:rPr>
          <w:rFonts w:eastAsia="Times New Roman"/>
        </w:rPr>
      </w:pPr>
    </w:p>
    <w:p w:rsidR="00000000" w:rsidRDefault="005B0BC3">
      <w:pPr>
        <w:jc w:val="both"/>
        <w:divId w:val="1379817551"/>
        <w:rPr>
          <w:rFonts w:eastAsia="Times New Roman"/>
        </w:rPr>
      </w:pPr>
      <w:r>
        <w:rPr>
          <w:rFonts w:eastAsia="Times New Roman"/>
          <w:b/>
          <w:bCs/>
          <w:i/>
          <w:iCs/>
          <w:color w:val="000000"/>
          <w:sz w:val="20"/>
          <w:szCs w:val="20"/>
        </w:rPr>
        <w:t>Mortgage Loans on Real Estate</w:t>
      </w:r>
    </w:p>
    <w:p w:rsidR="00000000" w:rsidRDefault="005B0BC3">
      <w:pPr>
        <w:divId w:val="1588805984"/>
        <w:rPr>
          <w:rFonts w:eastAsia="Times New Roman"/>
        </w:rPr>
      </w:pPr>
      <w:r>
        <w:rPr>
          <w:rFonts w:eastAsia="Times New Roman"/>
          <w:color w:val="000000"/>
          <w:sz w:val="20"/>
          <w:szCs w:val="20"/>
        </w:rPr>
        <w:t>Fair values for commercial and agricultural mortgage loans on real estate are measured by discounting future contra</w:t>
      </w:r>
      <w:r>
        <w:rPr>
          <w:rFonts w:eastAsia="Times New Roman"/>
          <w:color w:val="000000"/>
          <w:sz w:val="20"/>
          <w:szCs w:val="20"/>
        </w:rPr>
        <w:t>ctual cash flows to be received on the mortgage loan using interest rates at which loans with similar characteristics and credit quality would be made. The discount rate is derived based on the appropriate U.S. Treasury rate with a like term to the remaini</w:t>
      </w:r>
      <w:r>
        <w:rPr>
          <w:rFonts w:eastAsia="Times New Roman"/>
          <w:color w:val="000000"/>
          <w:sz w:val="20"/>
          <w:szCs w:val="20"/>
        </w:rPr>
        <w:t>ng term of the loan to which a spread reflective of the risk premium associated with the specific loan is added. Fair values for mortgage loans anticipated to be foreclosed and problem mortgage loans are limited to the fair value of the underlying collater</w:t>
      </w:r>
      <w:r>
        <w:rPr>
          <w:rFonts w:eastAsia="Times New Roman"/>
          <w:color w:val="000000"/>
          <w:sz w:val="20"/>
          <w:szCs w:val="20"/>
        </w:rPr>
        <w:t>al, if lower.</w:t>
      </w:r>
    </w:p>
    <w:p w:rsidR="00000000" w:rsidRDefault="005B0BC3">
      <w:pPr>
        <w:jc w:val="center"/>
        <w:divId w:val="317003309"/>
        <w:rPr>
          <w:rFonts w:eastAsia="Times New Roman"/>
        </w:rPr>
      </w:pPr>
      <w:r>
        <w:rPr>
          <w:rFonts w:eastAsia="Times New Roman"/>
          <w:color w:val="000000"/>
          <w:sz w:val="20"/>
          <w:szCs w:val="20"/>
        </w:rPr>
        <w:t>192</w:t>
      </w:r>
    </w:p>
    <w:p w:rsidR="00000000" w:rsidRDefault="005B0BC3">
      <w:pPr>
        <w:rPr>
          <w:rFonts w:eastAsia="Times New Roman"/>
        </w:rPr>
      </w:pPr>
      <w:r>
        <w:rPr>
          <w:rFonts w:eastAsia="Times New Roman"/>
        </w:rPr>
        <w:pict>
          <v:rect id="_x0000_i1230" style="width:0;height:1.5pt" o:hralign="center" o:hrstd="t" o:hr="t" fillcolor="#a0a0a0" stroked="f"/>
        </w:pict>
      </w:r>
    </w:p>
    <w:p w:rsidR="00000000" w:rsidRDefault="005B0BC3">
      <w:pPr>
        <w:jc w:val="center"/>
        <w:divId w:val="849026440"/>
        <w:rPr>
          <w:rFonts w:eastAsia="Times New Roman"/>
        </w:rPr>
      </w:pPr>
      <w:r>
        <w:rPr>
          <w:rFonts w:eastAsia="Times New Roman"/>
          <w:b/>
          <w:bCs/>
          <w:color w:val="000000"/>
          <w:sz w:val="20"/>
          <w:szCs w:val="20"/>
        </w:rPr>
        <w:t>EQUITABLE HOLDINGS, INC.</w:t>
      </w:r>
    </w:p>
    <w:p w:rsidR="00000000" w:rsidRDefault="005B0BC3">
      <w:pPr>
        <w:jc w:val="center"/>
        <w:divId w:val="849026440"/>
        <w:rPr>
          <w:rFonts w:eastAsia="Times New Roman"/>
        </w:rPr>
      </w:pPr>
      <w:r>
        <w:rPr>
          <w:rFonts w:eastAsia="Times New Roman"/>
          <w:b/>
          <w:bCs/>
          <w:color w:val="000000"/>
          <w:sz w:val="20"/>
          <w:szCs w:val="20"/>
        </w:rPr>
        <w:t>NOTES TO CONSOLIDATED FINANCIAL STATEMENTS, continued</w:t>
      </w:r>
    </w:p>
    <w:p w:rsidR="00000000" w:rsidRDefault="005B0BC3">
      <w:pPr>
        <w:jc w:val="both"/>
        <w:divId w:val="2143955698"/>
        <w:rPr>
          <w:rFonts w:eastAsia="Times New Roman"/>
        </w:rPr>
      </w:pPr>
      <w:r>
        <w:rPr>
          <w:rFonts w:eastAsia="Times New Roman"/>
          <w:b/>
          <w:bCs/>
          <w:i/>
          <w:iCs/>
          <w:color w:val="000000"/>
          <w:sz w:val="20"/>
          <w:szCs w:val="20"/>
        </w:rPr>
        <w:t>Policy Loans</w:t>
      </w:r>
    </w:p>
    <w:p w:rsidR="00000000" w:rsidRDefault="005B0BC3">
      <w:pPr>
        <w:divId w:val="314603186"/>
        <w:rPr>
          <w:rFonts w:eastAsia="Times New Roman"/>
        </w:rPr>
      </w:pPr>
      <w:r>
        <w:rPr>
          <w:rFonts w:eastAsia="Times New Roman"/>
          <w:color w:val="000000"/>
          <w:sz w:val="20"/>
          <w:szCs w:val="20"/>
        </w:rPr>
        <w:t>The fair value of policy loans is calculated by discounting expected cash flows based upon the U.S. Treasury y</w:t>
      </w:r>
      <w:r>
        <w:rPr>
          <w:rFonts w:eastAsia="Times New Roman"/>
          <w:color w:val="000000"/>
          <w:sz w:val="20"/>
          <w:szCs w:val="20"/>
        </w:rPr>
        <w:t>ield curve and historical loan repayment patterns.</w:t>
      </w:r>
    </w:p>
    <w:p w:rsidR="00000000" w:rsidRDefault="005B0BC3">
      <w:pPr>
        <w:jc w:val="both"/>
        <w:divId w:val="616448021"/>
        <w:rPr>
          <w:rFonts w:eastAsia="Times New Roman"/>
        </w:rPr>
      </w:pPr>
      <w:r>
        <w:rPr>
          <w:rFonts w:eastAsia="Times New Roman"/>
          <w:b/>
          <w:bCs/>
          <w:i/>
          <w:iCs/>
          <w:color w:val="000000"/>
          <w:sz w:val="20"/>
          <w:szCs w:val="20"/>
        </w:rPr>
        <w:t>Short-term and Long-term Debt</w:t>
      </w:r>
    </w:p>
    <w:p w:rsidR="00000000" w:rsidRDefault="005B0BC3">
      <w:pPr>
        <w:divId w:val="47344640"/>
        <w:rPr>
          <w:rFonts w:eastAsia="Times New Roman"/>
        </w:rPr>
      </w:pPr>
      <w:r>
        <w:rPr>
          <w:rFonts w:eastAsia="Times New Roman"/>
          <w:color w:val="000000"/>
          <w:sz w:val="20"/>
          <w:szCs w:val="20"/>
        </w:rPr>
        <w:t>The Company’s short-term debt primarily includes commercial paper with short-term maturities and carrying value approximates fair value. The fair values for the Company’s long</w:t>
      </w:r>
      <w:r>
        <w:rPr>
          <w:rFonts w:eastAsia="Times New Roman"/>
          <w:color w:val="000000"/>
          <w:sz w:val="20"/>
          <w:szCs w:val="20"/>
        </w:rPr>
        <w:t xml:space="preserve">-term debt are determined by Bloomberg’s evaluated pricing service, which uses direct observations or observed comparables. </w:t>
      </w:r>
    </w:p>
    <w:p w:rsidR="00000000" w:rsidRDefault="005B0BC3">
      <w:pPr>
        <w:jc w:val="both"/>
        <w:divId w:val="1629697610"/>
        <w:rPr>
          <w:rFonts w:eastAsia="Times New Roman"/>
        </w:rPr>
      </w:pPr>
      <w:r>
        <w:rPr>
          <w:rFonts w:eastAsia="Times New Roman"/>
          <w:b/>
          <w:bCs/>
          <w:i/>
          <w:iCs/>
          <w:color w:val="000000"/>
          <w:sz w:val="20"/>
          <w:szCs w:val="20"/>
        </w:rPr>
        <w:t>FHLB Funding Agreements</w:t>
      </w:r>
    </w:p>
    <w:p w:rsidR="00000000" w:rsidRDefault="005B0BC3">
      <w:pPr>
        <w:divId w:val="1591891242"/>
        <w:rPr>
          <w:rFonts w:eastAsia="Times New Roman"/>
        </w:rPr>
      </w:pPr>
      <w:r>
        <w:rPr>
          <w:rFonts w:eastAsia="Times New Roman"/>
          <w:color w:val="000000"/>
          <w:sz w:val="20"/>
          <w:szCs w:val="20"/>
        </w:rPr>
        <w:t>The fair values of the Company’s FHLB funding agreements are determined by discounted cash flow analysis ba</w:t>
      </w:r>
      <w:r>
        <w:rPr>
          <w:rFonts w:eastAsia="Times New Roman"/>
          <w:color w:val="000000"/>
          <w:sz w:val="20"/>
          <w:szCs w:val="20"/>
        </w:rPr>
        <w:t>sed on the indicative funding agreement rates published by the FHLB.</w:t>
      </w:r>
    </w:p>
    <w:p w:rsidR="00000000" w:rsidRDefault="005B0BC3">
      <w:pPr>
        <w:jc w:val="both"/>
        <w:divId w:val="986396920"/>
        <w:rPr>
          <w:rFonts w:eastAsia="Times New Roman"/>
        </w:rPr>
      </w:pPr>
      <w:r>
        <w:rPr>
          <w:rFonts w:eastAsia="Times New Roman"/>
          <w:b/>
          <w:bCs/>
          <w:i/>
          <w:iCs/>
          <w:color w:val="000000"/>
          <w:sz w:val="20"/>
          <w:szCs w:val="20"/>
        </w:rPr>
        <w:t>FABN Funding Agreements</w:t>
      </w:r>
    </w:p>
    <w:p w:rsidR="00000000" w:rsidRDefault="005B0BC3">
      <w:pPr>
        <w:divId w:val="411388892"/>
        <w:rPr>
          <w:rFonts w:eastAsia="Times New Roman"/>
        </w:rPr>
      </w:pPr>
      <w:r>
        <w:rPr>
          <w:rFonts w:eastAsia="Times New Roman"/>
          <w:color w:val="000000"/>
          <w:sz w:val="20"/>
          <w:szCs w:val="20"/>
        </w:rPr>
        <w:t>The fair values of Equitable Financial’s FABN funding agreements are determined by Bloomberg’s evaluated pricing service, which uses direct observations or observe</w:t>
      </w:r>
      <w:r>
        <w:rPr>
          <w:rFonts w:eastAsia="Times New Roman"/>
          <w:color w:val="000000"/>
          <w:sz w:val="20"/>
          <w:szCs w:val="20"/>
        </w:rPr>
        <w:t>d comparables.</w:t>
      </w:r>
    </w:p>
    <w:p w:rsidR="00000000" w:rsidRDefault="005B0BC3">
      <w:pPr>
        <w:jc w:val="both"/>
        <w:divId w:val="1435900441"/>
        <w:rPr>
          <w:rFonts w:eastAsia="Times New Roman"/>
        </w:rPr>
      </w:pPr>
      <w:r>
        <w:rPr>
          <w:rFonts w:eastAsia="Times New Roman"/>
          <w:b/>
          <w:bCs/>
          <w:i/>
          <w:iCs/>
          <w:color w:val="000000"/>
          <w:sz w:val="20"/>
          <w:szCs w:val="20"/>
        </w:rPr>
        <w:t>Policyholder Liabilities - Investment Contracts and Separate Accounts Liabilities</w:t>
      </w:r>
    </w:p>
    <w:p w:rsidR="00000000" w:rsidRDefault="005B0BC3">
      <w:pPr>
        <w:divId w:val="1015107908"/>
        <w:rPr>
          <w:rFonts w:eastAsia="Times New Roman"/>
        </w:rPr>
      </w:pPr>
      <w:r>
        <w:rPr>
          <w:rFonts w:eastAsia="Times New Roman"/>
          <w:color w:val="000000"/>
          <w:sz w:val="20"/>
          <w:szCs w:val="20"/>
        </w:rPr>
        <w:t>The fair values for deferred annuities and certain annuities, which are included in Policyholders’ account balances, and liabilities for investment contracts w</w:t>
      </w:r>
      <w:r>
        <w:rPr>
          <w:rFonts w:eastAsia="Times New Roman"/>
          <w:color w:val="000000"/>
          <w:sz w:val="20"/>
          <w:szCs w:val="20"/>
        </w:rPr>
        <w:t>ith fund investments in Separate Accounts, are estimated using projected cash flows discounted at rates reflecting current market rates. Significant unobservable inputs reflected in the cash flows include lapse rates and withdrawal rates. Incremental adjus</w:t>
      </w:r>
      <w:r>
        <w:rPr>
          <w:rFonts w:eastAsia="Times New Roman"/>
          <w:color w:val="000000"/>
          <w:sz w:val="20"/>
          <w:szCs w:val="20"/>
        </w:rPr>
        <w:t>tments may be made to the fair value to reflect non-performance risk. Certain other products such as the Company’s association plans contracts, supplementary contracts not involving life contingencies, Access Accounts and Escrow Shield Plus product reserve</w:t>
      </w:r>
      <w:r>
        <w:rPr>
          <w:rFonts w:eastAsia="Times New Roman"/>
          <w:color w:val="000000"/>
          <w:sz w:val="20"/>
          <w:szCs w:val="20"/>
        </w:rPr>
        <w:t>s are held at book value.</w:t>
      </w:r>
    </w:p>
    <w:p w:rsidR="00000000" w:rsidRDefault="005B0BC3">
      <w:pPr>
        <w:divId w:val="1103067813"/>
        <w:rPr>
          <w:rFonts w:eastAsia="Times New Roman"/>
        </w:rPr>
      </w:pPr>
      <w:r>
        <w:rPr>
          <w:rFonts w:eastAsia="Times New Roman"/>
          <w:color w:val="000000"/>
          <w:sz w:val="20"/>
          <w:szCs w:val="20"/>
          <w:u w:val="single"/>
        </w:rPr>
        <w:t>Financial Instruments Exempt from Fair Value Disclosure or Otherwise Not Required to be Disclosed</w:t>
      </w:r>
    </w:p>
    <w:p w:rsidR="00000000" w:rsidRDefault="005B0BC3">
      <w:pPr>
        <w:jc w:val="both"/>
        <w:divId w:val="919681823"/>
        <w:rPr>
          <w:rFonts w:eastAsia="Times New Roman"/>
        </w:rPr>
      </w:pPr>
      <w:r>
        <w:rPr>
          <w:rFonts w:eastAsia="Times New Roman"/>
          <w:b/>
          <w:bCs/>
          <w:i/>
          <w:iCs/>
          <w:color w:val="000000"/>
          <w:sz w:val="20"/>
          <w:szCs w:val="20"/>
        </w:rPr>
        <w:t>Exempt from Fair Value Disclosure Requirements</w:t>
      </w:r>
    </w:p>
    <w:p w:rsidR="00000000" w:rsidRDefault="005B0BC3">
      <w:pPr>
        <w:divId w:val="674572552"/>
        <w:rPr>
          <w:rFonts w:eastAsia="Times New Roman"/>
        </w:rPr>
      </w:pPr>
      <w:r>
        <w:rPr>
          <w:rFonts w:eastAsia="Times New Roman"/>
          <w:color w:val="000000"/>
          <w:sz w:val="20"/>
          <w:szCs w:val="20"/>
        </w:rPr>
        <w:t>Certain financial instruments are exempt from the requirements for fair value disclos</w:t>
      </w:r>
      <w:r>
        <w:rPr>
          <w:rFonts w:eastAsia="Times New Roman"/>
          <w:color w:val="000000"/>
          <w:sz w:val="20"/>
          <w:szCs w:val="20"/>
        </w:rPr>
        <w:t xml:space="preserve">ure, such as insurance liabilities other than financial guarantees and investment contracts, limited partnerships accounted for under the equity method and pension and other postretirement obligations. </w:t>
      </w:r>
    </w:p>
    <w:p w:rsidR="00000000" w:rsidRDefault="005B0BC3">
      <w:pPr>
        <w:jc w:val="both"/>
        <w:divId w:val="462891249"/>
        <w:rPr>
          <w:rFonts w:eastAsia="Times New Roman"/>
        </w:rPr>
      </w:pPr>
      <w:r>
        <w:rPr>
          <w:rFonts w:eastAsia="Times New Roman"/>
          <w:b/>
          <w:bCs/>
          <w:i/>
          <w:iCs/>
          <w:color w:val="000000"/>
          <w:sz w:val="20"/>
          <w:szCs w:val="20"/>
        </w:rPr>
        <w:t>Otherwise Not Required to be Included in the Table Ab</w:t>
      </w:r>
      <w:r>
        <w:rPr>
          <w:rFonts w:eastAsia="Times New Roman"/>
          <w:b/>
          <w:bCs/>
          <w:i/>
          <w:iCs/>
          <w:color w:val="000000"/>
          <w:sz w:val="20"/>
          <w:szCs w:val="20"/>
        </w:rPr>
        <w:t>ove</w:t>
      </w:r>
    </w:p>
    <w:p w:rsidR="00000000" w:rsidRDefault="005B0BC3">
      <w:pPr>
        <w:divId w:val="1109860757"/>
        <w:rPr>
          <w:rFonts w:eastAsia="Times New Roman"/>
        </w:rPr>
      </w:pPr>
      <w:r>
        <w:rPr>
          <w:rFonts w:eastAsia="Times New Roman"/>
          <w:color w:val="000000"/>
          <w:sz w:val="20"/>
          <w:szCs w:val="20"/>
        </w:rPr>
        <w:t>The Company’s investment in COLI policies are recorded at their cash surrender value and are therefore not required to be included in the table above. See Note 2 of the Notes to these Consolidated Financial Statements for further description of the Com</w:t>
      </w:r>
      <w:r>
        <w:rPr>
          <w:rFonts w:eastAsia="Times New Roman"/>
          <w:color w:val="000000"/>
          <w:sz w:val="20"/>
          <w:szCs w:val="20"/>
        </w:rPr>
        <w:t>pany’s accounting policy related to its investment in COLI policies.</w:t>
      </w:r>
    </w:p>
    <w:p w:rsidR="00000000" w:rsidRDefault="005B0BC3">
      <w:pPr>
        <w:divId w:val="1597322462"/>
        <w:rPr>
          <w:rFonts w:eastAsia="Times New Roman"/>
        </w:rPr>
      </w:pPr>
      <w:r>
        <w:rPr>
          <w:rFonts w:eastAsia="Times New Roman"/>
          <w:b/>
          <w:bCs/>
          <w:color w:val="000000"/>
          <w:sz w:val="20"/>
          <w:szCs w:val="20"/>
        </w:rPr>
        <w:t xml:space="preserve">9)    INSURANCE LIABILITIES </w:t>
      </w:r>
    </w:p>
    <w:p w:rsidR="00000000" w:rsidRDefault="005B0BC3">
      <w:pPr>
        <w:divId w:val="1347057329"/>
        <w:rPr>
          <w:rFonts w:eastAsia="Times New Roman"/>
        </w:rPr>
      </w:pPr>
      <w:r>
        <w:rPr>
          <w:rFonts w:eastAsia="Times New Roman"/>
          <w:color w:val="000000"/>
          <w:sz w:val="20"/>
          <w:szCs w:val="20"/>
          <w:u w:val="single"/>
        </w:rPr>
        <w:t>Variable Annuity Contracts – GMDB, GMIB, GIB and GWBL and Other Features</w:t>
      </w:r>
    </w:p>
    <w:p w:rsidR="00000000" w:rsidRDefault="005B0BC3">
      <w:pPr>
        <w:divId w:val="298848252"/>
        <w:rPr>
          <w:rFonts w:eastAsia="Times New Roman"/>
        </w:rPr>
      </w:pPr>
      <w:r>
        <w:rPr>
          <w:rFonts w:eastAsia="Times New Roman"/>
          <w:color w:val="000000"/>
          <w:sz w:val="20"/>
          <w:szCs w:val="20"/>
        </w:rPr>
        <w:t>The Company has certain variable annuity contracts with GMDB, GMIB, GIB and GWBL and other features in-force that guarantee one of the following:</w:t>
      </w:r>
    </w:p>
    <w:p w:rsidR="00000000" w:rsidRDefault="005B0BC3">
      <w:pPr>
        <w:ind w:hanging="360"/>
        <w:jc w:val="both"/>
        <w:divId w:val="826826447"/>
        <w:rPr>
          <w:rFonts w:eastAsia="Times New Roman"/>
        </w:rPr>
      </w:pPr>
      <w:r>
        <w:rPr>
          <w:rFonts w:eastAsia="Times New Roman"/>
          <w:color w:val="000000"/>
          <w:sz w:val="20"/>
          <w:szCs w:val="20"/>
        </w:rPr>
        <w:t>•Return of Premium: the benefit is the greater of current account value or premiums paid (adjusted for withdra</w:t>
      </w:r>
      <w:r>
        <w:rPr>
          <w:rFonts w:eastAsia="Times New Roman"/>
          <w:color w:val="000000"/>
          <w:sz w:val="20"/>
          <w:szCs w:val="20"/>
        </w:rPr>
        <w:t>wals);</w:t>
      </w:r>
    </w:p>
    <w:p w:rsidR="00000000" w:rsidRDefault="005B0BC3">
      <w:pPr>
        <w:ind w:hanging="360"/>
        <w:jc w:val="both"/>
        <w:divId w:val="1429813159"/>
        <w:rPr>
          <w:rFonts w:eastAsia="Times New Roman"/>
        </w:rPr>
      </w:pPr>
      <w:r>
        <w:rPr>
          <w:rFonts w:eastAsia="Times New Roman"/>
          <w:color w:val="000000"/>
          <w:sz w:val="20"/>
          <w:szCs w:val="20"/>
        </w:rPr>
        <w:t>•Ratchet: the benefit is the greatest of current account value, premiums paid (adjusted for withdrawals), or the highest account value on any anniversary up to contractually specified ages (adjusted for withdrawals);</w:t>
      </w:r>
    </w:p>
    <w:p w:rsidR="00000000" w:rsidRDefault="005B0BC3">
      <w:pPr>
        <w:ind w:hanging="360"/>
        <w:jc w:val="both"/>
        <w:divId w:val="512691109"/>
        <w:rPr>
          <w:rFonts w:eastAsia="Times New Roman"/>
        </w:rPr>
      </w:pPr>
      <w:r>
        <w:rPr>
          <w:rFonts w:eastAsia="Times New Roman"/>
          <w:color w:val="000000"/>
          <w:sz w:val="20"/>
          <w:szCs w:val="20"/>
        </w:rPr>
        <w:t>•Roll-Up: the benefit is the gre</w:t>
      </w:r>
      <w:r>
        <w:rPr>
          <w:rFonts w:eastAsia="Times New Roman"/>
          <w:color w:val="000000"/>
          <w:sz w:val="20"/>
          <w:szCs w:val="20"/>
        </w:rPr>
        <w:t>ater of current account value or premiums paid (adjusted for withdrawals) accumulated at contractually specified interest rates up to specified ages;</w:t>
      </w:r>
    </w:p>
    <w:p w:rsidR="00000000" w:rsidRDefault="005B0BC3">
      <w:pPr>
        <w:ind w:hanging="360"/>
        <w:jc w:val="both"/>
        <w:divId w:val="1090811799"/>
        <w:rPr>
          <w:rFonts w:eastAsia="Times New Roman"/>
        </w:rPr>
      </w:pPr>
      <w:r>
        <w:rPr>
          <w:rFonts w:eastAsia="Times New Roman"/>
          <w:color w:val="000000"/>
          <w:sz w:val="20"/>
          <w:szCs w:val="20"/>
        </w:rPr>
        <w:t>•Combo: the benefit is the greater of the ratchet benefit or the roll-up benefit, which may include either</w:t>
      </w:r>
      <w:r>
        <w:rPr>
          <w:rFonts w:eastAsia="Times New Roman"/>
          <w:color w:val="000000"/>
          <w:sz w:val="20"/>
          <w:szCs w:val="20"/>
        </w:rPr>
        <w:t xml:space="preserve"> a five year or an annual reset; or</w:t>
      </w:r>
    </w:p>
    <w:p w:rsidR="00000000" w:rsidRDefault="005B0BC3">
      <w:pPr>
        <w:ind w:hanging="360"/>
        <w:divId w:val="271867157"/>
        <w:rPr>
          <w:rFonts w:eastAsia="Times New Roman"/>
        </w:rPr>
      </w:pPr>
      <w:r>
        <w:rPr>
          <w:rFonts w:eastAsia="Times New Roman"/>
          <w:color w:val="000000"/>
          <w:sz w:val="20"/>
          <w:szCs w:val="20"/>
        </w:rPr>
        <w:t xml:space="preserve">•Withdrawal: the withdrawal is guaranteed up to a maximum amount per year for life. </w:t>
      </w:r>
    </w:p>
    <w:p w:rsidR="00000000" w:rsidRDefault="005B0BC3">
      <w:pPr>
        <w:jc w:val="center"/>
        <w:divId w:val="118499564"/>
        <w:rPr>
          <w:rFonts w:eastAsia="Times New Roman"/>
        </w:rPr>
      </w:pPr>
      <w:r>
        <w:rPr>
          <w:rFonts w:eastAsia="Times New Roman"/>
          <w:color w:val="000000"/>
          <w:sz w:val="20"/>
          <w:szCs w:val="20"/>
        </w:rPr>
        <w:t>193</w:t>
      </w:r>
    </w:p>
    <w:p w:rsidR="00000000" w:rsidRDefault="005B0BC3">
      <w:pPr>
        <w:rPr>
          <w:rFonts w:eastAsia="Times New Roman"/>
        </w:rPr>
      </w:pPr>
      <w:r>
        <w:rPr>
          <w:rFonts w:eastAsia="Times New Roman"/>
        </w:rPr>
        <w:pict>
          <v:rect id="_x0000_i1231" style="width:0;height:1.5pt" o:hralign="center" o:hrstd="t" o:hr="t" fillcolor="#a0a0a0" stroked="f"/>
        </w:pict>
      </w:r>
    </w:p>
    <w:p w:rsidR="00000000" w:rsidRDefault="005B0BC3">
      <w:pPr>
        <w:jc w:val="center"/>
        <w:divId w:val="472451716"/>
        <w:rPr>
          <w:rFonts w:eastAsia="Times New Roman"/>
        </w:rPr>
      </w:pPr>
      <w:r>
        <w:rPr>
          <w:rFonts w:eastAsia="Times New Roman"/>
          <w:b/>
          <w:bCs/>
          <w:color w:val="000000"/>
          <w:sz w:val="20"/>
          <w:szCs w:val="20"/>
        </w:rPr>
        <w:t>EQUITABLE HOLDINGS, INC.</w:t>
      </w:r>
    </w:p>
    <w:p w:rsidR="00000000" w:rsidRDefault="005B0BC3">
      <w:pPr>
        <w:jc w:val="center"/>
        <w:divId w:val="472451716"/>
        <w:rPr>
          <w:rFonts w:eastAsia="Times New Roman"/>
        </w:rPr>
      </w:pPr>
      <w:r>
        <w:rPr>
          <w:rFonts w:eastAsia="Times New Roman"/>
          <w:b/>
          <w:bCs/>
          <w:color w:val="000000"/>
          <w:sz w:val="20"/>
          <w:szCs w:val="20"/>
        </w:rPr>
        <w:t>NOTES TO CONSOLIDATED FINANCIAL STATEMENTS, continued</w:t>
      </w:r>
    </w:p>
    <w:p w:rsidR="00000000" w:rsidRDefault="005B0BC3">
      <w:pPr>
        <w:jc w:val="both"/>
        <w:divId w:val="1750498187"/>
        <w:rPr>
          <w:rFonts w:eastAsia="Times New Roman"/>
        </w:rPr>
      </w:pPr>
      <w:r>
        <w:rPr>
          <w:rFonts w:eastAsia="Times New Roman"/>
          <w:b/>
          <w:bCs/>
          <w:i/>
          <w:iCs/>
          <w:color w:val="000000"/>
          <w:sz w:val="20"/>
          <w:szCs w:val="20"/>
        </w:rPr>
        <w:t>Liabilities for Variable Annuity Contracts with GMDB and GMIB Features without NLG Rider Feature</w:t>
      </w:r>
    </w:p>
    <w:p w:rsidR="00000000" w:rsidRDefault="005B0BC3">
      <w:pPr>
        <w:divId w:val="864290761"/>
        <w:rPr>
          <w:rFonts w:eastAsia="Times New Roman"/>
        </w:rPr>
      </w:pPr>
      <w:r>
        <w:rPr>
          <w:rFonts w:eastAsia="Times New Roman"/>
          <w:color w:val="000000"/>
          <w:sz w:val="20"/>
          <w:szCs w:val="20"/>
        </w:rPr>
        <w:t>The change in the liabilities for variable a</w:t>
      </w:r>
      <w:r>
        <w:rPr>
          <w:rFonts w:eastAsia="Times New Roman"/>
          <w:color w:val="000000"/>
          <w:sz w:val="20"/>
          <w:szCs w:val="20"/>
        </w:rPr>
        <w:t>nnuity contracts with GMDB and GMIB features and without a NLG feature are summarized in the tables below. The amounts for the direct contracts (before reinsurance ceded) and assumed contracts are reflected in the consolidated balance sheets in future poli</w:t>
      </w:r>
      <w:r>
        <w:rPr>
          <w:rFonts w:eastAsia="Times New Roman"/>
          <w:color w:val="000000"/>
          <w:sz w:val="20"/>
          <w:szCs w:val="20"/>
        </w:rPr>
        <w:t>cy benefits and other policyholders’ liabilities. The amounts for the ceded contracts are reflected in the consolidated balance sheets in amounts due from reinsurers. The amounts for the ceded GMIB that are reflected in the consolidated balance sheets in G</w:t>
      </w:r>
      <w:r>
        <w:rPr>
          <w:rFonts w:eastAsia="Times New Roman"/>
          <w:color w:val="000000"/>
          <w:sz w:val="20"/>
          <w:szCs w:val="20"/>
        </w:rPr>
        <w:t>MIB reinsurance contract asset are at fair value.</w:t>
      </w:r>
    </w:p>
    <w:p w:rsidR="00000000" w:rsidRDefault="005B0BC3">
      <w:pPr>
        <w:jc w:val="center"/>
        <w:rPr>
          <w:rFonts w:eastAsia="Times New Roman"/>
        </w:rPr>
      </w:pPr>
      <w:r>
        <w:rPr>
          <w:rFonts w:eastAsia="Times New Roman"/>
          <w:b/>
          <w:bCs/>
          <w:color w:val="000000"/>
          <w:sz w:val="20"/>
          <w:szCs w:val="20"/>
        </w:rPr>
        <w:t>Change in Liability for Variable Annuity Contracts with GMDB and GMIB Features and No NLG Feature</w:t>
      </w:r>
    </w:p>
    <w:p w:rsidR="00000000" w:rsidRDefault="005B0BC3">
      <w:pPr>
        <w:jc w:val="center"/>
        <w:divId w:val="599217796"/>
        <w:rPr>
          <w:rFonts w:eastAsia="Times New Roman"/>
        </w:rPr>
      </w:pPr>
      <w:r>
        <w:rPr>
          <w:rFonts w:eastAsia="Times New Roman"/>
          <w:b/>
          <w:bCs/>
          <w:color w:val="000000"/>
          <w:sz w:val="20"/>
          <w:szCs w:val="20"/>
        </w:rPr>
        <w:t>Year Ended December 31, 2021, 2020 and 2019</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410"/>
        <w:gridCol w:w="38"/>
        <w:gridCol w:w="120"/>
        <w:gridCol w:w="513"/>
        <w:gridCol w:w="36"/>
        <w:gridCol w:w="36"/>
        <w:gridCol w:w="36"/>
        <w:gridCol w:w="36"/>
        <w:gridCol w:w="121"/>
        <w:gridCol w:w="580"/>
        <w:gridCol w:w="36"/>
        <w:gridCol w:w="36"/>
        <w:gridCol w:w="36"/>
        <w:gridCol w:w="36"/>
        <w:gridCol w:w="120"/>
        <w:gridCol w:w="584"/>
        <w:gridCol w:w="36"/>
        <w:gridCol w:w="36"/>
        <w:gridCol w:w="36"/>
        <w:gridCol w:w="36"/>
        <w:gridCol w:w="120"/>
        <w:gridCol w:w="500"/>
        <w:gridCol w:w="36"/>
        <w:gridCol w:w="36"/>
        <w:gridCol w:w="36"/>
        <w:gridCol w:w="36"/>
        <w:gridCol w:w="121"/>
        <w:gridCol w:w="580"/>
        <w:gridCol w:w="36"/>
        <w:gridCol w:w="36"/>
        <w:gridCol w:w="36"/>
        <w:gridCol w:w="36"/>
        <w:gridCol w:w="120"/>
        <w:gridCol w:w="584"/>
        <w:gridCol w:w="36"/>
      </w:tblGrid>
      <w:tr w:rsidR="00000000">
        <w:trPr>
          <w:jc w:val="center"/>
        </w:trPr>
        <w:tc>
          <w:tcPr>
            <w:tcW w:w="50" w:type="pct"/>
            <w:vAlign w:val="center"/>
            <w:hideMark/>
          </w:tcPr>
          <w:p w:rsidR="00000000" w:rsidRDefault="005B0BC3">
            <w:pPr>
              <w:jc w:val="center"/>
              <w:rPr>
                <w:rFonts w:eastAsia="Times New Roman"/>
              </w:rPr>
            </w:pPr>
          </w:p>
        </w:tc>
        <w:tc>
          <w:tcPr>
            <w:tcW w:w="213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8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8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8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8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8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8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GMDB</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GMIB</w:t>
            </w:r>
          </w:p>
        </w:tc>
      </w:tr>
      <w:tr w:rsidR="00000000">
        <w:trPr>
          <w:jc w:val="center"/>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Direct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Assumed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Ceded</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Direct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Assumed</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Ceded</w:t>
            </w:r>
          </w:p>
        </w:tc>
      </w:tr>
      <w:tr w:rsidR="00000000">
        <w:trPr>
          <w:jc w:val="center"/>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Balance, January 1, 2019</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4,662 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(113)</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3,746 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184 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(1,733)</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Paid guarantee benefits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(438)</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(256)</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Other changes in reserve</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556 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1,183 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(478)</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Balance, December 31, 2019</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4,780 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76 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(104)</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4,673 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187 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(2,139)</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Paid guarantee benefits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(495)</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(22)</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(293)</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Other changes in reserve</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812 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1,646 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(428)</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Balance, December 31, 2020</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5,097 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(88)</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6,026 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196 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(2,488)</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Paid guarantee benefits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(461)</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(377)</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(49)</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Other changes in reserve</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315 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(65)</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243 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603 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Impact of the Venerable Transaction (1) (2)</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(74)</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(2,176)</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(140)</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(2,141)</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Balance, December 31, 2021</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4,951 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(2,216)</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5,892 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(3,968)</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center"/>
        </w:trPr>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jc w:val="center"/>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jc w:val="center"/>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jc w:val="center"/>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jc w:val="center"/>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jc w:val="center"/>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jc w:val="center"/>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jc w:val="center"/>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jc w:val="center"/>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jc w:val="center"/>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jc w:val="center"/>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bl>
    <w:p w:rsidR="00000000" w:rsidRDefault="005B0BC3">
      <w:pPr>
        <w:ind w:hanging="360"/>
        <w:divId w:val="1229607870"/>
        <w:rPr>
          <w:rFonts w:eastAsia="Times New Roman"/>
        </w:rPr>
      </w:pPr>
      <w:r>
        <w:rPr>
          <w:rFonts w:eastAsia="Times New Roman"/>
          <w:color w:val="000000"/>
          <w:sz w:val="18"/>
          <w:szCs w:val="18"/>
        </w:rPr>
        <w:t>_____________</w:t>
      </w:r>
    </w:p>
    <w:p w:rsidR="00000000" w:rsidRDefault="005B0BC3">
      <w:pPr>
        <w:ind w:hanging="360"/>
        <w:divId w:val="1079599789"/>
        <w:rPr>
          <w:rFonts w:eastAsia="Times New Roman"/>
        </w:rPr>
      </w:pPr>
      <w:r>
        <w:rPr>
          <w:rFonts w:eastAsia="Times New Roman"/>
          <w:color w:val="000000"/>
          <w:sz w:val="18"/>
          <w:szCs w:val="18"/>
        </w:rPr>
        <w:t xml:space="preserve">(1)Change in Assumed is driven by the sale of </w:t>
      </w:r>
      <w:r>
        <w:rPr>
          <w:rFonts w:eastAsia="Times New Roman"/>
          <w:color w:val="000000"/>
          <w:sz w:val="20"/>
          <w:szCs w:val="20"/>
        </w:rPr>
        <w:t xml:space="preserve">CSLRC </w:t>
      </w:r>
      <w:r>
        <w:rPr>
          <w:rFonts w:eastAsia="Times New Roman"/>
          <w:color w:val="000000"/>
          <w:sz w:val="18"/>
          <w:szCs w:val="18"/>
        </w:rPr>
        <w:t>to Venerable.</w:t>
      </w:r>
    </w:p>
    <w:p w:rsidR="00000000" w:rsidRDefault="005B0BC3">
      <w:pPr>
        <w:ind w:hanging="360"/>
        <w:divId w:val="923537535"/>
        <w:rPr>
          <w:rFonts w:eastAsia="Times New Roman"/>
        </w:rPr>
      </w:pPr>
      <w:r>
        <w:rPr>
          <w:rFonts w:eastAsia="Times New Roman"/>
          <w:color w:val="000000"/>
          <w:sz w:val="18"/>
          <w:szCs w:val="18"/>
        </w:rPr>
        <w:t>(2)</w:t>
      </w:r>
      <w:r>
        <w:rPr>
          <w:rFonts w:eastAsia="Times New Roman"/>
          <w:color w:val="000000"/>
          <w:sz w:val="18"/>
          <w:szCs w:val="18"/>
        </w:rPr>
        <w:t>Includes the impact as of June 1, 2021 on the ceded reserves to Venerable. See Note 1 of the Notes to these Consolidated Financial Statements for details of the Venerable Transaction.</w:t>
      </w:r>
    </w:p>
    <w:p w:rsidR="00000000" w:rsidRDefault="005B0BC3">
      <w:pPr>
        <w:jc w:val="both"/>
        <w:divId w:val="1933001789"/>
        <w:rPr>
          <w:rFonts w:eastAsia="Times New Roman"/>
        </w:rPr>
      </w:pPr>
      <w:r>
        <w:rPr>
          <w:rFonts w:eastAsia="Times New Roman"/>
          <w:b/>
          <w:bCs/>
          <w:i/>
          <w:iCs/>
          <w:color w:val="000000"/>
          <w:sz w:val="20"/>
          <w:szCs w:val="20"/>
        </w:rPr>
        <w:t>Liabilities for Embedded and Freestanding Insurance Related Derivatives</w:t>
      </w:r>
    </w:p>
    <w:p w:rsidR="00000000" w:rsidRDefault="005B0BC3">
      <w:pPr>
        <w:divId w:val="1708871920"/>
        <w:rPr>
          <w:rFonts w:eastAsia="Times New Roman"/>
        </w:rPr>
      </w:pPr>
      <w:r>
        <w:rPr>
          <w:rFonts w:eastAsia="Times New Roman"/>
          <w:color w:val="000000"/>
          <w:sz w:val="20"/>
          <w:szCs w:val="20"/>
        </w:rPr>
        <w:t>The liability for the GMxB derivative features, the liability for SCS, SIO, MSO and IUL indexed features and the asset and liability for the GMIB reinsurance contracts and amounts due from reinsurers related to GMIB NLG product features (GMIB NLG Reinsuran</w:t>
      </w:r>
      <w:r>
        <w:rPr>
          <w:rFonts w:eastAsia="Times New Roman"/>
          <w:color w:val="000000"/>
          <w:sz w:val="20"/>
          <w:szCs w:val="20"/>
        </w:rPr>
        <w:t>ce) are considered embedded or freestanding insurance derivatives and are reported at fair value. For the fair value of the assets and liabilities associated with these embedded or freestanding insurance derivatives, see Note 8 of the Notes to these Consol</w:t>
      </w:r>
      <w:r>
        <w:rPr>
          <w:rFonts w:eastAsia="Times New Roman"/>
          <w:color w:val="000000"/>
          <w:sz w:val="20"/>
          <w:szCs w:val="20"/>
        </w:rPr>
        <w:t>idated Financial Statements.</w:t>
      </w:r>
    </w:p>
    <w:p w:rsidR="00000000" w:rsidRDefault="005B0BC3">
      <w:pPr>
        <w:jc w:val="both"/>
        <w:divId w:val="562495691"/>
        <w:rPr>
          <w:rFonts w:eastAsia="Times New Roman"/>
        </w:rPr>
      </w:pPr>
      <w:r>
        <w:rPr>
          <w:rFonts w:eastAsia="Times New Roman"/>
          <w:b/>
          <w:bCs/>
          <w:i/>
          <w:iCs/>
          <w:color w:val="000000"/>
          <w:sz w:val="20"/>
          <w:szCs w:val="20"/>
        </w:rPr>
        <w:t>Account Values and Net Amount at Risk</w:t>
      </w:r>
    </w:p>
    <w:p w:rsidR="00000000" w:rsidRDefault="005B0BC3">
      <w:pPr>
        <w:divId w:val="74129066"/>
        <w:rPr>
          <w:rFonts w:eastAsia="Times New Roman"/>
        </w:rPr>
      </w:pPr>
      <w:r>
        <w:rPr>
          <w:rFonts w:eastAsia="Times New Roman"/>
          <w:color w:val="000000"/>
          <w:sz w:val="20"/>
          <w:szCs w:val="20"/>
        </w:rPr>
        <w:t>Account Values and NAR for direct variable annuity contracts in force with GMDB and GMIB features as of December 31, 2021 are presented in the following tables by guarantee type. For contra</w:t>
      </w:r>
      <w:r>
        <w:rPr>
          <w:rFonts w:eastAsia="Times New Roman"/>
          <w:color w:val="000000"/>
          <w:sz w:val="20"/>
          <w:szCs w:val="20"/>
        </w:rPr>
        <w:t xml:space="preserve">cts with the GMDB feature, the NAR in the event of death is the amount by which the GMDB feature exceeds the related Account Values. For contracts with the GMIB feature, the NAR in the event of annuitization is the amount by which the present value of the </w:t>
      </w:r>
      <w:r>
        <w:rPr>
          <w:rFonts w:eastAsia="Times New Roman"/>
          <w:color w:val="000000"/>
          <w:sz w:val="20"/>
          <w:szCs w:val="20"/>
        </w:rPr>
        <w:t xml:space="preserve">GMIB benefits exceed the related Account Values, taking into account the relationship between current annuity purchase rates and the GMIB guaranteed annuity purchase rates. Since variable annuity contracts with GMDB features may also offer GMIB guarantees </w:t>
      </w:r>
      <w:r>
        <w:rPr>
          <w:rFonts w:eastAsia="Times New Roman"/>
          <w:color w:val="000000"/>
          <w:sz w:val="20"/>
          <w:szCs w:val="20"/>
        </w:rPr>
        <w:t>in the same contract, the GMDB and GMIB amounts listed are not mutually exclusive.</w:t>
      </w:r>
    </w:p>
    <w:p w:rsidR="00000000" w:rsidRDefault="005B0BC3">
      <w:pPr>
        <w:divId w:val="1700427268"/>
        <w:rPr>
          <w:rFonts w:eastAsia="Times New Roman"/>
        </w:rPr>
      </w:pPr>
    </w:p>
    <w:p w:rsidR="00000000" w:rsidRDefault="005B0BC3">
      <w:pPr>
        <w:jc w:val="center"/>
        <w:divId w:val="536430297"/>
        <w:rPr>
          <w:rFonts w:eastAsia="Times New Roman"/>
        </w:rPr>
      </w:pPr>
      <w:r>
        <w:rPr>
          <w:rFonts w:eastAsia="Times New Roman"/>
          <w:color w:val="000000"/>
          <w:sz w:val="20"/>
          <w:szCs w:val="20"/>
        </w:rPr>
        <w:t>194</w:t>
      </w:r>
    </w:p>
    <w:p w:rsidR="00000000" w:rsidRDefault="005B0BC3">
      <w:pPr>
        <w:rPr>
          <w:rFonts w:eastAsia="Times New Roman"/>
        </w:rPr>
      </w:pPr>
      <w:r>
        <w:rPr>
          <w:rFonts w:eastAsia="Times New Roman"/>
        </w:rPr>
        <w:pict>
          <v:rect id="_x0000_i1232" style="width:0;height:1.5pt" o:hralign="center" o:hrstd="t" o:hr="t" fillcolor="#a0a0a0" stroked="f"/>
        </w:pict>
      </w:r>
    </w:p>
    <w:p w:rsidR="00000000" w:rsidRDefault="005B0BC3">
      <w:pPr>
        <w:jc w:val="center"/>
        <w:divId w:val="1266883433"/>
        <w:rPr>
          <w:rFonts w:eastAsia="Times New Roman"/>
        </w:rPr>
      </w:pPr>
      <w:r>
        <w:rPr>
          <w:rFonts w:eastAsia="Times New Roman"/>
          <w:b/>
          <w:bCs/>
          <w:color w:val="000000"/>
          <w:sz w:val="20"/>
          <w:szCs w:val="20"/>
        </w:rPr>
        <w:t>EQUITABLE HOLDINGS, INC.</w:t>
      </w:r>
    </w:p>
    <w:p w:rsidR="00000000" w:rsidRDefault="005B0BC3">
      <w:pPr>
        <w:jc w:val="center"/>
        <w:divId w:val="1266883433"/>
        <w:rPr>
          <w:rFonts w:eastAsia="Times New Roman"/>
        </w:rPr>
      </w:pPr>
      <w:r>
        <w:rPr>
          <w:rFonts w:eastAsia="Times New Roman"/>
          <w:b/>
          <w:bCs/>
          <w:color w:val="000000"/>
          <w:sz w:val="20"/>
          <w:szCs w:val="20"/>
        </w:rPr>
        <w:t>NOTES TO CONSOLIDATED FINANCIAL STATEMENTS, continued</w:t>
      </w:r>
    </w:p>
    <w:p w:rsidR="00000000" w:rsidRDefault="005B0BC3">
      <w:pPr>
        <w:divId w:val="643780399"/>
        <w:rPr>
          <w:rFonts w:eastAsia="Times New Roman"/>
        </w:rPr>
      </w:pPr>
    </w:p>
    <w:p w:rsidR="00000000" w:rsidRDefault="005B0BC3">
      <w:pPr>
        <w:jc w:val="center"/>
        <w:rPr>
          <w:rFonts w:eastAsia="Times New Roman"/>
        </w:rPr>
      </w:pPr>
      <w:r>
        <w:rPr>
          <w:rFonts w:eastAsia="Times New Roman"/>
          <w:b/>
          <w:bCs/>
          <w:color w:val="000000"/>
          <w:sz w:val="20"/>
          <w:szCs w:val="20"/>
        </w:rPr>
        <w:t>Direct Variable Annuity Contracts with GMDB and GMIB Features</w:t>
      </w:r>
    </w:p>
    <w:p w:rsidR="00000000" w:rsidRDefault="005B0BC3">
      <w:pPr>
        <w:jc w:val="center"/>
        <w:rPr>
          <w:rFonts w:eastAsia="Times New Roman"/>
        </w:rPr>
      </w:pPr>
      <w:r>
        <w:rPr>
          <w:rFonts w:eastAsia="Times New Roman"/>
          <w:b/>
          <w:bCs/>
          <w:color w:val="000000"/>
          <w:sz w:val="20"/>
          <w:szCs w:val="20"/>
        </w:rPr>
        <w:t>as of December 31, 2021</w:t>
      </w:r>
    </w:p>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3192"/>
        <w:gridCol w:w="37"/>
        <w:gridCol w:w="121"/>
        <w:gridCol w:w="604"/>
        <w:gridCol w:w="220"/>
        <w:gridCol w:w="36"/>
        <w:gridCol w:w="36"/>
        <w:gridCol w:w="36"/>
        <w:gridCol w:w="121"/>
        <w:gridCol w:w="541"/>
        <w:gridCol w:w="220"/>
        <w:gridCol w:w="36"/>
        <w:gridCol w:w="36"/>
        <w:gridCol w:w="36"/>
        <w:gridCol w:w="120"/>
        <w:gridCol w:w="583"/>
        <w:gridCol w:w="222"/>
        <w:gridCol w:w="36"/>
        <w:gridCol w:w="36"/>
        <w:gridCol w:w="36"/>
        <w:gridCol w:w="121"/>
        <w:gridCol w:w="479"/>
        <w:gridCol w:w="220"/>
        <w:gridCol w:w="36"/>
        <w:gridCol w:w="36"/>
        <w:gridCol w:w="36"/>
        <w:gridCol w:w="121"/>
        <w:gridCol w:w="683"/>
        <w:gridCol w:w="220"/>
      </w:tblGrid>
      <w:tr w:rsidR="00000000">
        <w:trPr>
          <w:divId w:val="416290046"/>
          <w:jc w:val="center"/>
        </w:trPr>
        <w:tc>
          <w:tcPr>
            <w:tcW w:w="50" w:type="pct"/>
            <w:vAlign w:val="center"/>
            <w:hideMark/>
          </w:tcPr>
          <w:p w:rsidR="00000000" w:rsidRDefault="005B0BC3">
            <w:pPr>
              <w:jc w:val="center"/>
              <w:rPr>
                <w:rFonts w:eastAsia="Times New Roman"/>
              </w:rPr>
            </w:pPr>
          </w:p>
        </w:tc>
        <w:tc>
          <w:tcPr>
            <w:tcW w:w="232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4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4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416290046"/>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Guarantee Type</w:t>
            </w:r>
          </w:p>
        </w:tc>
      </w:tr>
      <w:tr w:rsidR="00000000">
        <w:trPr>
          <w:divId w:val="416290046"/>
          <w:jc w:val="center"/>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Return of Premium</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Ratchet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Roll-Up</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Combo</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Total</w:t>
            </w:r>
          </w:p>
        </w:tc>
      </w:tr>
      <w:tr w:rsidR="00000000">
        <w:trPr>
          <w:divId w:val="416290046"/>
          <w:jc w:val="center"/>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27"/>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 except age and interest rate)</w:t>
            </w:r>
          </w:p>
        </w:tc>
      </w:tr>
      <w:tr w:rsidR="00000000">
        <w:trPr>
          <w:divId w:val="416290046"/>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u w:val="single"/>
              </w:rPr>
              <w:t>Variable annuity contracts with GMDB features</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416290046"/>
          <w:jc w:val="center"/>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Account Values invested in:</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416290046"/>
          <w:jc w:val="center"/>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General Account</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5B0BC3">
            <w:pPr>
              <w:spacing w:after="100"/>
              <w:jc w:val="right"/>
              <w:rPr>
                <w:rFonts w:eastAsia="Times New Roman"/>
              </w:rPr>
            </w:pPr>
            <w:r>
              <w:rPr>
                <w:rFonts w:eastAsia="Times New Roman"/>
                <w:b/>
                <w:bCs/>
                <w:color w:val="000000"/>
                <w:sz w:val="20"/>
                <w:szCs w:val="20"/>
              </w:rPr>
              <w:t>16,188</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5B0BC3">
            <w:pPr>
              <w:spacing w:after="100"/>
              <w:jc w:val="right"/>
              <w:rPr>
                <w:rFonts w:eastAsia="Times New Roman"/>
              </w:rPr>
            </w:pPr>
            <w:r>
              <w:rPr>
                <w:rFonts w:eastAsia="Times New Roman"/>
                <w:b/>
                <w:bCs/>
                <w:color w:val="000000"/>
                <w:sz w:val="20"/>
                <w:szCs w:val="20"/>
              </w:rPr>
              <w:t>84</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5B0BC3">
            <w:pPr>
              <w:spacing w:after="100"/>
              <w:jc w:val="right"/>
              <w:rPr>
                <w:rFonts w:eastAsia="Times New Roman"/>
              </w:rPr>
            </w:pPr>
            <w:r>
              <w:rPr>
                <w:rFonts w:eastAsia="Times New Roman"/>
                <w:b/>
                <w:bCs/>
                <w:color w:val="000000"/>
                <w:sz w:val="20"/>
                <w:szCs w:val="20"/>
              </w:rPr>
              <w:t>51</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5B0BC3">
            <w:pPr>
              <w:spacing w:after="100"/>
              <w:jc w:val="right"/>
              <w:rPr>
                <w:rFonts w:eastAsia="Times New Roman"/>
              </w:rPr>
            </w:pPr>
            <w:r>
              <w:rPr>
                <w:rFonts w:eastAsia="Times New Roman"/>
                <w:b/>
                <w:bCs/>
                <w:color w:val="000000"/>
                <w:sz w:val="20"/>
                <w:szCs w:val="20"/>
              </w:rPr>
              <w:t>156</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5B0BC3">
            <w:pPr>
              <w:spacing w:after="100"/>
              <w:jc w:val="right"/>
              <w:rPr>
                <w:rFonts w:eastAsia="Times New Roman"/>
              </w:rPr>
            </w:pPr>
            <w:r>
              <w:rPr>
                <w:rFonts w:eastAsia="Times New Roman"/>
                <w:b/>
                <w:bCs/>
                <w:color w:val="000000"/>
                <w:sz w:val="20"/>
                <w:szCs w:val="20"/>
              </w:rPr>
              <w:t>16,479</w:t>
            </w:r>
          </w:p>
        </w:tc>
      </w:tr>
      <w:tr w:rsidR="00000000">
        <w:trPr>
          <w:divId w:val="416290046"/>
          <w:jc w:val="center"/>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Separate Accounts</w:t>
            </w:r>
          </w:p>
        </w:tc>
        <w:tc>
          <w:tcPr>
            <w:tcW w:w="0" w:type="auto"/>
            <w:gridSpan w:val="3"/>
            <w:shd w:val="clear" w:color="auto" w:fill="FFFFFF"/>
            <w:tcMar>
              <w:top w:w="30" w:type="dxa"/>
              <w:left w:w="20" w:type="dxa"/>
              <w:bottom w:w="30" w:type="dxa"/>
              <w:right w:w="140" w:type="dxa"/>
            </w:tcMar>
            <w:vAlign w:val="bottom"/>
            <w:hideMark/>
          </w:tcPr>
          <w:p w:rsidR="00000000" w:rsidRDefault="005B0BC3">
            <w:pPr>
              <w:spacing w:after="100"/>
              <w:jc w:val="right"/>
              <w:rPr>
                <w:rFonts w:eastAsia="Times New Roman"/>
              </w:rPr>
            </w:pPr>
            <w:r>
              <w:rPr>
                <w:rFonts w:eastAsia="Times New Roman"/>
                <w:b/>
                <w:bCs/>
                <w:color w:val="000000"/>
                <w:sz w:val="20"/>
                <w:szCs w:val="20"/>
              </w:rPr>
              <w:t>59,819</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5B0BC3">
            <w:pPr>
              <w:spacing w:after="100"/>
              <w:jc w:val="right"/>
              <w:rPr>
                <w:rFonts w:eastAsia="Times New Roman"/>
              </w:rPr>
            </w:pPr>
            <w:r>
              <w:rPr>
                <w:rFonts w:eastAsia="Times New Roman"/>
                <w:b/>
                <w:bCs/>
                <w:color w:val="000000"/>
                <w:sz w:val="20"/>
                <w:szCs w:val="20"/>
              </w:rPr>
              <w:t>9,860</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5B0BC3">
            <w:pPr>
              <w:spacing w:after="100"/>
              <w:jc w:val="right"/>
              <w:rPr>
                <w:rFonts w:eastAsia="Times New Roman"/>
              </w:rPr>
            </w:pPr>
            <w:r>
              <w:rPr>
                <w:rFonts w:eastAsia="Times New Roman"/>
                <w:b/>
                <w:bCs/>
                <w:color w:val="000000"/>
                <w:sz w:val="20"/>
                <w:szCs w:val="20"/>
              </w:rPr>
              <w:t>3,412</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5B0BC3">
            <w:pPr>
              <w:spacing w:after="100"/>
              <w:jc w:val="right"/>
              <w:rPr>
                <w:rFonts w:eastAsia="Times New Roman"/>
              </w:rPr>
            </w:pPr>
            <w:r>
              <w:rPr>
                <w:rFonts w:eastAsia="Times New Roman"/>
                <w:b/>
                <w:bCs/>
                <w:color w:val="000000"/>
                <w:sz w:val="20"/>
                <w:szCs w:val="20"/>
              </w:rPr>
              <w:t>34,486</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5B0BC3">
            <w:pPr>
              <w:spacing w:after="100"/>
              <w:jc w:val="right"/>
              <w:rPr>
                <w:rFonts w:eastAsia="Times New Roman"/>
              </w:rPr>
            </w:pPr>
            <w:r>
              <w:rPr>
                <w:rFonts w:eastAsia="Times New Roman"/>
                <w:b/>
                <w:bCs/>
                <w:color w:val="000000"/>
                <w:sz w:val="20"/>
                <w:szCs w:val="20"/>
              </w:rPr>
              <w:t>107,577</w:t>
            </w:r>
          </w:p>
        </w:tc>
      </w:tr>
      <w:tr w:rsidR="00000000">
        <w:trPr>
          <w:divId w:val="416290046"/>
          <w:jc w:val="center"/>
        </w:trPr>
        <w:tc>
          <w:tcPr>
            <w:tcW w:w="0" w:type="auto"/>
            <w:gridSpan w:val="3"/>
            <w:shd w:val="clear" w:color="auto" w:fill="CCEE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Total Account Values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gridSpan w:val="2"/>
            <w:tcBorders>
              <w:top w:val="single" w:sz="4" w:space="0" w:color="000000"/>
            </w:tcBorders>
            <w:shd w:val="clear" w:color="auto" w:fill="CCEEFF"/>
            <w:tcMar>
              <w:top w:w="30" w:type="dxa"/>
              <w:left w:w="0" w:type="dxa"/>
              <w:bottom w:w="30" w:type="dxa"/>
              <w:right w:w="140" w:type="dxa"/>
            </w:tcMar>
            <w:vAlign w:val="bottom"/>
            <w:hideMark/>
          </w:tcPr>
          <w:p w:rsidR="00000000" w:rsidRDefault="005B0BC3">
            <w:pPr>
              <w:spacing w:after="100"/>
              <w:jc w:val="right"/>
              <w:rPr>
                <w:rFonts w:eastAsia="Times New Roman"/>
              </w:rPr>
            </w:pPr>
            <w:r>
              <w:rPr>
                <w:rFonts w:eastAsia="Times New Roman"/>
                <w:b/>
                <w:bCs/>
                <w:color w:val="000000"/>
                <w:sz w:val="20"/>
                <w:szCs w:val="20"/>
              </w:rPr>
              <w:t>76,007</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gridSpan w:val="2"/>
            <w:tcBorders>
              <w:top w:val="single" w:sz="4" w:space="0" w:color="000000"/>
            </w:tcBorders>
            <w:shd w:val="clear" w:color="auto" w:fill="CCEEFF"/>
            <w:tcMar>
              <w:top w:w="30" w:type="dxa"/>
              <w:left w:w="0" w:type="dxa"/>
              <w:bottom w:w="30" w:type="dxa"/>
              <w:right w:w="140" w:type="dxa"/>
            </w:tcMar>
            <w:vAlign w:val="bottom"/>
            <w:hideMark/>
          </w:tcPr>
          <w:p w:rsidR="00000000" w:rsidRDefault="005B0BC3">
            <w:pPr>
              <w:spacing w:after="100"/>
              <w:jc w:val="right"/>
              <w:rPr>
                <w:rFonts w:eastAsia="Times New Roman"/>
              </w:rPr>
            </w:pPr>
            <w:r>
              <w:rPr>
                <w:rFonts w:eastAsia="Times New Roman"/>
                <w:b/>
                <w:bCs/>
                <w:color w:val="000000"/>
                <w:sz w:val="20"/>
                <w:szCs w:val="20"/>
              </w:rPr>
              <w:t>9,944</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gridSpan w:val="2"/>
            <w:tcBorders>
              <w:top w:val="single" w:sz="4" w:space="0" w:color="000000"/>
            </w:tcBorders>
            <w:shd w:val="clear" w:color="auto" w:fill="CCEEFF"/>
            <w:tcMar>
              <w:top w:w="30" w:type="dxa"/>
              <w:left w:w="0" w:type="dxa"/>
              <w:bottom w:w="30" w:type="dxa"/>
              <w:right w:w="140" w:type="dxa"/>
            </w:tcMar>
            <w:vAlign w:val="bottom"/>
            <w:hideMark/>
          </w:tcPr>
          <w:p w:rsidR="00000000" w:rsidRDefault="005B0BC3">
            <w:pPr>
              <w:spacing w:after="100"/>
              <w:jc w:val="right"/>
              <w:rPr>
                <w:rFonts w:eastAsia="Times New Roman"/>
              </w:rPr>
            </w:pPr>
            <w:r>
              <w:rPr>
                <w:rFonts w:eastAsia="Times New Roman"/>
                <w:b/>
                <w:bCs/>
                <w:color w:val="000000"/>
                <w:sz w:val="20"/>
                <w:szCs w:val="20"/>
              </w:rPr>
              <w:t>3,463</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gridSpan w:val="2"/>
            <w:tcBorders>
              <w:top w:val="single" w:sz="4" w:space="0" w:color="000000"/>
            </w:tcBorders>
            <w:shd w:val="clear" w:color="auto" w:fill="CCEEFF"/>
            <w:tcMar>
              <w:top w:w="30" w:type="dxa"/>
              <w:left w:w="0" w:type="dxa"/>
              <w:bottom w:w="30" w:type="dxa"/>
              <w:right w:w="140" w:type="dxa"/>
            </w:tcMar>
            <w:vAlign w:val="bottom"/>
            <w:hideMark/>
          </w:tcPr>
          <w:p w:rsidR="00000000" w:rsidRDefault="005B0BC3">
            <w:pPr>
              <w:spacing w:after="100"/>
              <w:jc w:val="right"/>
              <w:rPr>
                <w:rFonts w:eastAsia="Times New Roman"/>
              </w:rPr>
            </w:pPr>
            <w:r>
              <w:rPr>
                <w:rFonts w:eastAsia="Times New Roman"/>
                <w:b/>
                <w:bCs/>
                <w:color w:val="000000"/>
                <w:sz w:val="20"/>
                <w:szCs w:val="20"/>
              </w:rPr>
              <w:t>34,642</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gridSpan w:val="2"/>
            <w:tcBorders>
              <w:top w:val="single" w:sz="4" w:space="0" w:color="000000"/>
            </w:tcBorders>
            <w:shd w:val="clear" w:color="auto" w:fill="CCEEFF"/>
            <w:tcMar>
              <w:top w:w="30" w:type="dxa"/>
              <w:left w:w="0" w:type="dxa"/>
              <w:bottom w:w="30" w:type="dxa"/>
              <w:right w:w="140" w:type="dxa"/>
            </w:tcMar>
            <w:vAlign w:val="bottom"/>
            <w:hideMark/>
          </w:tcPr>
          <w:p w:rsidR="00000000" w:rsidRDefault="005B0BC3">
            <w:pPr>
              <w:spacing w:after="100"/>
              <w:jc w:val="right"/>
              <w:rPr>
                <w:rFonts w:eastAsia="Times New Roman"/>
              </w:rPr>
            </w:pPr>
            <w:r>
              <w:rPr>
                <w:rFonts w:eastAsia="Times New Roman"/>
                <w:b/>
                <w:bCs/>
                <w:color w:val="000000"/>
                <w:sz w:val="20"/>
                <w:szCs w:val="20"/>
              </w:rPr>
              <w:t>124,056</w:t>
            </w:r>
          </w:p>
        </w:tc>
      </w:tr>
      <w:tr w:rsidR="00000000">
        <w:trPr>
          <w:divId w:val="416290046"/>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416290046"/>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NAR, gross</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5B0BC3">
            <w:pPr>
              <w:spacing w:after="100"/>
              <w:jc w:val="right"/>
              <w:rPr>
                <w:rFonts w:eastAsia="Times New Roman"/>
              </w:rPr>
            </w:pPr>
            <w:r>
              <w:rPr>
                <w:rFonts w:eastAsia="Times New Roman"/>
                <w:b/>
                <w:bCs/>
                <w:color w:val="000000"/>
                <w:sz w:val="20"/>
                <w:szCs w:val="20"/>
              </w:rPr>
              <w:t>1,333</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5B0BC3">
            <w:pPr>
              <w:spacing w:after="100"/>
              <w:jc w:val="right"/>
              <w:rPr>
                <w:rFonts w:eastAsia="Times New Roman"/>
              </w:rPr>
            </w:pPr>
            <w:r>
              <w:rPr>
                <w:rFonts w:eastAsia="Times New Roman"/>
                <w:b/>
                <w:bCs/>
                <w:color w:val="000000"/>
                <w:sz w:val="20"/>
                <w:szCs w:val="20"/>
              </w:rPr>
              <w:t>15,732</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5B0BC3">
            <w:pPr>
              <w:spacing w:after="100"/>
              <w:jc w:val="right"/>
              <w:rPr>
                <w:rFonts w:eastAsia="Times New Roman"/>
              </w:rPr>
            </w:pPr>
            <w:r>
              <w:rPr>
                <w:rFonts w:eastAsia="Times New Roman"/>
                <w:b/>
                <w:bCs/>
                <w:color w:val="000000"/>
                <w:sz w:val="20"/>
                <w:szCs w:val="20"/>
              </w:rPr>
              <w:t>17,185</w:t>
            </w:r>
          </w:p>
        </w:tc>
      </w:tr>
      <w:tr w:rsidR="00000000">
        <w:trPr>
          <w:divId w:val="416290046"/>
          <w:jc w:val="center"/>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NAR, net of amounts reinsured</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86</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26</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gridSpan w:val="2"/>
            <w:tcBorders>
              <w:top w:val="double" w:sz="6" w:space="0" w:color="000000"/>
            </w:tcBorders>
            <w:shd w:val="clear" w:color="auto" w:fill="FFFFFF"/>
            <w:tcMar>
              <w:top w:w="30" w:type="dxa"/>
              <w:left w:w="0" w:type="dxa"/>
              <w:bottom w:w="30" w:type="dxa"/>
              <w:right w:w="140" w:type="dxa"/>
            </w:tcMar>
            <w:vAlign w:val="bottom"/>
            <w:hideMark/>
          </w:tcPr>
          <w:p w:rsidR="00000000" w:rsidRDefault="005B0BC3">
            <w:pPr>
              <w:spacing w:after="100"/>
              <w:jc w:val="right"/>
              <w:rPr>
                <w:rFonts w:eastAsia="Times New Roman"/>
              </w:rPr>
            </w:pPr>
            <w:r>
              <w:rPr>
                <w:rFonts w:eastAsia="Times New Roman"/>
                <w:b/>
                <w:bCs/>
                <w:color w:val="000000"/>
                <w:sz w:val="20"/>
                <w:szCs w:val="20"/>
              </w:rPr>
              <w:t>937</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gridSpan w:val="2"/>
            <w:tcBorders>
              <w:top w:val="double" w:sz="6" w:space="0" w:color="000000"/>
            </w:tcBorders>
            <w:shd w:val="clear" w:color="auto" w:fill="FFFFFF"/>
            <w:tcMar>
              <w:top w:w="30" w:type="dxa"/>
              <w:left w:w="0" w:type="dxa"/>
              <w:bottom w:w="30" w:type="dxa"/>
              <w:right w:w="140" w:type="dxa"/>
            </w:tcMar>
            <w:vAlign w:val="bottom"/>
            <w:hideMark/>
          </w:tcPr>
          <w:p w:rsidR="00000000" w:rsidRDefault="005B0BC3">
            <w:pPr>
              <w:spacing w:after="100"/>
              <w:jc w:val="right"/>
              <w:rPr>
                <w:rFonts w:eastAsia="Times New Roman"/>
              </w:rPr>
            </w:pPr>
            <w:r>
              <w:rPr>
                <w:rFonts w:eastAsia="Times New Roman"/>
                <w:b/>
                <w:bCs/>
                <w:color w:val="000000"/>
                <w:sz w:val="20"/>
                <w:szCs w:val="20"/>
              </w:rPr>
              <w:t>7,948</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gridSpan w:val="2"/>
            <w:tcBorders>
              <w:top w:val="double" w:sz="6" w:space="0" w:color="000000"/>
            </w:tcBorders>
            <w:shd w:val="clear" w:color="auto" w:fill="FFFFFF"/>
            <w:tcMar>
              <w:top w:w="30" w:type="dxa"/>
              <w:left w:w="0" w:type="dxa"/>
              <w:bottom w:w="30" w:type="dxa"/>
              <w:right w:w="140" w:type="dxa"/>
            </w:tcMar>
            <w:vAlign w:val="bottom"/>
            <w:hideMark/>
          </w:tcPr>
          <w:p w:rsidR="00000000" w:rsidRDefault="005B0BC3">
            <w:pPr>
              <w:spacing w:after="100"/>
              <w:jc w:val="right"/>
              <w:rPr>
                <w:rFonts w:eastAsia="Times New Roman"/>
              </w:rPr>
            </w:pPr>
            <w:r>
              <w:rPr>
                <w:rFonts w:eastAsia="Times New Roman"/>
                <w:b/>
                <w:bCs/>
                <w:color w:val="000000"/>
                <w:sz w:val="20"/>
                <w:szCs w:val="20"/>
              </w:rPr>
              <w:t>8,997</w:t>
            </w:r>
          </w:p>
        </w:tc>
      </w:tr>
      <w:tr w:rsidR="00000000">
        <w:trPr>
          <w:divId w:val="416290046"/>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416290046"/>
          <w:jc w:val="center"/>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Average attained age of policyholders (in years)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75.5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416290046"/>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Percentage of policyholders over age 70</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72.6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20.7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p>
        </w:tc>
      </w:tr>
      <w:tr w:rsidR="00000000">
        <w:trPr>
          <w:divId w:val="416290046"/>
          <w:jc w:val="center"/>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Range of contractually specified interest rates</w:t>
            </w:r>
          </w:p>
        </w:tc>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3% - 6%</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3% - 6.5%</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3% - 6.5%</w:t>
            </w:r>
          </w:p>
        </w:tc>
      </w:tr>
      <w:tr w:rsidR="00000000">
        <w:trPr>
          <w:divId w:val="416290046"/>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416290046"/>
          <w:jc w:val="center"/>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u w:val="single"/>
              </w:rPr>
              <w:t>Variable annuity contracts with GMIB features</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416290046"/>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Account Values invested in:</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416290046"/>
          <w:jc w:val="center"/>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General Account</w:t>
            </w: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5B0BC3">
            <w:pPr>
              <w:spacing w:after="100"/>
              <w:jc w:val="right"/>
              <w:rPr>
                <w:rFonts w:eastAsia="Times New Roman"/>
              </w:rPr>
            </w:pPr>
            <w:r>
              <w:rPr>
                <w:rFonts w:eastAsia="Times New Roman"/>
                <w:b/>
                <w:bCs/>
                <w:color w:val="000000"/>
                <w:sz w:val="20"/>
                <w:szCs w:val="20"/>
              </w:rPr>
              <w:t>16</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5B0BC3">
            <w:pPr>
              <w:spacing w:after="100"/>
              <w:jc w:val="right"/>
              <w:rPr>
                <w:rFonts w:eastAsia="Times New Roman"/>
              </w:rPr>
            </w:pPr>
            <w:r>
              <w:rPr>
                <w:rFonts w:eastAsia="Times New Roman"/>
                <w:b/>
                <w:bCs/>
                <w:color w:val="000000"/>
                <w:sz w:val="20"/>
                <w:szCs w:val="20"/>
              </w:rPr>
              <w:t>202</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5B0BC3">
            <w:pPr>
              <w:spacing w:after="100"/>
              <w:jc w:val="right"/>
              <w:rPr>
                <w:rFonts w:eastAsia="Times New Roman"/>
              </w:rPr>
            </w:pPr>
            <w:r>
              <w:rPr>
                <w:rFonts w:eastAsia="Times New Roman"/>
                <w:b/>
                <w:bCs/>
                <w:color w:val="000000"/>
                <w:sz w:val="20"/>
                <w:szCs w:val="20"/>
              </w:rPr>
              <w:t>218</w:t>
            </w:r>
          </w:p>
        </w:tc>
      </w:tr>
      <w:tr w:rsidR="00000000">
        <w:trPr>
          <w:divId w:val="416290046"/>
          <w:jc w:val="center"/>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Separate Accounts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5B0BC3">
            <w:pPr>
              <w:spacing w:after="100"/>
              <w:jc w:val="right"/>
              <w:rPr>
                <w:rFonts w:eastAsia="Times New Roman"/>
              </w:rPr>
            </w:pPr>
            <w:r>
              <w:rPr>
                <w:rFonts w:eastAsia="Times New Roman"/>
                <w:b/>
                <w:bCs/>
                <w:color w:val="000000"/>
                <w:sz w:val="20"/>
                <w:szCs w:val="20"/>
              </w:rPr>
              <w:t>26,443</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5B0BC3">
            <w:pPr>
              <w:spacing w:after="100"/>
              <w:jc w:val="right"/>
              <w:rPr>
                <w:rFonts w:eastAsia="Times New Roman"/>
              </w:rPr>
            </w:pPr>
            <w:r>
              <w:rPr>
                <w:rFonts w:eastAsia="Times New Roman"/>
                <w:b/>
                <w:bCs/>
                <w:color w:val="000000"/>
                <w:sz w:val="20"/>
                <w:szCs w:val="20"/>
              </w:rPr>
              <w:t>36,833</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5B0BC3">
            <w:pPr>
              <w:spacing w:after="100"/>
              <w:jc w:val="right"/>
              <w:rPr>
                <w:rFonts w:eastAsia="Times New Roman"/>
              </w:rPr>
            </w:pPr>
            <w:r>
              <w:rPr>
                <w:rFonts w:eastAsia="Times New Roman"/>
                <w:b/>
                <w:bCs/>
                <w:color w:val="000000"/>
                <w:sz w:val="20"/>
                <w:szCs w:val="20"/>
              </w:rPr>
              <w:t>63,276</w:t>
            </w:r>
          </w:p>
        </w:tc>
      </w:tr>
      <w:tr w:rsidR="00000000">
        <w:trPr>
          <w:divId w:val="416290046"/>
          <w:jc w:val="center"/>
        </w:trPr>
        <w:tc>
          <w:tcPr>
            <w:tcW w:w="0" w:type="auto"/>
            <w:gridSpan w:val="3"/>
            <w:shd w:val="clear" w:color="auto" w:fill="FFFF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Total Account Values</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gridSpan w:val="2"/>
            <w:tcBorders>
              <w:top w:val="single" w:sz="4" w:space="0" w:color="000000"/>
            </w:tcBorders>
            <w:shd w:val="clear" w:color="auto" w:fill="FFFFFF"/>
            <w:tcMar>
              <w:top w:w="30" w:type="dxa"/>
              <w:left w:w="0" w:type="dxa"/>
              <w:bottom w:w="30" w:type="dxa"/>
              <w:right w:w="140" w:type="dxa"/>
            </w:tcMar>
            <w:vAlign w:val="bottom"/>
            <w:hideMark/>
          </w:tcPr>
          <w:p w:rsidR="00000000" w:rsidRDefault="005B0BC3">
            <w:pPr>
              <w:spacing w:after="100"/>
              <w:jc w:val="right"/>
              <w:rPr>
                <w:rFonts w:eastAsia="Times New Roman"/>
              </w:rPr>
            </w:pPr>
            <w:r>
              <w:rPr>
                <w:rFonts w:eastAsia="Times New Roman"/>
                <w:b/>
                <w:bCs/>
                <w:color w:val="000000"/>
                <w:sz w:val="20"/>
                <w:szCs w:val="20"/>
              </w:rPr>
              <w:t>26,459</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gridSpan w:val="2"/>
            <w:tcBorders>
              <w:top w:val="single" w:sz="4" w:space="0" w:color="000000"/>
            </w:tcBorders>
            <w:shd w:val="clear" w:color="auto" w:fill="FFFFFF"/>
            <w:tcMar>
              <w:top w:w="30" w:type="dxa"/>
              <w:left w:w="0" w:type="dxa"/>
              <w:bottom w:w="30" w:type="dxa"/>
              <w:right w:w="140" w:type="dxa"/>
            </w:tcMar>
            <w:vAlign w:val="bottom"/>
            <w:hideMark/>
          </w:tcPr>
          <w:p w:rsidR="00000000" w:rsidRDefault="005B0BC3">
            <w:pPr>
              <w:spacing w:after="100"/>
              <w:jc w:val="right"/>
              <w:rPr>
                <w:rFonts w:eastAsia="Times New Roman"/>
              </w:rPr>
            </w:pPr>
            <w:r>
              <w:rPr>
                <w:rFonts w:eastAsia="Times New Roman"/>
                <w:b/>
                <w:bCs/>
                <w:color w:val="000000"/>
                <w:sz w:val="20"/>
                <w:szCs w:val="20"/>
              </w:rPr>
              <w:t>37,035</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gridSpan w:val="2"/>
            <w:tcBorders>
              <w:top w:val="single" w:sz="4" w:space="0" w:color="000000"/>
            </w:tcBorders>
            <w:shd w:val="clear" w:color="auto" w:fill="FFFFFF"/>
            <w:tcMar>
              <w:top w:w="30" w:type="dxa"/>
              <w:left w:w="0" w:type="dxa"/>
              <w:bottom w:w="30" w:type="dxa"/>
              <w:right w:w="140" w:type="dxa"/>
            </w:tcMar>
            <w:vAlign w:val="bottom"/>
            <w:hideMark/>
          </w:tcPr>
          <w:p w:rsidR="00000000" w:rsidRDefault="005B0BC3">
            <w:pPr>
              <w:spacing w:after="100"/>
              <w:jc w:val="right"/>
              <w:rPr>
                <w:rFonts w:eastAsia="Times New Roman"/>
              </w:rPr>
            </w:pPr>
            <w:r>
              <w:rPr>
                <w:rFonts w:eastAsia="Times New Roman"/>
                <w:b/>
                <w:bCs/>
                <w:color w:val="000000"/>
                <w:sz w:val="20"/>
                <w:szCs w:val="20"/>
              </w:rPr>
              <w:t>63,494</w:t>
            </w:r>
          </w:p>
        </w:tc>
      </w:tr>
      <w:tr w:rsidR="00000000">
        <w:trPr>
          <w:divId w:val="416290046"/>
          <w:trHeight w:val="280"/>
          <w:jc w:val="center"/>
        </w:trPr>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416290046"/>
          <w:jc w:val="center"/>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NAR, gross</w:t>
            </w: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5B0BC3">
            <w:pPr>
              <w:spacing w:after="100"/>
              <w:jc w:val="right"/>
              <w:rPr>
                <w:rFonts w:eastAsia="Times New Roman"/>
              </w:rPr>
            </w:pPr>
            <w:r>
              <w:rPr>
                <w:rFonts w:eastAsia="Times New Roman"/>
                <w:b/>
                <w:bCs/>
                <w:color w:val="000000"/>
                <w:sz w:val="20"/>
                <w:szCs w:val="20"/>
              </w:rPr>
              <w:t>632</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5B0BC3">
            <w:pPr>
              <w:spacing w:after="100"/>
              <w:jc w:val="right"/>
              <w:rPr>
                <w:rFonts w:eastAsia="Times New Roman"/>
              </w:rPr>
            </w:pPr>
            <w:r>
              <w:rPr>
                <w:rFonts w:eastAsia="Times New Roman"/>
                <w:b/>
                <w:bCs/>
                <w:color w:val="000000"/>
                <w:sz w:val="20"/>
                <w:szCs w:val="20"/>
              </w:rPr>
              <w:t>9,093</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5B0BC3">
            <w:pPr>
              <w:spacing w:after="100"/>
              <w:jc w:val="right"/>
              <w:rPr>
                <w:rFonts w:eastAsia="Times New Roman"/>
              </w:rPr>
            </w:pPr>
            <w:r>
              <w:rPr>
                <w:rFonts w:eastAsia="Times New Roman"/>
                <w:b/>
                <w:bCs/>
                <w:color w:val="000000"/>
                <w:sz w:val="20"/>
                <w:szCs w:val="20"/>
              </w:rPr>
              <w:t>9,725</w:t>
            </w:r>
          </w:p>
        </w:tc>
      </w:tr>
      <w:tr w:rsidR="00000000">
        <w:trPr>
          <w:divId w:val="416290046"/>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NAR, net of amounts reinsured</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gridSpan w:val="2"/>
            <w:tcBorders>
              <w:top w:val="double" w:sz="6" w:space="0" w:color="000000"/>
            </w:tcBorders>
            <w:shd w:val="clear" w:color="auto" w:fill="CCEEFF"/>
            <w:tcMar>
              <w:top w:w="30" w:type="dxa"/>
              <w:left w:w="0" w:type="dxa"/>
              <w:bottom w:w="30" w:type="dxa"/>
              <w:right w:w="14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gridSpan w:val="2"/>
            <w:tcBorders>
              <w:top w:val="double" w:sz="6" w:space="0" w:color="000000"/>
            </w:tcBorders>
            <w:shd w:val="clear" w:color="auto" w:fill="CCEEFF"/>
            <w:tcMar>
              <w:top w:w="30" w:type="dxa"/>
              <w:left w:w="0" w:type="dxa"/>
              <w:bottom w:w="30" w:type="dxa"/>
              <w:right w:w="14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gridSpan w:val="2"/>
            <w:tcBorders>
              <w:top w:val="double" w:sz="6" w:space="0" w:color="000000"/>
            </w:tcBorders>
            <w:shd w:val="clear" w:color="auto" w:fill="CCEEFF"/>
            <w:tcMar>
              <w:top w:w="30" w:type="dxa"/>
              <w:left w:w="0" w:type="dxa"/>
              <w:bottom w:w="30" w:type="dxa"/>
              <w:right w:w="140" w:type="dxa"/>
            </w:tcMar>
            <w:vAlign w:val="bottom"/>
            <w:hideMark/>
          </w:tcPr>
          <w:p w:rsidR="00000000" w:rsidRDefault="005B0BC3">
            <w:pPr>
              <w:spacing w:after="100"/>
              <w:jc w:val="right"/>
              <w:rPr>
                <w:rFonts w:eastAsia="Times New Roman"/>
              </w:rPr>
            </w:pPr>
            <w:r>
              <w:rPr>
                <w:rFonts w:eastAsia="Times New Roman"/>
                <w:b/>
                <w:bCs/>
                <w:color w:val="000000"/>
                <w:sz w:val="20"/>
                <w:szCs w:val="20"/>
              </w:rPr>
              <w:t>202</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gridSpan w:val="2"/>
            <w:tcBorders>
              <w:top w:val="double" w:sz="6" w:space="0" w:color="000000"/>
            </w:tcBorders>
            <w:shd w:val="clear" w:color="auto" w:fill="CCEEFF"/>
            <w:tcMar>
              <w:top w:w="30" w:type="dxa"/>
              <w:left w:w="0" w:type="dxa"/>
              <w:bottom w:w="30" w:type="dxa"/>
              <w:right w:w="140" w:type="dxa"/>
            </w:tcMar>
            <w:vAlign w:val="bottom"/>
            <w:hideMark/>
          </w:tcPr>
          <w:p w:rsidR="00000000" w:rsidRDefault="005B0BC3">
            <w:pPr>
              <w:spacing w:after="100"/>
              <w:jc w:val="right"/>
              <w:rPr>
                <w:rFonts w:eastAsia="Times New Roman"/>
              </w:rPr>
            </w:pPr>
            <w:r>
              <w:rPr>
                <w:rFonts w:eastAsia="Times New Roman"/>
                <w:b/>
                <w:bCs/>
                <w:color w:val="000000"/>
                <w:sz w:val="20"/>
                <w:szCs w:val="20"/>
              </w:rPr>
              <w:t>3,708</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gridSpan w:val="2"/>
            <w:tcBorders>
              <w:top w:val="double" w:sz="6" w:space="0" w:color="000000"/>
            </w:tcBorders>
            <w:shd w:val="clear" w:color="auto" w:fill="CCEEFF"/>
            <w:tcMar>
              <w:top w:w="30" w:type="dxa"/>
              <w:left w:w="0" w:type="dxa"/>
              <w:bottom w:w="30" w:type="dxa"/>
              <w:right w:w="140" w:type="dxa"/>
            </w:tcMar>
            <w:vAlign w:val="bottom"/>
            <w:hideMark/>
          </w:tcPr>
          <w:p w:rsidR="00000000" w:rsidRDefault="005B0BC3">
            <w:pPr>
              <w:spacing w:after="100"/>
              <w:jc w:val="right"/>
              <w:rPr>
                <w:rFonts w:eastAsia="Times New Roman"/>
              </w:rPr>
            </w:pPr>
            <w:r>
              <w:rPr>
                <w:rFonts w:eastAsia="Times New Roman"/>
                <w:b/>
                <w:bCs/>
                <w:color w:val="000000"/>
                <w:sz w:val="20"/>
                <w:szCs w:val="20"/>
              </w:rPr>
              <w:t>3,910</w:t>
            </w:r>
          </w:p>
        </w:tc>
      </w:tr>
      <w:tr w:rsidR="00000000">
        <w:trPr>
          <w:divId w:val="416290046"/>
          <w:trHeight w:val="280"/>
          <w:jc w:val="center"/>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416290046"/>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Average attained age of policyholders (in years)</w:t>
            </w: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70.8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416290046"/>
          <w:jc w:val="center"/>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Weighted average years remaining until annuitization</w:t>
            </w:r>
          </w:p>
        </w:tc>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N/A</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0.6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416290046"/>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Range of contractually specified interest rates</w:t>
            </w: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3% - 6%</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3% - 6.5%</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3% - 6.5%</w:t>
            </w:r>
          </w:p>
        </w:tc>
      </w:tr>
    </w:tbl>
    <w:p w:rsidR="00000000" w:rsidRDefault="005B0BC3">
      <w:pPr>
        <w:jc w:val="center"/>
        <w:rPr>
          <w:rFonts w:eastAsia="Times New Roman"/>
        </w:rPr>
      </w:pPr>
    </w:p>
    <w:p w:rsidR="00000000" w:rsidRDefault="005B0BC3">
      <w:pPr>
        <w:divId w:val="1868060654"/>
        <w:rPr>
          <w:rFonts w:eastAsia="Times New Roman"/>
        </w:rPr>
      </w:pPr>
      <w:r>
        <w:rPr>
          <w:rFonts w:eastAsia="Times New Roman"/>
          <w:color w:val="000000"/>
          <w:sz w:val="20"/>
          <w:szCs w:val="20"/>
        </w:rPr>
        <w:t xml:space="preserve">For more information about the reinsurance programs of the Company’s GMDB and GMIB exposure, see </w:t>
      </w:r>
      <w:r>
        <w:rPr>
          <w:rFonts w:eastAsia="Times New Roman"/>
          <w:color w:val="000000"/>
          <w:sz w:val="20"/>
          <w:szCs w:val="20"/>
        </w:rPr>
        <w:t>Note 11 of the Notes to these Consolidated Financial Statements.</w:t>
      </w:r>
    </w:p>
    <w:p w:rsidR="00000000" w:rsidRDefault="005B0BC3">
      <w:pPr>
        <w:divId w:val="2022929647"/>
        <w:rPr>
          <w:rFonts w:eastAsia="Times New Roman"/>
        </w:rPr>
      </w:pPr>
      <w:r>
        <w:rPr>
          <w:rFonts w:eastAsia="Times New Roman"/>
          <w:color w:val="000000"/>
          <w:sz w:val="20"/>
          <w:szCs w:val="20"/>
          <w:u w:val="single"/>
        </w:rPr>
        <w:t>Separate Accounts Investments by Investment Category Underlying Variable Annuity Contracts with GMDB and GMIB Features</w:t>
      </w:r>
    </w:p>
    <w:p w:rsidR="00000000" w:rsidRDefault="005B0BC3">
      <w:pPr>
        <w:divId w:val="813718495"/>
        <w:rPr>
          <w:rFonts w:eastAsia="Times New Roman"/>
        </w:rPr>
      </w:pPr>
      <w:r>
        <w:rPr>
          <w:rFonts w:eastAsia="Times New Roman"/>
          <w:color w:val="000000"/>
          <w:sz w:val="20"/>
          <w:szCs w:val="20"/>
        </w:rPr>
        <w:t>The total Account Values of variable annuity contracts with GMDB and GMIB features include amounts allocated to the guaranteed interest o</w:t>
      </w:r>
      <w:r>
        <w:rPr>
          <w:rFonts w:eastAsia="Times New Roman"/>
          <w:color w:val="000000"/>
          <w:sz w:val="20"/>
          <w:szCs w:val="20"/>
        </w:rPr>
        <w:t xml:space="preserve">ption, which is part of the General Account and variable investment options that invest through Separate Accounts in variable insurance trusts. The following table presents the aggregate fair value of assets, by major investment category, held by Separate </w:t>
      </w:r>
      <w:r>
        <w:rPr>
          <w:rFonts w:eastAsia="Times New Roman"/>
          <w:color w:val="000000"/>
          <w:sz w:val="20"/>
          <w:szCs w:val="20"/>
        </w:rPr>
        <w:t>Accounts that support variable annuity contracts with GMDB and GMIB features. The investment performance of the assets impacts the related Account Values and, consequently, the NAR associated with the GMDB and GMIB benefits and guarantees. Because the Comp</w:t>
      </w:r>
      <w:r>
        <w:rPr>
          <w:rFonts w:eastAsia="Times New Roman"/>
          <w:color w:val="000000"/>
          <w:sz w:val="20"/>
          <w:szCs w:val="20"/>
        </w:rPr>
        <w:t>any’s variable annuity contracts offer both GMDB and GMIB features, GMDB and GMIB amounts are not mutually exclusive.</w:t>
      </w:r>
    </w:p>
    <w:p w:rsidR="00000000" w:rsidRDefault="005B0BC3">
      <w:pPr>
        <w:jc w:val="center"/>
        <w:rPr>
          <w:rFonts w:eastAsia="Times New Roman"/>
        </w:rPr>
      </w:pPr>
    </w:p>
    <w:p w:rsidR="00000000" w:rsidRDefault="005B0BC3">
      <w:pPr>
        <w:divId w:val="389502813"/>
        <w:rPr>
          <w:rFonts w:eastAsia="Times New Roman"/>
        </w:rPr>
      </w:pPr>
    </w:p>
    <w:p w:rsidR="00000000" w:rsidRDefault="005B0BC3">
      <w:pPr>
        <w:divId w:val="1036850618"/>
        <w:rPr>
          <w:rFonts w:eastAsia="Times New Roman"/>
        </w:rPr>
      </w:pPr>
    </w:p>
    <w:p w:rsidR="00000000" w:rsidRDefault="005B0BC3">
      <w:pPr>
        <w:divId w:val="381514699"/>
        <w:rPr>
          <w:rFonts w:eastAsia="Times New Roman"/>
        </w:rPr>
      </w:pPr>
    </w:p>
    <w:p w:rsidR="00000000" w:rsidRDefault="005B0BC3">
      <w:pPr>
        <w:divId w:val="1863976090"/>
        <w:rPr>
          <w:rFonts w:eastAsia="Times New Roman"/>
        </w:rPr>
      </w:pPr>
    </w:p>
    <w:p w:rsidR="00000000" w:rsidRDefault="005B0BC3">
      <w:pPr>
        <w:divId w:val="228351607"/>
        <w:rPr>
          <w:rFonts w:eastAsia="Times New Roman"/>
        </w:rPr>
      </w:pPr>
    </w:p>
    <w:p w:rsidR="00000000" w:rsidRDefault="005B0BC3">
      <w:pPr>
        <w:jc w:val="center"/>
        <w:rPr>
          <w:rFonts w:eastAsia="Times New Roman"/>
        </w:rPr>
      </w:pPr>
      <w:r>
        <w:rPr>
          <w:rFonts w:eastAsia="Times New Roman"/>
          <w:b/>
          <w:bCs/>
          <w:color w:val="000000"/>
          <w:sz w:val="20"/>
          <w:szCs w:val="20"/>
        </w:rPr>
        <w:t>Investment in Variable Insurance Trust Mutual Funds</w:t>
      </w:r>
    </w:p>
    <w:p w:rsidR="00000000" w:rsidRDefault="005B0BC3">
      <w:pPr>
        <w:jc w:val="center"/>
        <w:divId w:val="411897139"/>
        <w:rPr>
          <w:rFonts w:eastAsia="Times New Roman"/>
        </w:rPr>
      </w:pPr>
      <w:r>
        <w:rPr>
          <w:rFonts w:eastAsia="Times New Roman"/>
          <w:color w:val="000000"/>
          <w:sz w:val="20"/>
          <w:szCs w:val="20"/>
        </w:rPr>
        <w:t>195</w:t>
      </w:r>
    </w:p>
    <w:p w:rsidR="00000000" w:rsidRDefault="005B0BC3">
      <w:pPr>
        <w:rPr>
          <w:rFonts w:eastAsia="Times New Roman"/>
        </w:rPr>
      </w:pPr>
      <w:r>
        <w:rPr>
          <w:rFonts w:eastAsia="Times New Roman"/>
        </w:rPr>
        <w:pict>
          <v:rect id="_x0000_i1233" style="width:0;height:1.5pt" o:hralign="center" o:hrstd="t" o:hr="t" fillcolor="#a0a0a0" stroked="f"/>
        </w:pict>
      </w:r>
    </w:p>
    <w:p w:rsidR="00000000" w:rsidRDefault="005B0BC3">
      <w:pPr>
        <w:jc w:val="center"/>
        <w:divId w:val="1998457358"/>
        <w:rPr>
          <w:rFonts w:eastAsia="Times New Roman"/>
        </w:rPr>
      </w:pPr>
      <w:r>
        <w:rPr>
          <w:rFonts w:eastAsia="Times New Roman"/>
          <w:b/>
          <w:bCs/>
          <w:color w:val="000000"/>
          <w:sz w:val="20"/>
          <w:szCs w:val="20"/>
        </w:rPr>
        <w:t>EQUITABLE HOLDINGS, INC.</w:t>
      </w:r>
    </w:p>
    <w:p w:rsidR="00000000" w:rsidRDefault="005B0BC3">
      <w:pPr>
        <w:jc w:val="center"/>
        <w:divId w:val="1998457358"/>
        <w:rPr>
          <w:rFonts w:eastAsia="Times New Roman"/>
        </w:rPr>
      </w:pPr>
      <w:r>
        <w:rPr>
          <w:rFonts w:eastAsia="Times New Roman"/>
          <w:b/>
          <w:bCs/>
          <w:color w:val="000000"/>
          <w:sz w:val="20"/>
          <w:szCs w:val="20"/>
        </w:rPr>
        <w:t xml:space="preserve">NOTES TO </w:t>
      </w:r>
      <w:r>
        <w:rPr>
          <w:rFonts w:eastAsia="Times New Roman"/>
          <w:b/>
          <w:bCs/>
          <w:color w:val="000000"/>
          <w:sz w:val="20"/>
          <w:szCs w:val="20"/>
        </w:rPr>
        <w:t>CONSOLIDATED FINANCIAL STATEMENTS, continued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334"/>
        <w:gridCol w:w="38"/>
        <w:gridCol w:w="120"/>
        <w:gridCol w:w="769"/>
        <w:gridCol w:w="36"/>
        <w:gridCol w:w="36"/>
        <w:gridCol w:w="36"/>
        <w:gridCol w:w="36"/>
        <w:gridCol w:w="120"/>
        <w:gridCol w:w="726"/>
        <w:gridCol w:w="36"/>
        <w:gridCol w:w="36"/>
        <w:gridCol w:w="36"/>
        <w:gridCol w:w="36"/>
        <w:gridCol w:w="120"/>
        <w:gridCol w:w="726"/>
        <w:gridCol w:w="36"/>
        <w:gridCol w:w="36"/>
        <w:gridCol w:w="36"/>
        <w:gridCol w:w="36"/>
        <w:gridCol w:w="120"/>
        <w:gridCol w:w="726"/>
        <w:gridCol w:w="36"/>
      </w:tblGrid>
      <w:tr w:rsidR="00000000">
        <w:trPr>
          <w:divId w:val="646738088"/>
          <w:jc w:val="center"/>
        </w:trPr>
        <w:tc>
          <w:tcPr>
            <w:tcW w:w="50" w:type="pct"/>
            <w:vAlign w:val="center"/>
            <w:hideMark/>
          </w:tcPr>
          <w:p w:rsidR="00000000" w:rsidRDefault="005B0BC3">
            <w:pPr>
              <w:jc w:val="center"/>
              <w:rPr>
                <w:rFonts w:eastAsia="Times New Roman"/>
              </w:rPr>
            </w:pPr>
          </w:p>
        </w:tc>
        <w:tc>
          <w:tcPr>
            <w:tcW w:w="264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9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9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9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9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646738088"/>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1"/>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December 31,</w:t>
            </w:r>
          </w:p>
        </w:tc>
      </w:tr>
      <w:tr w:rsidR="00000000">
        <w:trPr>
          <w:divId w:val="646738088"/>
          <w:jc w:val="center"/>
        </w:trPr>
        <w:tc>
          <w:tcPr>
            <w:tcW w:w="0" w:type="auto"/>
            <w:gridSpan w:val="3"/>
            <w:tcMar>
              <w:top w:w="30" w:type="dxa"/>
              <w:left w:w="20" w:type="dxa"/>
              <w:bottom w:w="30" w:type="dxa"/>
              <w:right w:w="20" w:type="dxa"/>
            </w:tcMar>
            <w:vAlign w:val="bottom"/>
            <w:hideMark/>
          </w:tcPr>
          <w:p w:rsidR="00000000" w:rsidRDefault="005B0BC3">
            <w:pPr>
              <w:spacing w:after="100"/>
              <w:divId w:val="1143818114"/>
              <w:rPr>
                <w:rFonts w:eastAsia="Times New Roman"/>
              </w:rPr>
            </w:pPr>
            <w:r>
              <w:rPr>
                <w:rFonts w:eastAsia="Times New Roman"/>
                <w:b/>
                <w:bCs/>
                <w:color w:val="000000"/>
                <w:sz w:val="16"/>
                <w:szCs w:val="16"/>
              </w:rPr>
              <w:t> </w:t>
            </w: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r>
      <w:tr w:rsidR="00000000">
        <w:trPr>
          <w:divId w:val="646738088"/>
          <w:jc w:val="center"/>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GMDB</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GMIB</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GMDB</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GMIB</w:t>
            </w:r>
          </w:p>
        </w:tc>
      </w:tr>
      <w:tr w:rsidR="00000000">
        <w:trPr>
          <w:divId w:val="646738088"/>
          <w:jc w:val="center"/>
        </w:trPr>
        <w:tc>
          <w:tcPr>
            <w:tcW w:w="0" w:type="auto"/>
            <w:gridSpan w:val="3"/>
            <w:tcMar>
              <w:top w:w="30" w:type="dxa"/>
              <w:left w:w="20" w:type="dxa"/>
              <w:bottom w:w="30" w:type="dxa"/>
              <w:right w:w="20" w:type="dxa"/>
            </w:tcMar>
            <w:vAlign w:val="bottom"/>
            <w:hideMark/>
          </w:tcPr>
          <w:p w:rsidR="00000000" w:rsidRDefault="005B0BC3">
            <w:pPr>
              <w:spacing w:after="100"/>
              <w:divId w:val="1390617151"/>
              <w:rPr>
                <w:rFonts w:eastAsia="Times New Roman"/>
              </w:rPr>
            </w:pPr>
            <w:r>
              <w:rPr>
                <w:rFonts w:eastAsia="Times New Roman"/>
                <w:b/>
                <w:bCs/>
                <w:color w:val="000000"/>
                <w:sz w:val="16"/>
                <w:szCs w:val="16"/>
              </w:rPr>
              <w:t>Mutual Fund Type</w:t>
            </w: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646738088"/>
          <w:jc w:val="center"/>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Equity</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52,771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20,015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46,850 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18,771 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46738088"/>
          <w:jc w:val="center"/>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Fixed income</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5,391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2,507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5,506 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2,701 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46738088"/>
          <w:jc w:val="center"/>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Balanced</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48,390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40,491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47,053 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39,439 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46738088"/>
          <w:jc w:val="center"/>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1,025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263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1,111 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275 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46738088"/>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Total</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107,577</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63,276</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100,520 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61,186 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divId w:val="224293662"/>
        <w:rPr>
          <w:rFonts w:eastAsia="Times New Roman"/>
        </w:rPr>
      </w:pPr>
      <w:r>
        <w:rPr>
          <w:rFonts w:eastAsia="Times New Roman"/>
          <w:color w:val="000000"/>
          <w:sz w:val="20"/>
          <w:szCs w:val="20"/>
          <w:u w:val="single"/>
        </w:rPr>
        <w:t>Hedging Programs for GMDB, GMIB, GIB and Other Features</w:t>
      </w:r>
    </w:p>
    <w:p w:rsidR="00000000" w:rsidRDefault="005B0BC3">
      <w:pPr>
        <w:divId w:val="1876654323"/>
        <w:rPr>
          <w:rFonts w:eastAsia="Times New Roman"/>
        </w:rPr>
      </w:pPr>
      <w:r>
        <w:rPr>
          <w:rFonts w:eastAsia="Times New Roman"/>
          <w:color w:val="000000"/>
          <w:sz w:val="20"/>
          <w:szCs w:val="20"/>
        </w:rPr>
        <w:t>The Company ha</w:t>
      </w:r>
      <w:r>
        <w:rPr>
          <w:rFonts w:eastAsia="Times New Roman"/>
          <w:color w:val="000000"/>
          <w:sz w:val="20"/>
          <w:szCs w:val="20"/>
        </w:rPr>
        <w:t>s a program intended to hedge certain risks associated first with the GMDB feature and with the GMIB feature of the Accumulator series of variable annuity products. The program has also been extended to cover other guaranteed benefits as they have been mad</w:t>
      </w:r>
      <w:r>
        <w:rPr>
          <w:rFonts w:eastAsia="Times New Roman"/>
          <w:color w:val="000000"/>
          <w:sz w:val="20"/>
          <w:szCs w:val="20"/>
        </w:rPr>
        <w:t>e available. This program utilizes derivative contracts, such as exchange-traded equity, currency and interest rate futures contracts, total return and/or equity swaps, interest rate swap and floor contracts, swaptions, variance swaps as well as equity opt</w:t>
      </w:r>
      <w:r>
        <w:rPr>
          <w:rFonts w:eastAsia="Times New Roman"/>
          <w:color w:val="000000"/>
          <w:sz w:val="20"/>
          <w:szCs w:val="20"/>
        </w:rPr>
        <w:t>ions, that collectively are managed in an effort to reduce the economic impact of unfavorable changes in guaranteed benefits’ exposures attributable to movements in the capital markets. At the present time, this program hedges certain economic risks on pro</w:t>
      </w:r>
      <w:r>
        <w:rPr>
          <w:rFonts w:eastAsia="Times New Roman"/>
          <w:color w:val="000000"/>
          <w:sz w:val="20"/>
          <w:szCs w:val="20"/>
        </w:rPr>
        <w:t xml:space="preserve">ducts sold from 2001 forward, to the extent such risks are not externally reinsured. </w:t>
      </w:r>
    </w:p>
    <w:p w:rsidR="00000000" w:rsidRDefault="005B0BC3">
      <w:pPr>
        <w:divId w:val="659697074"/>
        <w:rPr>
          <w:rFonts w:eastAsia="Times New Roman"/>
        </w:rPr>
      </w:pPr>
      <w:r>
        <w:rPr>
          <w:rFonts w:eastAsia="Times New Roman"/>
          <w:color w:val="000000"/>
          <w:sz w:val="20"/>
          <w:szCs w:val="20"/>
        </w:rPr>
        <w:t>These programs do not qualify for hedge accounting treatment. Therefore, gains (losses) on the derivatives contracts used in these programs, including current period chan</w:t>
      </w:r>
      <w:r>
        <w:rPr>
          <w:rFonts w:eastAsia="Times New Roman"/>
          <w:color w:val="000000"/>
          <w:sz w:val="20"/>
          <w:szCs w:val="20"/>
        </w:rPr>
        <w:t>ges in fair value, are recognized in net derivative gains (losses) in the period in which they occur, and may contribute to income (loss) volatility.</w:t>
      </w:r>
    </w:p>
    <w:p w:rsidR="00000000" w:rsidRDefault="005B0BC3">
      <w:pPr>
        <w:divId w:val="660741424"/>
        <w:rPr>
          <w:rFonts w:eastAsia="Times New Roman"/>
        </w:rPr>
      </w:pPr>
      <w:r>
        <w:rPr>
          <w:rFonts w:eastAsia="Times New Roman"/>
          <w:color w:val="000000"/>
          <w:sz w:val="20"/>
          <w:szCs w:val="20"/>
          <w:u w:val="single"/>
        </w:rPr>
        <w:t>Variable and Interest-Sensitive Life Insurance Policies – NLG</w:t>
      </w:r>
    </w:p>
    <w:p w:rsidR="00000000" w:rsidRDefault="005B0BC3">
      <w:pPr>
        <w:divId w:val="1231647617"/>
        <w:rPr>
          <w:rFonts w:eastAsia="Times New Roman"/>
        </w:rPr>
      </w:pPr>
      <w:r>
        <w:rPr>
          <w:rFonts w:eastAsia="Times New Roman"/>
          <w:color w:val="000000"/>
          <w:sz w:val="20"/>
          <w:szCs w:val="20"/>
        </w:rPr>
        <w:t>The NLG feature contained in variable and in</w:t>
      </w:r>
      <w:r>
        <w:rPr>
          <w:rFonts w:eastAsia="Times New Roman"/>
          <w:color w:val="000000"/>
          <w:sz w:val="20"/>
          <w:szCs w:val="20"/>
        </w:rPr>
        <w:t xml:space="preserve">terest-sensitive life insurance policies keeps them in force in situations where the policy value is not sufficient to cover monthly charges then due. The NLG remains in effect so long as the policy meets a contractually specified premium funding test and </w:t>
      </w:r>
      <w:r>
        <w:rPr>
          <w:rFonts w:eastAsia="Times New Roman"/>
          <w:color w:val="000000"/>
          <w:sz w:val="20"/>
          <w:szCs w:val="20"/>
        </w:rPr>
        <w:t>certain other requirements.</w:t>
      </w:r>
    </w:p>
    <w:p w:rsidR="00000000" w:rsidRDefault="005B0BC3">
      <w:pPr>
        <w:divId w:val="1060714431"/>
        <w:rPr>
          <w:rFonts w:eastAsia="Times New Roman"/>
        </w:rPr>
      </w:pPr>
      <w:r>
        <w:rPr>
          <w:rFonts w:eastAsia="Times New Roman"/>
          <w:color w:val="000000"/>
          <w:sz w:val="20"/>
          <w:szCs w:val="20"/>
        </w:rPr>
        <w:t>The change in the NLG liabilities, reflected in future policy benefits and other policyholders’ liabilities in the consolidated balance sheets, is summarized in the table below.</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5317"/>
        <w:gridCol w:w="37"/>
        <w:gridCol w:w="36"/>
        <w:gridCol w:w="36"/>
        <w:gridCol w:w="36"/>
        <w:gridCol w:w="36"/>
        <w:gridCol w:w="120"/>
        <w:gridCol w:w="712"/>
        <w:gridCol w:w="36"/>
        <w:gridCol w:w="36"/>
        <w:gridCol w:w="36"/>
        <w:gridCol w:w="36"/>
        <w:gridCol w:w="120"/>
        <w:gridCol w:w="662"/>
        <w:gridCol w:w="36"/>
        <w:gridCol w:w="36"/>
        <w:gridCol w:w="36"/>
        <w:gridCol w:w="36"/>
        <w:gridCol w:w="120"/>
        <w:gridCol w:w="712"/>
        <w:gridCol w:w="36"/>
      </w:tblGrid>
      <w:tr w:rsidR="00000000">
        <w:trPr>
          <w:divId w:val="1202591024"/>
          <w:jc w:val="center"/>
        </w:trPr>
        <w:tc>
          <w:tcPr>
            <w:tcW w:w="50" w:type="pct"/>
            <w:vAlign w:val="center"/>
            <w:hideMark/>
          </w:tcPr>
          <w:p w:rsidR="00000000" w:rsidRDefault="005B0BC3">
            <w:pPr>
              <w:rPr>
                <w:rFonts w:eastAsia="Times New Roman"/>
              </w:rPr>
            </w:pPr>
          </w:p>
        </w:tc>
        <w:tc>
          <w:tcPr>
            <w:tcW w:w="330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7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7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7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202591024"/>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5"/>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Direct Liability (1)</w:t>
            </w:r>
          </w:p>
        </w:tc>
      </w:tr>
      <w:tr w:rsidR="00000000">
        <w:trPr>
          <w:divId w:val="1202591024"/>
          <w:jc w:val="center"/>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1"/>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202591024"/>
          <w:jc w:val="center"/>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1202591024"/>
          <w:jc w:val="center"/>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1202591024"/>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Beginning balance</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1,022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898 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813 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202591024"/>
          <w:jc w:val="center"/>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Paid guarantee benefits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(84)</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(39)</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(20)</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202591024"/>
          <w:jc w:val="center"/>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Other changes in reserves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158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163 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202591024"/>
          <w:jc w:val="center"/>
        </w:trPr>
        <w:tc>
          <w:tcPr>
            <w:tcW w:w="0" w:type="auto"/>
            <w:gridSpan w:val="3"/>
            <w:shd w:val="clear" w:color="auto" w:fill="FFFFFF"/>
            <w:tcMar>
              <w:top w:w="30" w:type="dxa"/>
              <w:left w:w="14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Transfer to liabilities held-for-sale</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(22)</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202591024"/>
          <w:jc w:val="center"/>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Ending balance</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1,096</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Borders>
              <w:bottom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1,022 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898 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divId w:val="1590772534"/>
        <w:rPr>
          <w:rFonts w:eastAsia="Times New Roman"/>
        </w:rPr>
      </w:pPr>
      <w:r>
        <w:rPr>
          <w:rFonts w:eastAsia="Times New Roman"/>
          <w:color w:val="000000"/>
          <w:sz w:val="18"/>
          <w:szCs w:val="18"/>
        </w:rPr>
        <w:t>_____________</w:t>
      </w:r>
    </w:p>
    <w:p w:rsidR="00000000" w:rsidRDefault="005B0BC3">
      <w:pPr>
        <w:ind w:hanging="360"/>
        <w:divId w:val="2007902909"/>
        <w:rPr>
          <w:rFonts w:eastAsia="Times New Roman"/>
        </w:rPr>
      </w:pPr>
      <w:r>
        <w:rPr>
          <w:rFonts w:eastAsia="Times New Roman"/>
          <w:color w:val="000000"/>
          <w:sz w:val="18"/>
          <w:szCs w:val="18"/>
        </w:rPr>
        <w:t>(1)There were no amounts of</w:t>
      </w:r>
      <w:r>
        <w:rPr>
          <w:rFonts w:eastAsia="Times New Roman"/>
          <w:color w:val="000000"/>
          <w:sz w:val="18"/>
          <w:szCs w:val="18"/>
        </w:rPr>
        <w:t xml:space="preserve"> reinsurance ceded in any period presented.</w:t>
      </w:r>
    </w:p>
    <w:p w:rsidR="00000000" w:rsidRDefault="005B0BC3">
      <w:pPr>
        <w:divId w:val="720255525"/>
        <w:rPr>
          <w:rFonts w:eastAsia="Times New Roman"/>
        </w:rPr>
      </w:pPr>
      <w:r>
        <w:rPr>
          <w:rFonts w:eastAsia="Times New Roman"/>
          <w:b/>
          <w:bCs/>
          <w:color w:val="000000"/>
          <w:sz w:val="20"/>
          <w:szCs w:val="20"/>
        </w:rPr>
        <w:t>10)    LEASES</w:t>
      </w:r>
    </w:p>
    <w:p w:rsidR="00000000" w:rsidRDefault="005B0BC3">
      <w:pPr>
        <w:divId w:val="1239360066"/>
        <w:rPr>
          <w:rFonts w:eastAsia="Times New Roman"/>
        </w:rPr>
      </w:pPr>
      <w:r>
        <w:rPr>
          <w:rFonts w:eastAsia="Times New Roman"/>
          <w:color w:val="000000"/>
          <w:sz w:val="20"/>
          <w:szCs w:val="20"/>
        </w:rPr>
        <w:t>The Company's operating leases primarily consist of real estate leases for office space. The Company also has operating leases for various types of office furniture and equipment. For certain equipment leases, the Company applies a portfolio approach to ef</w:t>
      </w:r>
      <w:r>
        <w:rPr>
          <w:rFonts w:eastAsia="Times New Roman"/>
          <w:color w:val="000000"/>
          <w:sz w:val="20"/>
          <w:szCs w:val="20"/>
        </w:rPr>
        <w:t>fectively account for the RoU operating lease assets and liabilities. For lease agreements for which the lease term or classification was reassessed after the occurrence of a change in the lease terms or a modification of the lease that did not result in a</w:t>
      </w:r>
      <w:r>
        <w:rPr>
          <w:rFonts w:eastAsia="Times New Roman"/>
          <w:color w:val="000000"/>
          <w:sz w:val="20"/>
          <w:szCs w:val="20"/>
        </w:rPr>
        <w:t xml:space="preserve"> separate contract, the Company elected to combine the lease and related non-lease components for its operating leases; however, the non-lease components associated with the Company’s operating leases are primarily variable in nature and as such are not in</w:t>
      </w:r>
      <w:r>
        <w:rPr>
          <w:rFonts w:eastAsia="Times New Roman"/>
          <w:color w:val="000000"/>
          <w:sz w:val="20"/>
          <w:szCs w:val="20"/>
        </w:rPr>
        <w:t>cluded in the determination of the RoU operating lease asset and lease liability, but are recognized in the period in which the obligation for those payments is incurred.</w:t>
      </w:r>
    </w:p>
    <w:p w:rsidR="00000000" w:rsidRDefault="005B0BC3">
      <w:pPr>
        <w:jc w:val="center"/>
        <w:divId w:val="1407453692"/>
        <w:rPr>
          <w:rFonts w:eastAsia="Times New Roman"/>
        </w:rPr>
      </w:pPr>
      <w:r>
        <w:rPr>
          <w:rFonts w:eastAsia="Times New Roman"/>
          <w:color w:val="000000"/>
          <w:sz w:val="20"/>
          <w:szCs w:val="20"/>
        </w:rPr>
        <w:t>196</w:t>
      </w:r>
    </w:p>
    <w:p w:rsidR="00000000" w:rsidRDefault="005B0BC3">
      <w:pPr>
        <w:rPr>
          <w:rFonts w:eastAsia="Times New Roman"/>
        </w:rPr>
      </w:pPr>
      <w:r>
        <w:rPr>
          <w:rFonts w:eastAsia="Times New Roman"/>
        </w:rPr>
        <w:pict>
          <v:rect id="_x0000_i1234" style="width:0;height:1.5pt" o:hralign="center" o:hrstd="t" o:hr="t" fillcolor="#a0a0a0" stroked="f"/>
        </w:pict>
      </w:r>
    </w:p>
    <w:p w:rsidR="00000000" w:rsidRDefault="005B0BC3">
      <w:pPr>
        <w:jc w:val="center"/>
        <w:divId w:val="2088453170"/>
        <w:rPr>
          <w:rFonts w:eastAsia="Times New Roman"/>
        </w:rPr>
      </w:pPr>
      <w:r>
        <w:rPr>
          <w:rFonts w:eastAsia="Times New Roman"/>
          <w:b/>
          <w:bCs/>
          <w:color w:val="000000"/>
          <w:sz w:val="20"/>
          <w:szCs w:val="20"/>
        </w:rPr>
        <w:t>EQUITABLE HOLDINGS, INC.</w:t>
      </w:r>
    </w:p>
    <w:p w:rsidR="00000000" w:rsidRDefault="005B0BC3">
      <w:pPr>
        <w:jc w:val="center"/>
        <w:divId w:val="2088453170"/>
        <w:rPr>
          <w:rFonts w:eastAsia="Times New Roman"/>
        </w:rPr>
      </w:pPr>
      <w:r>
        <w:rPr>
          <w:rFonts w:eastAsia="Times New Roman"/>
          <w:b/>
          <w:bCs/>
          <w:color w:val="000000"/>
          <w:sz w:val="20"/>
          <w:szCs w:val="20"/>
        </w:rPr>
        <w:t>NOTES TO CONSOLIDAT</w:t>
      </w:r>
      <w:r>
        <w:rPr>
          <w:rFonts w:eastAsia="Times New Roman"/>
          <w:b/>
          <w:bCs/>
          <w:color w:val="000000"/>
          <w:sz w:val="20"/>
          <w:szCs w:val="20"/>
        </w:rPr>
        <w:t>ED FINANCIAL STATEMENTS, continued</w:t>
      </w:r>
    </w:p>
    <w:p w:rsidR="00000000" w:rsidRDefault="005B0BC3">
      <w:pPr>
        <w:divId w:val="1528637677"/>
        <w:rPr>
          <w:rFonts w:eastAsia="Times New Roman"/>
        </w:rPr>
      </w:pPr>
      <w:r>
        <w:rPr>
          <w:rFonts w:eastAsia="Times New Roman"/>
          <w:color w:val="000000"/>
          <w:sz w:val="20"/>
          <w:szCs w:val="20"/>
        </w:rPr>
        <w:t>The Company’s operating leases may include options to extend or terminate the lease, which are not included in the determination of the RoU operating asset or lease liability unless they are reasonably certain to be exerc</w:t>
      </w:r>
      <w:r>
        <w:rPr>
          <w:rFonts w:eastAsia="Times New Roman"/>
          <w:color w:val="000000"/>
          <w:sz w:val="20"/>
          <w:szCs w:val="20"/>
        </w:rPr>
        <w:t>ised. The Company's operating leases have remaining lease terms of 1 year to 15 years, some of which include options to extend the leases. The Company typically does not include its renewal options in its lease terms for calculating its RoU operating lease</w:t>
      </w:r>
      <w:r>
        <w:rPr>
          <w:rFonts w:eastAsia="Times New Roman"/>
          <w:color w:val="000000"/>
          <w:sz w:val="20"/>
          <w:szCs w:val="20"/>
        </w:rPr>
        <w:t xml:space="preserve"> asset and lease liability as the renewal options allow the Company to maintain operational flexibility and the Company is not reasonably certain it will exercise these renewal options until close to the initial end date of the lease. The Company’s lease a</w:t>
      </w:r>
      <w:r>
        <w:rPr>
          <w:rFonts w:eastAsia="Times New Roman"/>
          <w:color w:val="000000"/>
          <w:sz w:val="20"/>
          <w:szCs w:val="20"/>
        </w:rPr>
        <w:t>greements do not contain any material residual value guarantees or material restrictive covenants.</w:t>
      </w:r>
    </w:p>
    <w:p w:rsidR="00000000" w:rsidRDefault="005B0BC3">
      <w:pPr>
        <w:divId w:val="847671310"/>
        <w:rPr>
          <w:rFonts w:eastAsia="Times New Roman"/>
        </w:rPr>
      </w:pPr>
      <w:r>
        <w:rPr>
          <w:rFonts w:eastAsia="Times New Roman"/>
          <w:color w:val="000000"/>
          <w:sz w:val="20"/>
          <w:szCs w:val="20"/>
        </w:rPr>
        <w:t xml:space="preserve">As the Company's operating leases do not provide an implicit rate, the Company’s incremental borrowing rate, based on the information available at the lease </w:t>
      </w:r>
      <w:r>
        <w:rPr>
          <w:rFonts w:eastAsia="Times New Roman"/>
          <w:color w:val="000000"/>
          <w:sz w:val="20"/>
          <w:szCs w:val="20"/>
        </w:rPr>
        <w:t>commencement date, is used in determining the present value of lease payments.</w:t>
      </w:r>
    </w:p>
    <w:p w:rsidR="00000000" w:rsidRDefault="005B0BC3">
      <w:pPr>
        <w:divId w:val="21707169"/>
        <w:rPr>
          <w:rFonts w:eastAsia="Times New Roman"/>
        </w:rPr>
      </w:pPr>
      <w:r>
        <w:rPr>
          <w:rFonts w:eastAsia="Times New Roman"/>
          <w:color w:val="000000"/>
          <w:sz w:val="20"/>
          <w:szCs w:val="20"/>
        </w:rPr>
        <w:t>The Company primarily subleases floor space within its New Jersey and New York lease properties to various third parties. The lease term for these subleases typically corresponds to the original lease term.</w:t>
      </w:r>
    </w:p>
    <w:p w:rsidR="00000000" w:rsidRDefault="005B0BC3">
      <w:pPr>
        <w:jc w:val="center"/>
        <w:rPr>
          <w:rFonts w:eastAsia="Times New Roman"/>
        </w:rPr>
      </w:pPr>
      <w:r>
        <w:rPr>
          <w:rFonts w:eastAsia="Times New Roman"/>
          <w:b/>
          <w:bCs/>
          <w:color w:val="000000"/>
          <w:sz w:val="20"/>
          <w:szCs w:val="20"/>
        </w:rPr>
        <w:t>Balance Sheet Classification of Operating Lease A</w:t>
      </w:r>
      <w:r>
        <w:rPr>
          <w:rFonts w:eastAsia="Times New Roman"/>
          <w:b/>
          <w:bCs/>
          <w:color w:val="000000"/>
          <w:sz w:val="20"/>
          <w:szCs w:val="20"/>
        </w:rPr>
        <w:t>ssets and Liabilities</w:t>
      </w:r>
    </w:p>
    <w:tbl>
      <w:tblPr>
        <w:tblW w:w="5000" w:type="pct"/>
        <w:tblCellMar>
          <w:top w:w="15" w:type="dxa"/>
          <w:left w:w="15" w:type="dxa"/>
          <w:bottom w:w="15" w:type="dxa"/>
          <w:right w:w="15" w:type="dxa"/>
        </w:tblCellMar>
        <w:tblLook w:val="04A0" w:firstRow="1" w:lastRow="0" w:firstColumn="1" w:lastColumn="0" w:noHBand="0" w:noVBand="1"/>
      </w:tblPr>
      <w:tblGrid>
        <w:gridCol w:w="40"/>
        <w:gridCol w:w="4092"/>
        <w:gridCol w:w="36"/>
        <w:gridCol w:w="40"/>
        <w:gridCol w:w="1992"/>
        <w:gridCol w:w="37"/>
        <w:gridCol w:w="36"/>
        <w:gridCol w:w="36"/>
        <w:gridCol w:w="36"/>
        <w:gridCol w:w="120"/>
        <w:gridCol w:w="752"/>
        <w:gridCol w:w="36"/>
        <w:gridCol w:w="36"/>
        <w:gridCol w:w="36"/>
        <w:gridCol w:w="36"/>
        <w:gridCol w:w="120"/>
        <w:gridCol w:w="789"/>
        <w:gridCol w:w="36"/>
      </w:tblGrid>
      <w:tr w:rsidR="00000000">
        <w:trPr>
          <w:divId w:val="2062627486"/>
        </w:trPr>
        <w:tc>
          <w:tcPr>
            <w:tcW w:w="50" w:type="pct"/>
            <w:vAlign w:val="center"/>
            <w:hideMark/>
          </w:tcPr>
          <w:p w:rsidR="00000000" w:rsidRDefault="005B0BC3">
            <w:pPr>
              <w:jc w:val="center"/>
              <w:rPr>
                <w:rFonts w:eastAsia="Times New Roman"/>
              </w:rPr>
            </w:pPr>
          </w:p>
        </w:tc>
        <w:tc>
          <w:tcPr>
            <w:tcW w:w="248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12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0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0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2062627486"/>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December 31,</w:t>
            </w:r>
          </w:p>
        </w:tc>
      </w:tr>
      <w:tr w:rsidR="00000000">
        <w:trPr>
          <w:divId w:val="2062627486"/>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 xml:space="preserve">Balance Sheet Line Item </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r>
      <w:tr w:rsidR="00000000">
        <w:trPr>
          <w:divId w:val="2062627486"/>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2062627486"/>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Assets:</w:t>
            </w:r>
          </w:p>
        </w:tc>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 </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2062627486"/>
        </w:trPr>
        <w:tc>
          <w:tcPr>
            <w:tcW w:w="0" w:type="auto"/>
            <w:gridSpan w:val="3"/>
            <w:shd w:val="clear" w:color="auto" w:fill="CCEE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Operating lease assets</w:t>
            </w: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Other asset</w:t>
            </w:r>
            <w:r>
              <w:rPr>
                <w:rFonts w:eastAsia="Times New Roman"/>
                <w:color w:val="000000"/>
                <w:sz w:val="20"/>
                <w:szCs w:val="20"/>
              </w:rPr>
              <w:t>s</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691 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062627486"/>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2062627486"/>
        </w:trPr>
        <w:tc>
          <w:tcPr>
            <w:tcW w:w="0" w:type="auto"/>
            <w:gridSpan w:val="3"/>
            <w:shd w:val="clear" w:color="auto" w:fill="CCEE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Operating lease liabilities</w:t>
            </w: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Other liabilitie</w:t>
            </w:r>
            <w:r>
              <w:rPr>
                <w:rFonts w:eastAsia="Times New Roman"/>
                <w:color w:val="000000"/>
                <w:sz w:val="20"/>
                <w:szCs w:val="20"/>
              </w:rPr>
              <w:t>s</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855 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divId w:val="1585260840"/>
        <w:rPr>
          <w:rFonts w:eastAsia="Times New Roman"/>
        </w:rPr>
      </w:pPr>
      <w:r>
        <w:rPr>
          <w:rFonts w:eastAsia="Times New Roman"/>
          <w:color w:val="000000"/>
          <w:sz w:val="20"/>
          <w:szCs w:val="20"/>
        </w:rPr>
        <w:t>The table below summarizes the components of lease costs for the years ended December 31, 2021, 2020 and 2019.</w:t>
      </w:r>
    </w:p>
    <w:p w:rsidR="00000000" w:rsidRDefault="005B0BC3">
      <w:pPr>
        <w:jc w:val="center"/>
        <w:rPr>
          <w:rFonts w:eastAsia="Times New Roman"/>
        </w:rPr>
      </w:pPr>
      <w:r>
        <w:rPr>
          <w:rFonts w:eastAsia="Times New Roman"/>
          <w:b/>
          <w:bCs/>
          <w:color w:val="000000"/>
          <w:sz w:val="20"/>
          <w:szCs w:val="20"/>
        </w:rPr>
        <w:t>Lease Costs</w:t>
      </w:r>
    </w:p>
    <w:tbl>
      <w:tblPr>
        <w:tblW w:w="5000" w:type="pct"/>
        <w:tblCellMar>
          <w:top w:w="15" w:type="dxa"/>
          <w:left w:w="15" w:type="dxa"/>
          <w:bottom w:w="15" w:type="dxa"/>
          <w:right w:w="15" w:type="dxa"/>
        </w:tblCellMar>
        <w:tblLook w:val="04A0" w:firstRow="1" w:lastRow="0" w:firstColumn="1" w:lastColumn="0" w:noHBand="0" w:noVBand="1"/>
      </w:tblPr>
      <w:tblGrid>
        <w:gridCol w:w="37"/>
        <w:gridCol w:w="5273"/>
        <w:gridCol w:w="36"/>
        <w:gridCol w:w="120"/>
        <w:gridCol w:w="775"/>
        <w:gridCol w:w="36"/>
        <w:gridCol w:w="36"/>
        <w:gridCol w:w="36"/>
        <w:gridCol w:w="36"/>
        <w:gridCol w:w="120"/>
        <w:gridCol w:w="726"/>
        <w:gridCol w:w="36"/>
        <w:gridCol w:w="36"/>
        <w:gridCol w:w="36"/>
        <w:gridCol w:w="36"/>
        <w:gridCol w:w="120"/>
        <w:gridCol w:w="775"/>
        <w:gridCol w:w="36"/>
      </w:tblGrid>
      <w:tr w:rsidR="00000000">
        <w:trPr>
          <w:divId w:val="1385833699"/>
        </w:trPr>
        <w:tc>
          <w:tcPr>
            <w:tcW w:w="50" w:type="pct"/>
            <w:vAlign w:val="center"/>
            <w:hideMark/>
          </w:tcPr>
          <w:p w:rsidR="00000000" w:rsidRDefault="005B0BC3">
            <w:pPr>
              <w:jc w:val="center"/>
              <w:rPr>
                <w:rFonts w:eastAsia="Times New Roman"/>
              </w:rPr>
            </w:pPr>
          </w:p>
        </w:tc>
        <w:tc>
          <w:tcPr>
            <w:tcW w:w="321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0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0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0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385833699"/>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r>
      <w:tr w:rsidR="00000000">
        <w:trPr>
          <w:divId w:val="1385833699"/>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2019</w:t>
            </w:r>
          </w:p>
        </w:tc>
      </w:tr>
      <w:tr w:rsidR="00000000">
        <w:trPr>
          <w:divId w:val="1385833699"/>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1385833699"/>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xml:space="preserve">Operating lease cost </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ascii="Calibri" w:eastAsia="Times New Roman" w:hAnsi="Calibri" w:cs="Calibri"/>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ascii="Calibri" w:eastAsia="Times New Roman" w:hAnsi="Calibri" w:cs="Calibri"/>
                <w:color w:val="000000"/>
                <w:sz w:val="18"/>
                <w:szCs w:val="18"/>
              </w:rPr>
              <w:t>169 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ascii="Calibri" w:eastAsia="Times New Roman" w:hAnsi="Calibri" w:cs="Calibri"/>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ascii="Calibri" w:eastAsia="Times New Roman" w:hAnsi="Calibri" w:cs="Calibri"/>
                <w:color w:val="000000"/>
                <w:sz w:val="18"/>
                <w:szCs w:val="18"/>
              </w:rPr>
              <w:t>186 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85833699"/>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Variable operating lease cost</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ascii="Calibri" w:eastAsia="Times New Roman" w:hAnsi="Calibri" w:cs="Calibri"/>
                <w:color w:val="000000"/>
                <w:sz w:val="18"/>
                <w:szCs w:val="18"/>
              </w:rPr>
              <w:t>49 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ascii="Calibri" w:eastAsia="Times New Roman" w:hAnsi="Calibri" w:cs="Calibri"/>
                <w:color w:val="000000"/>
                <w:sz w:val="18"/>
                <w:szCs w:val="18"/>
              </w:rPr>
              <w:t>50 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85833699"/>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Sublease income</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(55)</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ascii="Calibri" w:eastAsia="Times New Roman" w:hAnsi="Calibri" w:cs="Calibri"/>
                <w:color w:val="000000"/>
                <w:sz w:val="18"/>
                <w:szCs w:val="18"/>
              </w:rPr>
              <w:t>(56)</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ascii="Calibri" w:eastAsia="Times New Roman" w:hAnsi="Calibri" w:cs="Calibri"/>
                <w:color w:val="000000"/>
                <w:sz w:val="18"/>
                <w:szCs w:val="18"/>
              </w:rPr>
              <w:t>(72)</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85833699"/>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Short-term lease expense</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ascii="Calibri" w:eastAsia="Times New Roman" w:hAnsi="Calibri" w:cs="Calibri"/>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ascii="Calibri" w:eastAsia="Times New Roman" w:hAnsi="Calibri" w:cs="Calibri"/>
                <w:color w:val="000000"/>
                <w:sz w:val="18"/>
                <w:szCs w:val="18"/>
              </w:rPr>
              <w:t>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85833699"/>
        </w:trPr>
        <w:tc>
          <w:tcPr>
            <w:tcW w:w="0" w:type="auto"/>
            <w:gridSpan w:val="3"/>
            <w:shd w:val="clear" w:color="auto" w:fill="CCEE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Net lease cost</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167</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162 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166 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85833699"/>
          <w:trHeight w:val="120"/>
        </w:trPr>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5B0BC3">
            <w:pPr>
              <w:spacing w:after="100"/>
              <w:rPr>
                <w:rFonts w:eastAsia="Times New Roman"/>
                <w:sz w:val="20"/>
                <w:szCs w:val="20"/>
              </w:rPr>
            </w:pPr>
          </w:p>
        </w:tc>
      </w:tr>
    </w:tbl>
    <w:p w:rsidR="00000000" w:rsidRDefault="005B0BC3">
      <w:pPr>
        <w:ind w:hanging="360"/>
        <w:divId w:val="727850061"/>
        <w:rPr>
          <w:rFonts w:eastAsia="Times New Roman"/>
        </w:rPr>
      </w:pPr>
    </w:p>
    <w:p w:rsidR="00000000" w:rsidRDefault="005B0BC3">
      <w:pPr>
        <w:divId w:val="1106004978"/>
        <w:rPr>
          <w:rFonts w:eastAsia="Times New Roman"/>
        </w:rPr>
      </w:pPr>
      <w:r>
        <w:rPr>
          <w:rFonts w:eastAsia="Times New Roman"/>
          <w:color w:val="000000"/>
          <w:sz w:val="20"/>
          <w:szCs w:val="20"/>
        </w:rPr>
        <w:t>Maturities of lease liabilities as of December 31, 2021 are as follows:</w:t>
      </w:r>
    </w:p>
    <w:p w:rsidR="00000000" w:rsidRDefault="005B0BC3">
      <w:pPr>
        <w:jc w:val="center"/>
        <w:rPr>
          <w:rFonts w:eastAsia="Times New Roman"/>
        </w:rPr>
      </w:pPr>
      <w:r>
        <w:rPr>
          <w:rFonts w:eastAsia="Times New Roman"/>
          <w:b/>
          <w:bCs/>
          <w:color w:val="000000"/>
          <w:sz w:val="20"/>
          <w:szCs w:val="20"/>
        </w:rPr>
        <w:t>Maturities of Lease Liabilities</w:t>
      </w:r>
    </w:p>
    <w:tbl>
      <w:tblPr>
        <w:tblW w:w="5000" w:type="pct"/>
        <w:tblCellMar>
          <w:top w:w="15" w:type="dxa"/>
          <w:left w:w="15" w:type="dxa"/>
          <w:bottom w:w="15" w:type="dxa"/>
          <w:right w:w="15" w:type="dxa"/>
        </w:tblCellMar>
        <w:tblLook w:val="04A0" w:firstRow="1" w:lastRow="0" w:firstColumn="1" w:lastColumn="0" w:noHBand="0" w:noVBand="1"/>
      </w:tblPr>
      <w:tblGrid>
        <w:gridCol w:w="52"/>
        <w:gridCol w:w="6873"/>
        <w:gridCol w:w="36"/>
        <w:gridCol w:w="121"/>
        <w:gridCol w:w="1188"/>
        <w:gridCol w:w="36"/>
      </w:tblGrid>
      <w:tr w:rsidR="00000000">
        <w:trPr>
          <w:divId w:val="367728752"/>
        </w:trPr>
        <w:tc>
          <w:tcPr>
            <w:tcW w:w="50" w:type="pct"/>
            <w:vAlign w:val="center"/>
            <w:hideMark/>
          </w:tcPr>
          <w:p w:rsidR="00000000" w:rsidRDefault="005B0BC3">
            <w:pPr>
              <w:jc w:val="center"/>
              <w:rPr>
                <w:rFonts w:eastAsia="Times New Roman"/>
              </w:rPr>
            </w:pPr>
          </w:p>
        </w:tc>
        <w:tc>
          <w:tcPr>
            <w:tcW w:w="415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73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367728752"/>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December 31, 2021</w:t>
            </w:r>
          </w:p>
        </w:tc>
      </w:tr>
      <w:tr w:rsidR="00000000">
        <w:trPr>
          <w:divId w:val="367728752"/>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367728752"/>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Operating Leases:</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r>
      <w:tr w:rsidR="00000000">
        <w:trPr>
          <w:divId w:val="367728752"/>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2022</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367728752"/>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2023</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183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367728752"/>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2024</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367728752"/>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2025</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367728752"/>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2026</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367728752"/>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Thereafter</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367728752"/>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lease payments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836</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367728752"/>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Less: Interest</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(68)</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367728752"/>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Present value of lease liabilities</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768</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ind w:hanging="360"/>
        <w:divId w:val="74979623"/>
        <w:rPr>
          <w:rFonts w:eastAsia="Times New Roman"/>
        </w:rPr>
      </w:pPr>
    </w:p>
    <w:p w:rsidR="00000000" w:rsidRDefault="005B0BC3">
      <w:pPr>
        <w:jc w:val="center"/>
        <w:divId w:val="2021001044"/>
        <w:rPr>
          <w:rFonts w:eastAsia="Times New Roman"/>
        </w:rPr>
      </w:pPr>
      <w:r>
        <w:rPr>
          <w:rFonts w:eastAsia="Times New Roman"/>
          <w:color w:val="000000"/>
          <w:sz w:val="20"/>
          <w:szCs w:val="20"/>
        </w:rPr>
        <w:t>197</w:t>
      </w:r>
    </w:p>
    <w:p w:rsidR="00000000" w:rsidRDefault="005B0BC3">
      <w:pPr>
        <w:rPr>
          <w:rFonts w:eastAsia="Times New Roman"/>
        </w:rPr>
      </w:pPr>
      <w:r>
        <w:rPr>
          <w:rFonts w:eastAsia="Times New Roman"/>
        </w:rPr>
        <w:pict>
          <v:rect id="_x0000_i1235" style="width:0;height:1.5pt" o:hralign="center" o:hrstd="t" o:hr="t" fillcolor="#a0a0a0" stroked="f"/>
        </w:pict>
      </w:r>
    </w:p>
    <w:p w:rsidR="00000000" w:rsidRDefault="005B0BC3">
      <w:pPr>
        <w:jc w:val="center"/>
        <w:divId w:val="1434133472"/>
        <w:rPr>
          <w:rFonts w:eastAsia="Times New Roman"/>
        </w:rPr>
      </w:pPr>
      <w:r>
        <w:rPr>
          <w:rFonts w:eastAsia="Times New Roman"/>
          <w:b/>
          <w:bCs/>
          <w:color w:val="000000"/>
          <w:sz w:val="20"/>
          <w:szCs w:val="20"/>
        </w:rPr>
        <w:t>EQUITABLE HOLDINGS, INC.</w:t>
      </w:r>
    </w:p>
    <w:p w:rsidR="00000000" w:rsidRDefault="005B0BC3">
      <w:pPr>
        <w:jc w:val="center"/>
        <w:divId w:val="1434133472"/>
        <w:rPr>
          <w:rFonts w:eastAsia="Times New Roman"/>
        </w:rPr>
      </w:pPr>
      <w:r>
        <w:rPr>
          <w:rFonts w:eastAsia="Times New Roman"/>
          <w:b/>
          <w:bCs/>
          <w:color w:val="000000"/>
          <w:sz w:val="20"/>
          <w:szCs w:val="20"/>
        </w:rPr>
        <w:t>NOTES TO CONSOLIDATED FINANCIAL STATEMENTS, continued</w:t>
      </w:r>
    </w:p>
    <w:p w:rsidR="00000000" w:rsidRDefault="005B0BC3">
      <w:pPr>
        <w:divId w:val="1541428984"/>
        <w:rPr>
          <w:rFonts w:eastAsia="Times New Roman"/>
        </w:rPr>
      </w:pPr>
      <w:r>
        <w:rPr>
          <w:rFonts w:eastAsia="Times New Roman"/>
          <w:color w:val="000000"/>
          <w:sz w:val="20"/>
          <w:szCs w:val="20"/>
        </w:rPr>
        <w:t>During April 2019, AB signed a lease, which commences in 2024, relating to approximately 190,000 square feet of space in New York City. The e</w:t>
      </w:r>
      <w:r>
        <w:rPr>
          <w:rFonts w:eastAsia="Times New Roman"/>
          <w:color w:val="000000"/>
          <w:sz w:val="20"/>
          <w:szCs w:val="20"/>
        </w:rPr>
        <w:t>stimated total base rent obligation (excluding taxes, operating expenses and utilities) over the 20 year lease term is approximately $448 million. During the fourth quarter of 2020, AB exercised an option to return a half floor of this space, which reduced</w:t>
      </w:r>
      <w:r>
        <w:rPr>
          <w:rFonts w:eastAsia="Times New Roman"/>
          <w:color w:val="000000"/>
          <w:sz w:val="20"/>
          <w:szCs w:val="20"/>
        </w:rPr>
        <w:t xml:space="preserve"> the square footage from approximately 190,000 to 166,000 square feet and the base rent obligation from $448 million to $393 million.</w:t>
      </w:r>
    </w:p>
    <w:p w:rsidR="00000000" w:rsidRDefault="005B0BC3">
      <w:pPr>
        <w:divId w:val="356925531"/>
        <w:rPr>
          <w:rFonts w:eastAsia="Times New Roman"/>
        </w:rPr>
      </w:pPr>
      <w:r>
        <w:rPr>
          <w:rFonts w:eastAsia="Times New Roman"/>
          <w:color w:val="000000"/>
          <w:sz w:val="20"/>
          <w:szCs w:val="20"/>
        </w:rPr>
        <w:t>During December 2020, Equitable Financial signed a 15-year lease which is expected to commence in 2023 once certain condit</w:t>
      </w:r>
      <w:r>
        <w:rPr>
          <w:rFonts w:eastAsia="Times New Roman"/>
          <w:color w:val="000000"/>
          <w:sz w:val="20"/>
          <w:szCs w:val="20"/>
        </w:rPr>
        <w:t>ions of the lease are met, relating to approximately 130,000 square feet of space in New York City. In September 2021, Equitable Financial exercised its option to decrease the square footage under the lease by approximately 41,000 square feet, which reduce</w:t>
      </w:r>
      <w:r>
        <w:rPr>
          <w:rFonts w:eastAsia="Times New Roman"/>
          <w:color w:val="000000"/>
          <w:sz w:val="20"/>
          <w:szCs w:val="20"/>
        </w:rPr>
        <w:t>d the square footage to approximately 89,000 square feet. Additionally, during December 2021, Equitable Financial amended its Syracuse office lease. The amendment included extending for an additional 5-year period, commencing January 1, 2024, approximately</w:t>
      </w:r>
      <w:r>
        <w:rPr>
          <w:rFonts w:eastAsia="Times New Roman"/>
          <w:color w:val="000000"/>
          <w:sz w:val="20"/>
          <w:szCs w:val="20"/>
        </w:rPr>
        <w:t xml:space="preserve"> 143,000 square feet of space in Syracuse, NY.</w:t>
      </w:r>
    </w:p>
    <w:p w:rsidR="00000000" w:rsidRDefault="005B0BC3">
      <w:pPr>
        <w:divId w:val="263877899"/>
        <w:rPr>
          <w:rFonts w:eastAsia="Times New Roman"/>
        </w:rPr>
      </w:pPr>
      <w:r>
        <w:rPr>
          <w:rFonts w:eastAsia="Times New Roman"/>
          <w:color w:val="000000"/>
          <w:sz w:val="20"/>
          <w:szCs w:val="20"/>
        </w:rPr>
        <w:t xml:space="preserve">The below table presents the Company’s weighted-average remaining operating lease term and weighted-average discount rate. </w:t>
      </w:r>
    </w:p>
    <w:p w:rsidR="00000000" w:rsidRDefault="005B0BC3">
      <w:pPr>
        <w:jc w:val="center"/>
        <w:rPr>
          <w:rFonts w:eastAsia="Times New Roman"/>
        </w:rPr>
      </w:pPr>
      <w:r>
        <w:rPr>
          <w:rFonts w:eastAsia="Times New Roman"/>
          <w:b/>
          <w:bCs/>
          <w:color w:val="000000"/>
          <w:sz w:val="20"/>
          <w:szCs w:val="20"/>
        </w:rPr>
        <w:t>Weighted Averages - Remaining Operating Lease Term and Discount Rate</w:t>
      </w:r>
    </w:p>
    <w:tbl>
      <w:tblPr>
        <w:tblW w:w="5000" w:type="pct"/>
        <w:tblCellMar>
          <w:top w:w="15" w:type="dxa"/>
          <w:left w:w="15" w:type="dxa"/>
          <w:bottom w:w="15" w:type="dxa"/>
          <w:right w:w="15" w:type="dxa"/>
        </w:tblCellMar>
        <w:tblLook w:val="04A0" w:firstRow="1" w:lastRow="0" w:firstColumn="1" w:lastColumn="0" w:noHBand="0" w:noVBand="1"/>
      </w:tblPr>
      <w:tblGrid>
        <w:gridCol w:w="37"/>
        <w:gridCol w:w="6123"/>
        <w:gridCol w:w="36"/>
        <w:gridCol w:w="38"/>
        <w:gridCol w:w="789"/>
        <w:gridCol w:w="220"/>
        <w:gridCol w:w="36"/>
        <w:gridCol w:w="36"/>
        <w:gridCol w:w="36"/>
        <w:gridCol w:w="37"/>
        <w:gridCol w:w="731"/>
        <w:gridCol w:w="187"/>
      </w:tblGrid>
      <w:tr w:rsidR="00000000">
        <w:trPr>
          <w:divId w:val="1165433687"/>
        </w:trPr>
        <w:tc>
          <w:tcPr>
            <w:tcW w:w="50" w:type="pct"/>
            <w:vAlign w:val="center"/>
            <w:hideMark/>
          </w:tcPr>
          <w:p w:rsidR="00000000" w:rsidRDefault="005B0BC3">
            <w:pPr>
              <w:jc w:val="center"/>
              <w:rPr>
                <w:rFonts w:eastAsia="Times New Roman"/>
              </w:rPr>
            </w:pPr>
          </w:p>
        </w:tc>
        <w:tc>
          <w:tcPr>
            <w:tcW w:w="373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2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2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165433687"/>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December 31,</w:t>
            </w:r>
          </w:p>
        </w:tc>
      </w:tr>
      <w:tr w:rsidR="00000000">
        <w:trPr>
          <w:divId w:val="1165433687"/>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r>
      <w:tr w:rsidR="00000000">
        <w:trPr>
          <w:divId w:val="1165433687"/>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Weighted-average remaining operating lease term</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7 years</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6 years</w:t>
            </w:r>
          </w:p>
        </w:tc>
      </w:tr>
      <w:tr w:rsidR="00000000">
        <w:trPr>
          <w:divId w:val="1165433687"/>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Weighted-average discount rate for operating leases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3.07 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r>
    </w:tbl>
    <w:p w:rsidR="00000000" w:rsidRDefault="005B0BC3">
      <w:pPr>
        <w:ind w:hanging="360"/>
        <w:divId w:val="1715154830"/>
        <w:rPr>
          <w:rFonts w:eastAsia="Times New Roman"/>
        </w:rPr>
      </w:pPr>
    </w:p>
    <w:p w:rsidR="00000000" w:rsidRDefault="005B0BC3">
      <w:pPr>
        <w:divId w:val="1967809347"/>
        <w:rPr>
          <w:rFonts w:eastAsia="Times New Roman"/>
        </w:rPr>
      </w:pPr>
      <w:r>
        <w:rPr>
          <w:rFonts w:eastAsia="Times New Roman"/>
          <w:color w:val="000000"/>
          <w:sz w:val="20"/>
          <w:szCs w:val="20"/>
        </w:rPr>
        <w:t>Supplemental cash flow information related to leases was as follows:</w:t>
      </w:r>
    </w:p>
    <w:p w:rsidR="00000000" w:rsidRDefault="005B0BC3">
      <w:pPr>
        <w:jc w:val="center"/>
        <w:rPr>
          <w:rFonts w:eastAsia="Times New Roman"/>
        </w:rPr>
      </w:pPr>
      <w:r>
        <w:rPr>
          <w:rFonts w:eastAsia="Times New Roman"/>
          <w:b/>
          <w:bCs/>
          <w:color w:val="000000"/>
          <w:sz w:val="20"/>
          <w:szCs w:val="20"/>
        </w:rPr>
        <w:t>Lease Liabilities Information</w:t>
      </w:r>
    </w:p>
    <w:tbl>
      <w:tblPr>
        <w:tblW w:w="5000" w:type="pct"/>
        <w:tblCellMar>
          <w:top w:w="15" w:type="dxa"/>
          <w:left w:w="15" w:type="dxa"/>
          <w:bottom w:w="15" w:type="dxa"/>
          <w:right w:w="15" w:type="dxa"/>
        </w:tblCellMar>
        <w:tblLook w:val="04A0" w:firstRow="1" w:lastRow="0" w:firstColumn="1" w:lastColumn="0" w:noHBand="0" w:noVBand="1"/>
      </w:tblPr>
      <w:tblGrid>
        <w:gridCol w:w="37"/>
        <w:gridCol w:w="5273"/>
        <w:gridCol w:w="36"/>
        <w:gridCol w:w="120"/>
        <w:gridCol w:w="775"/>
        <w:gridCol w:w="36"/>
        <w:gridCol w:w="36"/>
        <w:gridCol w:w="36"/>
        <w:gridCol w:w="36"/>
        <w:gridCol w:w="120"/>
        <w:gridCol w:w="726"/>
        <w:gridCol w:w="36"/>
        <w:gridCol w:w="36"/>
        <w:gridCol w:w="36"/>
        <w:gridCol w:w="36"/>
        <w:gridCol w:w="120"/>
        <w:gridCol w:w="775"/>
        <w:gridCol w:w="36"/>
      </w:tblGrid>
      <w:tr w:rsidR="00000000">
        <w:trPr>
          <w:divId w:val="447897235"/>
        </w:trPr>
        <w:tc>
          <w:tcPr>
            <w:tcW w:w="50" w:type="pct"/>
            <w:vAlign w:val="center"/>
            <w:hideMark/>
          </w:tcPr>
          <w:p w:rsidR="00000000" w:rsidRDefault="005B0BC3">
            <w:pPr>
              <w:jc w:val="center"/>
              <w:rPr>
                <w:rFonts w:eastAsia="Times New Roman"/>
              </w:rPr>
            </w:pPr>
          </w:p>
        </w:tc>
        <w:tc>
          <w:tcPr>
            <w:tcW w:w="321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0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0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0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447897235"/>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r>
      <w:tr w:rsidR="00000000">
        <w:trPr>
          <w:divId w:val="447897235"/>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447897235"/>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447897235"/>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Cash paid for amounts included in the measurement of lease liabilities:</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447897235"/>
        </w:trPr>
        <w:tc>
          <w:tcPr>
            <w:tcW w:w="0" w:type="auto"/>
            <w:gridSpan w:val="3"/>
            <w:shd w:val="clear" w:color="auto" w:fill="CCEE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Operating cash flows from operating leases</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222 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447897235"/>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Non-cash transactions:</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447897235"/>
        </w:trPr>
        <w:tc>
          <w:tcPr>
            <w:tcW w:w="0" w:type="auto"/>
            <w:gridSpan w:val="3"/>
            <w:shd w:val="clear" w:color="auto" w:fill="CCEE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Leased assets obtained in exchange for new operating lease liabilities</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109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divId w:val="1520048637"/>
        <w:rPr>
          <w:rFonts w:eastAsia="Times New Roman"/>
        </w:rPr>
      </w:pPr>
    </w:p>
    <w:p w:rsidR="00000000" w:rsidRDefault="005B0BC3">
      <w:pPr>
        <w:jc w:val="center"/>
        <w:divId w:val="859245"/>
        <w:rPr>
          <w:rFonts w:eastAsia="Times New Roman"/>
        </w:rPr>
      </w:pPr>
      <w:r>
        <w:rPr>
          <w:rFonts w:eastAsia="Times New Roman"/>
          <w:color w:val="000000"/>
          <w:sz w:val="20"/>
          <w:szCs w:val="20"/>
        </w:rPr>
        <w:t>198</w:t>
      </w:r>
    </w:p>
    <w:p w:rsidR="00000000" w:rsidRDefault="005B0BC3">
      <w:pPr>
        <w:rPr>
          <w:rFonts w:eastAsia="Times New Roman"/>
        </w:rPr>
      </w:pPr>
      <w:r>
        <w:rPr>
          <w:rFonts w:eastAsia="Times New Roman"/>
        </w:rPr>
        <w:pict>
          <v:rect id="_x0000_i1236" style="width:0;height:1.5pt" o:hralign="center" o:hrstd="t" o:hr="t" fillcolor="#a0a0a0" stroked="f"/>
        </w:pict>
      </w:r>
    </w:p>
    <w:p w:rsidR="00000000" w:rsidRDefault="005B0BC3">
      <w:pPr>
        <w:jc w:val="center"/>
        <w:divId w:val="1318611302"/>
        <w:rPr>
          <w:rFonts w:eastAsia="Times New Roman"/>
        </w:rPr>
      </w:pPr>
      <w:r>
        <w:rPr>
          <w:rFonts w:eastAsia="Times New Roman"/>
          <w:b/>
          <w:bCs/>
          <w:color w:val="000000"/>
          <w:sz w:val="20"/>
          <w:szCs w:val="20"/>
        </w:rPr>
        <w:t>EQUITABLE HOLDINGS, INC.</w:t>
      </w:r>
    </w:p>
    <w:p w:rsidR="00000000" w:rsidRDefault="005B0BC3">
      <w:pPr>
        <w:jc w:val="center"/>
        <w:divId w:val="1318611302"/>
        <w:rPr>
          <w:rFonts w:eastAsia="Times New Roman"/>
        </w:rPr>
      </w:pPr>
      <w:r>
        <w:rPr>
          <w:rFonts w:eastAsia="Times New Roman"/>
          <w:b/>
          <w:bCs/>
          <w:color w:val="000000"/>
          <w:sz w:val="20"/>
          <w:szCs w:val="20"/>
        </w:rPr>
        <w:t>NOTES TO CONSOLIDATED FINANCIAL STATEMENTS, continued</w:t>
      </w:r>
    </w:p>
    <w:p w:rsidR="00000000" w:rsidRDefault="005B0BC3">
      <w:pPr>
        <w:divId w:val="636688082"/>
        <w:rPr>
          <w:rFonts w:eastAsia="Times New Roman"/>
        </w:rPr>
      </w:pPr>
      <w:r>
        <w:rPr>
          <w:rFonts w:eastAsia="Times New Roman"/>
          <w:b/>
          <w:bCs/>
          <w:color w:val="000000"/>
          <w:sz w:val="20"/>
          <w:szCs w:val="20"/>
        </w:rPr>
        <w:t>11)    REINSURANCE</w:t>
      </w:r>
    </w:p>
    <w:p w:rsidR="00000000" w:rsidRDefault="005B0BC3">
      <w:pPr>
        <w:divId w:val="227545534"/>
        <w:rPr>
          <w:rFonts w:eastAsia="Times New Roman"/>
        </w:rPr>
      </w:pPr>
      <w:r>
        <w:rPr>
          <w:rFonts w:eastAsia="Times New Roman"/>
          <w:color w:val="000000"/>
          <w:sz w:val="20"/>
          <w:szCs w:val="20"/>
        </w:rPr>
        <w:t>The Company assumes and cedes reinsurance with other insurance companies. The Comp</w:t>
      </w:r>
      <w:r>
        <w:rPr>
          <w:rFonts w:eastAsia="Times New Roman"/>
          <w:color w:val="000000"/>
          <w:sz w:val="20"/>
          <w:szCs w:val="20"/>
        </w:rPr>
        <w:t>any evaluates the financial condition of its reinsurers to minimize its exposure to significant losses from reinsurer insolvencies. Ceded reinsurance does not relieve the originating insurer of liability.</w:t>
      </w:r>
    </w:p>
    <w:p w:rsidR="00000000" w:rsidRDefault="005B0BC3">
      <w:pPr>
        <w:divId w:val="1116602672"/>
        <w:rPr>
          <w:rFonts w:eastAsia="Times New Roman"/>
        </w:rPr>
      </w:pPr>
      <w:r>
        <w:rPr>
          <w:rFonts w:eastAsia="Times New Roman"/>
          <w:color w:val="000000"/>
          <w:sz w:val="20"/>
          <w:szCs w:val="20"/>
        </w:rPr>
        <w:t>The following table summarizes the effect of reinsu</w:t>
      </w:r>
      <w:r>
        <w:rPr>
          <w:rFonts w:eastAsia="Times New Roman"/>
          <w:color w:val="000000"/>
          <w:sz w:val="20"/>
          <w:szCs w:val="20"/>
        </w:rPr>
        <w:t>rance. The impact of the transactions described above results in a decrease to reinsurance assumed and an increase in reinsurance ceded.</w:t>
      </w:r>
    </w:p>
    <w:tbl>
      <w:tblPr>
        <w:tblW w:w="4913" w:type="pct"/>
        <w:tblCellMar>
          <w:top w:w="15" w:type="dxa"/>
          <w:left w:w="15" w:type="dxa"/>
          <w:bottom w:w="15" w:type="dxa"/>
          <w:right w:w="15" w:type="dxa"/>
        </w:tblCellMar>
        <w:tblLook w:val="04A0" w:firstRow="1" w:lastRow="0" w:firstColumn="1" w:lastColumn="0" w:noHBand="0" w:noVBand="1"/>
      </w:tblPr>
      <w:tblGrid>
        <w:gridCol w:w="40"/>
        <w:gridCol w:w="4846"/>
        <w:gridCol w:w="39"/>
        <w:gridCol w:w="36"/>
        <w:gridCol w:w="36"/>
        <w:gridCol w:w="36"/>
        <w:gridCol w:w="36"/>
        <w:gridCol w:w="120"/>
        <w:gridCol w:w="788"/>
        <w:gridCol w:w="36"/>
        <w:gridCol w:w="36"/>
        <w:gridCol w:w="64"/>
        <w:gridCol w:w="36"/>
        <w:gridCol w:w="120"/>
        <w:gridCol w:w="788"/>
        <w:gridCol w:w="36"/>
        <w:gridCol w:w="36"/>
        <w:gridCol w:w="36"/>
        <w:gridCol w:w="36"/>
        <w:gridCol w:w="120"/>
        <w:gridCol w:w="804"/>
        <w:gridCol w:w="36"/>
      </w:tblGrid>
      <w:tr w:rsidR="00000000">
        <w:trPr>
          <w:divId w:val="705371725"/>
        </w:trPr>
        <w:tc>
          <w:tcPr>
            <w:tcW w:w="50" w:type="pct"/>
            <w:vAlign w:val="center"/>
            <w:hideMark/>
          </w:tcPr>
          <w:p w:rsidR="00000000" w:rsidRDefault="005B0BC3">
            <w:pPr>
              <w:rPr>
                <w:rFonts w:eastAsia="Times New Roman"/>
              </w:rPr>
            </w:pPr>
          </w:p>
        </w:tc>
        <w:tc>
          <w:tcPr>
            <w:tcW w:w="305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2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7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2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705371725"/>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705371725"/>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705371725"/>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705371725"/>
        </w:trPr>
        <w:tc>
          <w:tcPr>
            <w:tcW w:w="0" w:type="auto"/>
            <w:gridSpan w:val="3"/>
            <w:shd w:val="clear" w:color="auto" w:fill="CCEE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Direct premiums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970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929 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1,068 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705371725"/>
        </w:trPr>
        <w:tc>
          <w:tcPr>
            <w:tcW w:w="0" w:type="auto"/>
            <w:gridSpan w:val="3"/>
            <w:shd w:val="clear" w:color="auto" w:fill="FFFF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Reinsurance assumed</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189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222 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220 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705371725"/>
        </w:trPr>
        <w:tc>
          <w:tcPr>
            <w:tcW w:w="0" w:type="auto"/>
            <w:gridSpan w:val="3"/>
            <w:shd w:val="clear" w:color="auto" w:fill="CCEE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Reinsurance ceded</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(199)</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(154)</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(141)</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705371725"/>
        </w:trPr>
        <w:tc>
          <w:tcPr>
            <w:tcW w:w="0" w:type="auto"/>
            <w:gridSpan w:val="3"/>
            <w:shd w:val="clear" w:color="auto" w:fill="FFFFFF"/>
            <w:tcMar>
              <w:top w:w="30" w:type="dxa"/>
              <w:left w:w="38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Premiums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960</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705371725"/>
          <w:trHeight w:val="280"/>
        </w:trPr>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705371725"/>
        </w:trPr>
        <w:tc>
          <w:tcPr>
            <w:tcW w:w="0" w:type="auto"/>
            <w:gridSpan w:val="3"/>
            <w:shd w:val="clear" w:color="auto" w:fill="FFFF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Direct charges and fee income</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4,250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4,149 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4,197 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705371725"/>
        </w:trPr>
        <w:tc>
          <w:tcPr>
            <w:tcW w:w="0" w:type="auto"/>
            <w:gridSpan w:val="3"/>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705371725"/>
        </w:trPr>
        <w:tc>
          <w:tcPr>
            <w:tcW w:w="0" w:type="auto"/>
            <w:gridSpan w:val="3"/>
            <w:shd w:val="clear" w:color="auto" w:fill="CCEE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Reinsurance ceded</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(613)</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(414)</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w:t>
            </w:r>
            <w:r>
              <w:rPr>
                <w:rFonts w:eastAsia="Times New Roman"/>
                <w:color w:val="000000"/>
                <w:sz w:val="20"/>
                <w:szCs w:val="20"/>
              </w:rPr>
              <w:t>419)</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705371725"/>
        </w:trPr>
        <w:tc>
          <w:tcPr>
            <w:tcW w:w="0" w:type="auto"/>
            <w:gridSpan w:val="3"/>
            <w:shd w:val="clear" w:color="auto" w:fill="FFFFFF"/>
            <w:tcMar>
              <w:top w:w="30" w:type="dxa"/>
              <w:left w:w="38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Policy charges and fee income</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3,637</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3,735 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3,778 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705371725"/>
          <w:trHeight w:val="280"/>
        </w:trPr>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705371725"/>
        </w:trPr>
        <w:tc>
          <w:tcPr>
            <w:tcW w:w="0" w:type="auto"/>
            <w:gridSpan w:val="3"/>
            <w:shd w:val="clear" w:color="auto" w:fill="FFFF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Direct policyholders’ benefits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3,843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5,826 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4,711 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705371725"/>
        </w:trPr>
        <w:tc>
          <w:tcPr>
            <w:tcW w:w="0" w:type="auto"/>
            <w:gridSpan w:val="3"/>
            <w:shd w:val="clear" w:color="auto" w:fill="CCEE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Reinsurance assumed</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241 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240 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705371725"/>
        </w:trPr>
        <w:tc>
          <w:tcPr>
            <w:tcW w:w="0" w:type="auto"/>
            <w:gridSpan w:val="3"/>
            <w:shd w:val="clear" w:color="auto" w:fill="FFFF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Reinsurance ceded</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(863)</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(741)</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(566)</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705371725"/>
        </w:trPr>
        <w:tc>
          <w:tcPr>
            <w:tcW w:w="0" w:type="auto"/>
            <w:gridSpan w:val="3"/>
            <w:shd w:val="clear" w:color="auto" w:fill="CCEEFF"/>
            <w:tcMar>
              <w:top w:w="30" w:type="dxa"/>
              <w:left w:w="38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Policyholders’ benefits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3,218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5,326 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4,385 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705371725"/>
          <w:trHeight w:val="280"/>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705371725"/>
        </w:trPr>
        <w:tc>
          <w:tcPr>
            <w:tcW w:w="0" w:type="auto"/>
            <w:gridSpan w:val="3"/>
            <w:shd w:val="clear" w:color="auto" w:fill="CCEE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Direct interest credited to policyholders’ account balances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1,252 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1,322 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705371725"/>
        </w:trPr>
        <w:tc>
          <w:tcPr>
            <w:tcW w:w="0" w:type="auto"/>
            <w:gridSpan w:val="3"/>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705371725"/>
        </w:trPr>
        <w:tc>
          <w:tcPr>
            <w:tcW w:w="0" w:type="auto"/>
            <w:gridSpan w:val="3"/>
            <w:shd w:val="clear" w:color="auto" w:fill="FFFF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Reinsurance ceded</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(52)</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(30)</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(59)</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705371725"/>
        </w:trPr>
        <w:tc>
          <w:tcPr>
            <w:tcW w:w="0" w:type="auto"/>
            <w:gridSpan w:val="3"/>
            <w:shd w:val="clear" w:color="auto" w:fill="CCEEFF"/>
            <w:tcMar>
              <w:top w:w="30" w:type="dxa"/>
              <w:left w:w="38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Interest credited to policyholders’ account balances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1,219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1,263 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divId w:val="174543537"/>
        <w:rPr>
          <w:rFonts w:eastAsia="Times New Roman"/>
        </w:rPr>
      </w:pPr>
      <w:r>
        <w:rPr>
          <w:rFonts w:eastAsia="Times New Roman"/>
          <w:color w:val="000000"/>
          <w:sz w:val="20"/>
          <w:szCs w:val="20"/>
          <w:u w:val="single"/>
        </w:rPr>
        <w:t>Ceded Reinsurance</w:t>
      </w:r>
    </w:p>
    <w:p w:rsidR="00000000" w:rsidRDefault="005B0BC3">
      <w:pPr>
        <w:divId w:val="1850212673"/>
        <w:rPr>
          <w:rFonts w:eastAsia="Times New Roman"/>
        </w:rPr>
      </w:pPr>
      <w:r>
        <w:rPr>
          <w:rFonts w:eastAsia="Times New Roman"/>
          <w:color w:val="000000"/>
          <w:sz w:val="20"/>
          <w:szCs w:val="20"/>
        </w:rPr>
        <w:t>The Company reinsures most of its new variable life, UL and term life policies on an excess of retention basis. The Company general</w:t>
      </w:r>
      <w:r>
        <w:rPr>
          <w:rFonts w:eastAsia="Times New Roman"/>
          <w:color w:val="000000"/>
          <w:sz w:val="20"/>
          <w:szCs w:val="20"/>
        </w:rPr>
        <w:t xml:space="preserve">ly retains on a per life basis up to </w:t>
      </w:r>
      <w:r>
        <w:rPr>
          <w:rFonts w:eastAsia="Times New Roman"/>
          <w:color w:val="000000"/>
          <w:sz w:val="18"/>
          <w:szCs w:val="18"/>
        </w:rPr>
        <w:t>$25 million</w:t>
      </w:r>
      <w:r>
        <w:rPr>
          <w:rFonts w:eastAsia="Times New Roman"/>
          <w:color w:val="000000"/>
          <w:sz w:val="20"/>
          <w:szCs w:val="20"/>
        </w:rPr>
        <w:t xml:space="preserve"> for single lives and </w:t>
      </w:r>
      <w:r>
        <w:rPr>
          <w:rFonts w:eastAsia="Times New Roman"/>
          <w:color w:val="000000"/>
          <w:sz w:val="18"/>
          <w:szCs w:val="18"/>
        </w:rPr>
        <w:t>$30 million</w:t>
      </w:r>
      <w:r>
        <w:rPr>
          <w:rFonts w:eastAsia="Times New Roman"/>
          <w:color w:val="000000"/>
          <w:sz w:val="20"/>
          <w:szCs w:val="20"/>
        </w:rPr>
        <w:t xml:space="preserve"> for joint lives with the excess 100% reinsured. The Company also reinsures risk on certain substandard underwriting risks and in certain other cases.</w:t>
      </w:r>
    </w:p>
    <w:p w:rsidR="00000000" w:rsidRDefault="005B0BC3">
      <w:pPr>
        <w:divId w:val="838928026"/>
        <w:rPr>
          <w:rFonts w:eastAsia="Times New Roman"/>
        </w:rPr>
      </w:pPr>
      <w:r>
        <w:rPr>
          <w:rFonts w:eastAsia="Times New Roman"/>
          <w:color w:val="000000"/>
          <w:sz w:val="20"/>
          <w:szCs w:val="20"/>
        </w:rPr>
        <w:t>On June 1, 2021, Holding</w:t>
      </w:r>
      <w:r>
        <w:rPr>
          <w:rFonts w:eastAsia="Times New Roman"/>
          <w:color w:val="000000"/>
          <w:sz w:val="20"/>
          <w:szCs w:val="20"/>
        </w:rPr>
        <w:t xml:space="preserve">s completed the sale of CSLRC to VIAC. Immediately following the closing of the Transaction, CSLRC and Equitable Financial entered into the Reinsurance Agreement, pursuant to which Equitable Financial ceded to CSLRC, on a combined coinsurance and modified </w:t>
      </w:r>
      <w:r>
        <w:rPr>
          <w:rFonts w:eastAsia="Times New Roman"/>
          <w:color w:val="000000"/>
          <w:sz w:val="20"/>
          <w:szCs w:val="20"/>
        </w:rPr>
        <w:t>coinsurance basis, legacy variable annuity policies sold by Equitable Financial between 2006-2008. See Note 1 of the Notes to these Consolidated Financial Statements for details of the Venerable Transaction.</w:t>
      </w:r>
    </w:p>
    <w:p w:rsidR="00000000" w:rsidRDefault="005B0BC3">
      <w:pPr>
        <w:divId w:val="1333217348"/>
        <w:rPr>
          <w:rFonts w:eastAsia="Times New Roman"/>
        </w:rPr>
      </w:pPr>
      <w:r>
        <w:rPr>
          <w:rFonts w:eastAsia="Times New Roman"/>
          <w:color w:val="000000"/>
          <w:sz w:val="20"/>
          <w:szCs w:val="20"/>
        </w:rPr>
        <w:t>As of December 31, 2021 and December 31, 2020, t</w:t>
      </w:r>
      <w:r>
        <w:rPr>
          <w:rFonts w:eastAsia="Times New Roman"/>
          <w:color w:val="000000"/>
          <w:sz w:val="20"/>
          <w:szCs w:val="20"/>
        </w:rPr>
        <w:t>he Company had reinsured with non-affiliates in the aggregate approximately 47.6% and 2.6%, respectively, of its current exposure to the GMDB obligation on annuity contracts in-force and, subject to certain maximum amounts or caps in any one period, approx</w:t>
      </w:r>
      <w:r>
        <w:rPr>
          <w:rFonts w:eastAsia="Times New Roman"/>
          <w:color w:val="000000"/>
          <w:sz w:val="20"/>
          <w:szCs w:val="20"/>
        </w:rPr>
        <w:t>imately 59.8% and 13.4% of its current liability exposure, respectively, resulting from the GMIB feature. For additional information, see Note 9 of the Notes to these Consolidated Financial Statements.</w:t>
      </w:r>
    </w:p>
    <w:p w:rsidR="00000000" w:rsidRDefault="005B0BC3">
      <w:pPr>
        <w:divId w:val="1851335577"/>
        <w:rPr>
          <w:rFonts w:eastAsia="Times New Roman"/>
        </w:rPr>
      </w:pPr>
      <w:r>
        <w:rPr>
          <w:rFonts w:eastAsia="Times New Roman"/>
          <w:color w:val="000000"/>
          <w:sz w:val="20"/>
          <w:szCs w:val="20"/>
        </w:rPr>
        <w:t>In addition to the above, the Company cedes substantia</w:t>
      </w:r>
      <w:r>
        <w:rPr>
          <w:rFonts w:eastAsia="Times New Roman"/>
          <w:color w:val="000000"/>
          <w:sz w:val="20"/>
          <w:szCs w:val="20"/>
        </w:rPr>
        <w:t>lly all of its group health business to a third-party insurer, cedes a portion of its extended term insurance and paid-up life insurance and substantially all of its individual disability income business through various coinsurance agreements.</w:t>
      </w:r>
    </w:p>
    <w:p w:rsidR="00000000" w:rsidRDefault="005B0BC3">
      <w:pPr>
        <w:divId w:val="781999684"/>
        <w:rPr>
          <w:rFonts w:eastAsia="Times New Roman"/>
        </w:rPr>
      </w:pPr>
      <w:r>
        <w:rPr>
          <w:rFonts w:eastAsia="Times New Roman"/>
          <w:color w:val="000000"/>
          <w:sz w:val="20"/>
          <w:szCs w:val="20"/>
          <w:u w:val="single"/>
        </w:rPr>
        <w:t>Assumed Rein</w:t>
      </w:r>
      <w:r>
        <w:rPr>
          <w:rFonts w:eastAsia="Times New Roman"/>
          <w:color w:val="000000"/>
          <w:sz w:val="20"/>
          <w:szCs w:val="20"/>
          <w:u w:val="single"/>
        </w:rPr>
        <w:t>surance</w:t>
      </w:r>
    </w:p>
    <w:p w:rsidR="00000000" w:rsidRDefault="005B0BC3">
      <w:pPr>
        <w:divId w:val="1906138590"/>
        <w:rPr>
          <w:rFonts w:eastAsia="Times New Roman"/>
        </w:rPr>
      </w:pPr>
      <w:r>
        <w:rPr>
          <w:rFonts w:eastAsia="Times New Roman"/>
          <w:color w:val="000000"/>
          <w:sz w:val="20"/>
          <w:szCs w:val="20"/>
        </w:rPr>
        <w:t xml:space="preserve">In addition to the sale of insurance products, the Company currently assumes risk from professional reinsurers. The Company also had a run-off portfolio of assumed reinsurance liabilities at CSLRC which was sold to Venerable in June </w:t>
      </w:r>
    </w:p>
    <w:p w:rsidR="00000000" w:rsidRDefault="005B0BC3">
      <w:pPr>
        <w:jc w:val="center"/>
        <w:divId w:val="614562737"/>
        <w:rPr>
          <w:rFonts w:eastAsia="Times New Roman"/>
        </w:rPr>
      </w:pPr>
      <w:r>
        <w:rPr>
          <w:rFonts w:eastAsia="Times New Roman"/>
          <w:color w:val="000000"/>
          <w:sz w:val="20"/>
          <w:szCs w:val="20"/>
        </w:rPr>
        <w:t>199</w:t>
      </w:r>
    </w:p>
    <w:p w:rsidR="00000000" w:rsidRDefault="005B0BC3">
      <w:pPr>
        <w:rPr>
          <w:rFonts w:eastAsia="Times New Roman"/>
        </w:rPr>
      </w:pPr>
      <w:r>
        <w:rPr>
          <w:rFonts w:eastAsia="Times New Roman"/>
        </w:rPr>
        <w:pict>
          <v:rect id="_x0000_i1237" style="width:0;height:1.5pt" o:hralign="center" o:hrstd="t" o:hr="t" fillcolor="#a0a0a0" stroked="f"/>
        </w:pict>
      </w:r>
    </w:p>
    <w:p w:rsidR="00000000" w:rsidRDefault="005B0BC3">
      <w:pPr>
        <w:jc w:val="center"/>
        <w:divId w:val="2089224096"/>
        <w:rPr>
          <w:rFonts w:eastAsia="Times New Roman"/>
        </w:rPr>
      </w:pPr>
      <w:r>
        <w:rPr>
          <w:rFonts w:eastAsia="Times New Roman"/>
          <w:b/>
          <w:bCs/>
          <w:color w:val="000000"/>
          <w:sz w:val="20"/>
          <w:szCs w:val="20"/>
        </w:rPr>
        <w:t>EQUITABLE HOLDINGS, INC.</w:t>
      </w:r>
    </w:p>
    <w:p w:rsidR="00000000" w:rsidRDefault="005B0BC3">
      <w:pPr>
        <w:jc w:val="center"/>
        <w:divId w:val="2089224096"/>
        <w:rPr>
          <w:rFonts w:eastAsia="Times New Roman"/>
        </w:rPr>
      </w:pPr>
      <w:r>
        <w:rPr>
          <w:rFonts w:eastAsia="Times New Roman"/>
          <w:b/>
          <w:bCs/>
          <w:color w:val="000000"/>
          <w:sz w:val="20"/>
          <w:szCs w:val="20"/>
        </w:rPr>
        <w:t>NOTES TO CONSOLIDATED FINANCIAL STATEMENTS, continued</w:t>
      </w:r>
    </w:p>
    <w:p w:rsidR="00000000" w:rsidRDefault="005B0BC3">
      <w:pPr>
        <w:divId w:val="256913872"/>
        <w:rPr>
          <w:rFonts w:eastAsia="Times New Roman"/>
        </w:rPr>
      </w:pPr>
      <w:r>
        <w:rPr>
          <w:rFonts w:eastAsia="Times New Roman"/>
          <w:color w:val="000000"/>
          <w:sz w:val="20"/>
          <w:szCs w:val="20"/>
        </w:rPr>
        <w:t xml:space="preserve">2021. The Company assumes accident, life, health, annuity (including products covering GMDB and GMIB benefits), aviation, special risk and space risks </w:t>
      </w:r>
      <w:r>
        <w:rPr>
          <w:rFonts w:eastAsia="Times New Roman"/>
          <w:color w:val="000000"/>
          <w:sz w:val="20"/>
          <w:szCs w:val="20"/>
        </w:rPr>
        <w:t xml:space="preserve">by participating in or reinsuring various reinsurance pools and arrangements. </w:t>
      </w:r>
    </w:p>
    <w:p w:rsidR="00000000" w:rsidRDefault="005B0BC3">
      <w:pPr>
        <w:divId w:val="3167040"/>
        <w:rPr>
          <w:rFonts w:eastAsia="Times New Roman"/>
        </w:rPr>
      </w:pPr>
      <w:r>
        <w:rPr>
          <w:rFonts w:eastAsia="Times New Roman"/>
          <w:color w:val="000000"/>
          <w:sz w:val="20"/>
          <w:szCs w:val="20"/>
        </w:rPr>
        <w:t>The following table summarizes the ceded reinsurance GMIB reinsurance contracts, third-party recoverables, amount due to reinsurance and assumed reserves.</w:t>
      </w:r>
    </w:p>
    <w:tbl>
      <w:tblPr>
        <w:tblW w:w="5000" w:type="pct"/>
        <w:tblCellMar>
          <w:top w:w="15" w:type="dxa"/>
          <w:left w:w="15" w:type="dxa"/>
          <w:bottom w:w="15" w:type="dxa"/>
          <w:right w:w="15" w:type="dxa"/>
        </w:tblCellMar>
        <w:tblLook w:val="04A0" w:firstRow="1" w:lastRow="0" w:firstColumn="1" w:lastColumn="0" w:noHBand="0" w:noVBand="1"/>
      </w:tblPr>
      <w:tblGrid>
        <w:gridCol w:w="40"/>
        <w:gridCol w:w="5989"/>
        <w:gridCol w:w="37"/>
        <w:gridCol w:w="120"/>
        <w:gridCol w:w="928"/>
        <w:gridCol w:w="36"/>
        <w:gridCol w:w="36"/>
        <w:gridCol w:w="36"/>
        <w:gridCol w:w="36"/>
        <w:gridCol w:w="120"/>
        <w:gridCol w:w="892"/>
        <w:gridCol w:w="36"/>
      </w:tblGrid>
      <w:tr w:rsidR="00000000">
        <w:trPr>
          <w:divId w:val="1098142441"/>
        </w:trPr>
        <w:tc>
          <w:tcPr>
            <w:tcW w:w="50" w:type="pct"/>
            <w:vAlign w:val="center"/>
            <w:hideMark/>
          </w:tcPr>
          <w:p w:rsidR="00000000" w:rsidRDefault="005B0BC3">
            <w:pPr>
              <w:rPr>
                <w:rFonts w:eastAsia="Times New Roman"/>
              </w:rPr>
            </w:pPr>
          </w:p>
        </w:tc>
        <w:tc>
          <w:tcPr>
            <w:tcW w:w="363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8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8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098142441"/>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098142441"/>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December 31,</w:t>
            </w:r>
          </w:p>
        </w:tc>
      </w:tr>
      <w:tr w:rsidR="00000000">
        <w:trPr>
          <w:divId w:val="1098142441"/>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r>
      <w:tr w:rsidR="00000000">
        <w:trPr>
          <w:divId w:val="1098142441"/>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1098142441"/>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Ceded Reinsurance:</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098142441"/>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Estimated net fair values of ceded GMIB reinsurance contracts, considered derivatives (1)</w:t>
            </w:r>
          </w:p>
        </w:tc>
        <w:tc>
          <w:tcPr>
            <w:tcW w:w="0" w:type="auto"/>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1,848</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2,488 </w:t>
            </w:r>
          </w:p>
        </w:tc>
        <w:tc>
          <w:tcPr>
            <w:tcW w:w="0" w:type="auto"/>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098142441"/>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Estimated net fair values of ceded GMIB NLG ceded reserves to Venerable (2)</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5,813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098142441"/>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Third-party reinsurance recoverables related to insurance contracts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14,679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4,566 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098142441"/>
        </w:trPr>
        <w:tc>
          <w:tcPr>
            <w:tcW w:w="0" w:type="auto"/>
            <w:gridSpan w:val="3"/>
            <w:shd w:val="clear" w:color="auto" w:fill="CCEEFF"/>
            <w:tcMar>
              <w:top w:w="30" w:type="dxa"/>
              <w:left w:w="26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u w:val="single"/>
              </w:rPr>
              <w:t>Top reinsurers:</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098142441"/>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divId w:val="1455322314"/>
              <w:rPr>
                <w:rFonts w:eastAsia="Times New Roman"/>
              </w:rPr>
            </w:pPr>
            <w:r>
              <w:rPr>
                <w:rFonts w:eastAsia="Times New Roman"/>
                <w:color w:val="000000"/>
                <w:sz w:val="20"/>
                <w:szCs w:val="20"/>
              </w:rPr>
              <w:t xml:space="preserve">Venerable </w:t>
            </w:r>
            <w:r>
              <w:rPr>
                <w:rFonts w:eastAsia="Times New Roman"/>
                <w:color w:val="000000"/>
                <w:sz w:val="20"/>
                <w:szCs w:val="20"/>
              </w:rPr>
              <w:t>Insurance and Annuity Company (A- KBRA (IFRS) rating)</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10,291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FFFFFF"/>
            <w:tcMar>
              <w:top w:w="30" w:type="dxa"/>
              <w:left w:w="20" w:type="dxa"/>
              <w:bottom w:w="30" w:type="dxa"/>
              <w:right w:w="140" w:type="dxa"/>
            </w:tcMar>
            <w:vAlign w:val="bottom"/>
            <w:hideMark/>
          </w:tcPr>
          <w:p w:rsidR="00000000" w:rsidRDefault="005B0BC3">
            <w:pPr>
              <w:spacing w:after="100"/>
              <w:jc w:val="right"/>
              <w:rPr>
                <w:rFonts w:eastAsia="Times New Roman"/>
              </w:rPr>
            </w:pPr>
            <w:r>
              <w:rPr>
                <w:rFonts w:eastAsia="Times New Roman"/>
                <w:color w:val="000000"/>
                <w:sz w:val="20"/>
                <w:szCs w:val="20"/>
              </w:rPr>
              <w:t>N/A</w:t>
            </w:r>
          </w:p>
        </w:tc>
      </w:tr>
      <w:tr w:rsidR="00000000">
        <w:trPr>
          <w:divId w:val="1098142441"/>
        </w:trPr>
        <w:tc>
          <w:tcPr>
            <w:tcW w:w="0" w:type="auto"/>
            <w:gridSpan w:val="3"/>
            <w:shd w:val="clear" w:color="auto" w:fill="CCEEFF"/>
            <w:tcMar>
              <w:top w:w="30" w:type="dxa"/>
              <w:left w:w="26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Zurich Life Insurance Company, Ltd. (AA- SAP rating)</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1,318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1,421 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098142441"/>
        </w:trPr>
        <w:tc>
          <w:tcPr>
            <w:tcW w:w="0" w:type="auto"/>
            <w:gridSpan w:val="3"/>
            <w:shd w:val="clear" w:color="auto" w:fill="FFFFFF"/>
            <w:tcMar>
              <w:top w:w="30" w:type="dxa"/>
              <w:left w:w="26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Protective Life Insurance Company (AA- SAP rating)</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1,184 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098142441"/>
        </w:trPr>
        <w:tc>
          <w:tcPr>
            <w:tcW w:w="0" w:type="auto"/>
            <w:gridSpan w:val="3"/>
            <w:shd w:val="clear" w:color="auto" w:fill="CCEEFF"/>
            <w:tcMar>
              <w:top w:w="30" w:type="dxa"/>
              <w:left w:w="26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RGA Reinsurance Company (AA- SAP rating))</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1,138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1,143 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098142441"/>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Ceded group health reserves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098142441"/>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Amount due to reinsurers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1,381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1,381 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098142441"/>
        </w:trPr>
        <w:tc>
          <w:tcPr>
            <w:tcW w:w="0" w:type="auto"/>
            <w:gridSpan w:val="3"/>
            <w:shd w:val="clear" w:color="auto" w:fill="FFFFFF"/>
            <w:tcMar>
              <w:top w:w="30" w:type="dxa"/>
              <w:left w:w="26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u w:val="single"/>
              </w:rPr>
              <w:t>Top reinsurers:</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098142441"/>
        </w:trPr>
        <w:tc>
          <w:tcPr>
            <w:tcW w:w="0" w:type="auto"/>
            <w:gridSpan w:val="3"/>
            <w:shd w:val="clear" w:color="auto" w:fill="CCEEFF"/>
            <w:tcMar>
              <w:top w:w="30" w:type="dxa"/>
              <w:left w:w="26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RGA Reinsurance Company</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5B0BC3">
            <w:pPr>
              <w:spacing w:after="100"/>
              <w:jc w:val="right"/>
              <w:rPr>
                <w:rFonts w:eastAsia="Times New Roman"/>
              </w:rPr>
            </w:pPr>
            <w:r>
              <w:rPr>
                <w:rFonts w:eastAsia="Times New Roman"/>
                <w:color w:val="000000"/>
                <w:sz w:val="20"/>
                <w:szCs w:val="20"/>
              </w:rPr>
              <w:t>1,135</w:t>
            </w:r>
          </w:p>
        </w:tc>
      </w:tr>
      <w:tr w:rsidR="00000000">
        <w:trPr>
          <w:divId w:val="1098142441"/>
        </w:trPr>
        <w:tc>
          <w:tcPr>
            <w:tcW w:w="0" w:type="auto"/>
            <w:gridSpan w:val="3"/>
            <w:shd w:val="clear" w:color="auto" w:fill="FFFFFF"/>
            <w:tcMar>
              <w:top w:w="30" w:type="dxa"/>
              <w:left w:w="26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Protective Life Insurance Company</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098142441"/>
        </w:trPr>
        <w:tc>
          <w:tcPr>
            <w:tcW w:w="0" w:type="auto"/>
            <w:gridSpan w:val="3"/>
            <w:shd w:val="clear" w:color="auto" w:fill="CCEEFF"/>
            <w:tcMar>
              <w:top w:w="30" w:type="dxa"/>
              <w:left w:w="26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Venerable Insurance and Annuity Company</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CCEEFF"/>
            <w:tcMar>
              <w:top w:w="30" w:type="dxa"/>
              <w:left w:w="20" w:type="dxa"/>
              <w:bottom w:w="30" w:type="dxa"/>
              <w:right w:w="140" w:type="dxa"/>
            </w:tcMar>
            <w:vAlign w:val="bottom"/>
            <w:hideMark/>
          </w:tcPr>
          <w:p w:rsidR="00000000" w:rsidRDefault="005B0BC3">
            <w:pPr>
              <w:spacing w:after="100"/>
              <w:jc w:val="right"/>
              <w:rPr>
                <w:rFonts w:eastAsia="Times New Roman"/>
              </w:rPr>
            </w:pPr>
            <w:r>
              <w:rPr>
                <w:rFonts w:eastAsia="Times New Roman"/>
                <w:color w:val="000000"/>
                <w:sz w:val="20"/>
                <w:szCs w:val="20"/>
              </w:rPr>
              <w:t>N/A</w:t>
            </w:r>
          </w:p>
        </w:tc>
      </w:tr>
      <w:tr w:rsidR="00000000">
        <w:trPr>
          <w:divId w:val="1098142441"/>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Assumed Reinsurance:</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098142441"/>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Reinsurance assumed reserves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798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788 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098142441"/>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divId w:val="482435606"/>
              <w:rPr>
                <w:rFonts w:eastAsia="Times New Roman"/>
              </w:rPr>
            </w:pPr>
            <w:r>
              <w:rPr>
                <w:rFonts w:eastAsia="Times New Roman"/>
                <w:color w:val="000000"/>
                <w:sz w:val="20"/>
                <w:szCs w:val="20"/>
              </w:rPr>
              <w:t>Estimated net fair values of assumed GMIB reserves (3)</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195 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ind w:hanging="360"/>
        <w:divId w:val="1098142441"/>
        <w:rPr>
          <w:rFonts w:eastAsia="Times New Roman"/>
        </w:rPr>
      </w:pPr>
      <w:r>
        <w:rPr>
          <w:rFonts w:eastAsia="Times New Roman"/>
          <w:color w:val="000000"/>
          <w:sz w:val="20"/>
          <w:szCs w:val="20"/>
        </w:rPr>
        <w:t>______________</w:t>
      </w:r>
    </w:p>
    <w:p w:rsidR="00000000" w:rsidRDefault="005B0BC3">
      <w:pPr>
        <w:ind w:hanging="360"/>
        <w:divId w:val="1288126388"/>
        <w:rPr>
          <w:rFonts w:eastAsia="Times New Roman"/>
        </w:rPr>
      </w:pPr>
      <w:r>
        <w:rPr>
          <w:rFonts w:eastAsia="Times New Roman"/>
          <w:color w:val="000000"/>
          <w:sz w:val="18"/>
          <w:szCs w:val="18"/>
        </w:rPr>
        <w:t xml:space="preserve">(1)The estimated fair values increased/(decreased) $(640) million, $349 million and $407 </w:t>
      </w:r>
      <w:r>
        <w:rPr>
          <w:rFonts w:eastAsia="Times New Roman"/>
          <w:color w:val="000000"/>
          <w:sz w:val="18"/>
          <w:szCs w:val="18"/>
        </w:rPr>
        <w:t>million for the years ended December 31, 2021, 2020 and 2019, respectively.</w:t>
      </w:r>
    </w:p>
    <w:p w:rsidR="00000000" w:rsidRDefault="005B0BC3">
      <w:pPr>
        <w:ind w:hanging="360"/>
        <w:divId w:val="1833788447"/>
        <w:rPr>
          <w:rFonts w:eastAsia="Times New Roman"/>
        </w:rPr>
      </w:pPr>
      <w:r>
        <w:rPr>
          <w:rFonts w:eastAsia="Times New Roman"/>
          <w:color w:val="000000"/>
          <w:sz w:val="18"/>
          <w:szCs w:val="18"/>
        </w:rPr>
        <w:t>(2)Reported in amounts due from reinsurers. See Note 1 of the Notes to these Consolidated Financial Statements for details of the Venerable transaction.</w:t>
      </w:r>
    </w:p>
    <w:p w:rsidR="00000000" w:rsidRDefault="005B0BC3">
      <w:pPr>
        <w:ind w:hanging="360"/>
        <w:divId w:val="715736957"/>
        <w:rPr>
          <w:rFonts w:eastAsia="Times New Roman"/>
        </w:rPr>
      </w:pPr>
      <w:r>
        <w:rPr>
          <w:rFonts w:eastAsia="Times New Roman"/>
          <w:color w:val="000000"/>
          <w:sz w:val="18"/>
          <w:szCs w:val="18"/>
        </w:rPr>
        <w:t>(3)Change in Reinsurance as</w:t>
      </w:r>
      <w:r>
        <w:rPr>
          <w:rFonts w:eastAsia="Times New Roman"/>
          <w:color w:val="000000"/>
          <w:sz w:val="18"/>
          <w:szCs w:val="18"/>
        </w:rPr>
        <w:t xml:space="preserve">sumed reserves is driven by the sale of </w:t>
      </w:r>
      <w:r>
        <w:rPr>
          <w:rFonts w:eastAsia="Times New Roman"/>
          <w:color w:val="000000"/>
          <w:sz w:val="20"/>
          <w:szCs w:val="20"/>
        </w:rPr>
        <w:t xml:space="preserve">CSLRC </w:t>
      </w:r>
      <w:r>
        <w:rPr>
          <w:rFonts w:eastAsia="Times New Roman"/>
          <w:color w:val="000000"/>
          <w:sz w:val="18"/>
          <w:szCs w:val="18"/>
        </w:rPr>
        <w:t>to Venerable.</w:t>
      </w:r>
    </w:p>
    <w:p w:rsidR="00000000" w:rsidRDefault="005B0BC3">
      <w:pPr>
        <w:jc w:val="center"/>
        <w:divId w:val="340591423"/>
        <w:rPr>
          <w:rFonts w:eastAsia="Times New Roman"/>
        </w:rPr>
      </w:pPr>
      <w:r>
        <w:rPr>
          <w:rFonts w:eastAsia="Times New Roman"/>
          <w:color w:val="000000"/>
          <w:sz w:val="20"/>
          <w:szCs w:val="20"/>
        </w:rPr>
        <w:t>200</w:t>
      </w:r>
    </w:p>
    <w:p w:rsidR="00000000" w:rsidRDefault="005B0BC3">
      <w:pPr>
        <w:rPr>
          <w:rFonts w:eastAsia="Times New Roman"/>
        </w:rPr>
      </w:pPr>
      <w:r>
        <w:rPr>
          <w:rFonts w:eastAsia="Times New Roman"/>
        </w:rPr>
        <w:pict>
          <v:rect id="_x0000_i1238" style="width:0;height:1.5pt" o:hralign="center" o:hrstd="t" o:hr="t" fillcolor="#a0a0a0" stroked="f"/>
        </w:pict>
      </w:r>
    </w:p>
    <w:p w:rsidR="00000000" w:rsidRDefault="005B0BC3">
      <w:pPr>
        <w:jc w:val="center"/>
        <w:divId w:val="938874279"/>
        <w:rPr>
          <w:rFonts w:eastAsia="Times New Roman"/>
        </w:rPr>
      </w:pPr>
      <w:r>
        <w:rPr>
          <w:rFonts w:eastAsia="Times New Roman"/>
          <w:b/>
          <w:bCs/>
          <w:color w:val="000000"/>
          <w:sz w:val="20"/>
          <w:szCs w:val="20"/>
        </w:rPr>
        <w:t>EQUITABLE HOLDINGS, INC.</w:t>
      </w:r>
    </w:p>
    <w:p w:rsidR="00000000" w:rsidRDefault="005B0BC3">
      <w:pPr>
        <w:jc w:val="center"/>
        <w:divId w:val="938874279"/>
        <w:rPr>
          <w:rFonts w:eastAsia="Times New Roman"/>
        </w:rPr>
      </w:pPr>
      <w:r>
        <w:rPr>
          <w:rFonts w:eastAsia="Times New Roman"/>
          <w:b/>
          <w:bCs/>
          <w:color w:val="000000"/>
          <w:sz w:val="20"/>
          <w:szCs w:val="20"/>
        </w:rPr>
        <w:t>NOTES TO CONSOLIDATED FINANCIAL STATEMENTS, continued</w:t>
      </w:r>
    </w:p>
    <w:p w:rsidR="00000000" w:rsidRDefault="005B0BC3">
      <w:pPr>
        <w:divId w:val="801508728"/>
        <w:rPr>
          <w:rFonts w:eastAsia="Times New Roman"/>
        </w:rPr>
      </w:pPr>
      <w:r>
        <w:rPr>
          <w:rFonts w:eastAsia="Times New Roman"/>
          <w:b/>
          <w:bCs/>
          <w:color w:val="000000"/>
          <w:sz w:val="20"/>
          <w:szCs w:val="20"/>
        </w:rPr>
        <w:t xml:space="preserve">12)    SHORT-TERM AND LONG-TERM DEBT </w:t>
      </w:r>
    </w:p>
    <w:p w:rsidR="00000000" w:rsidRDefault="005B0BC3">
      <w:pPr>
        <w:divId w:val="1013536840"/>
        <w:rPr>
          <w:rFonts w:eastAsia="Times New Roman"/>
        </w:rPr>
      </w:pPr>
      <w:r>
        <w:rPr>
          <w:rFonts w:eastAsia="Times New Roman"/>
          <w:color w:val="000000"/>
          <w:sz w:val="20"/>
          <w:szCs w:val="20"/>
        </w:rPr>
        <w:t>The following table sets forth the Company’s total consolidated borrowings. Short-term and long-term debt consists of the following:</w:t>
      </w:r>
    </w:p>
    <w:tbl>
      <w:tblPr>
        <w:tblW w:w="5000" w:type="pct"/>
        <w:tblCellMar>
          <w:top w:w="15" w:type="dxa"/>
          <w:left w:w="15" w:type="dxa"/>
          <w:bottom w:w="15" w:type="dxa"/>
          <w:right w:w="15" w:type="dxa"/>
        </w:tblCellMar>
        <w:tblLook w:val="04A0" w:firstRow="1" w:lastRow="0" w:firstColumn="1" w:lastColumn="0" w:noHBand="0" w:noVBand="1"/>
      </w:tblPr>
      <w:tblGrid>
        <w:gridCol w:w="40"/>
        <w:gridCol w:w="6048"/>
        <w:gridCol w:w="37"/>
        <w:gridCol w:w="120"/>
        <w:gridCol w:w="898"/>
        <w:gridCol w:w="36"/>
        <w:gridCol w:w="36"/>
        <w:gridCol w:w="36"/>
        <w:gridCol w:w="36"/>
        <w:gridCol w:w="120"/>
        <w:gridCol w:w="863"/>
        <w:gridCol w:w="36"/>
      </w:tblGrid>
      <w:tr w:rsidR="00000000">
        <w:trPr>
          <w:divId w:val="676811692"/>
        </w:trPr>
        <w:tc>
          <w:tcPr>
            <w:tcW w:w="50" w:type="pct"/>
            <w:vAlign w:val="center"/>
            <w:hideMark/>
          </w:tcPr>
          <w:p w:rsidR="00000000" w:rsidRDefault="005B0BC3">
            <w:pPr>
              <w:rPr>
                <w:rFonts w:eastAsia="Times New Roman"/>
              </w:rPr>
            </w:pPr>
          </w:p>
        </w:tc>
        <w:tc>
          <w:tcPr>
            <w:tcW w:w="366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6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6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676811692"/>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December 31,</w:t>
            </w:r>
          </w:p>
        </w:tc>
      </w:tr>
      <w:tr w:rsidR="00000000">
        <w:trPr>
          <w:divId w:val="676811692"/>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r>
      <w:tr w:rsidR="00000000">
        <w:trPr>
          <w:divId w:val="676811692"/>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676811692"/>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Short-term debt:</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676811692"/>
        </w:trPr>
        <w:tc>
          <w:tcPr>
            <w:tcW w:w="0" w:type="auto"/>
            <w:gridSpan w:val="3"/>
            <w:shd w:val="clear" w:color="auto" w:fill="CCEEFF"/>
            <w:tcMar>
              <w:top w:w="30" w:type="dxa"/>
              <w:left w:w="155" w:type="dxa"/>
              <w:bottom w:w="30" w:type="dxa"/>
              <w:right w:w="20" w:type="dxa"/>
            </w:tcMar>
            <w:vAlign w:val="center"/>
            <w:hideMark/>
          </w:tcPr>
          <w:p w:rsidR="00000000" w:rsidRDefault="005B0BC3">
            <w:pPr>
              <w:spacing w:after="100"/>
              <w:rPr>
                <w:rFonts w:eastAsia="Times New Roman"/>
              </w:rPr>
            </w:pPr>
            <w:r>
              <w:rPr>
                <w:rFonts w:eastAsia="Times New Roman"/>
                <w:color w:val="000000"/>
                <w:sz w:val="20"/>
                <w:szCs w:val="20"/>
              </w:rPr>
              <w:t>CLO Warehousing Debt (1)</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76811692"/>
        </w:trPr>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676811692"/>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676811692"/>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xml:space="preserve">Total short-term debt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76811692"/>
          <w:trHeight w:val="220"/>
        </w:trPr>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676811692"/>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Long-term debt:</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676811692"/>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divId w:val="1499617668"/>
              <w:rPr>
                <w:rFonts w:eastAsia="Times New Roman"/>
              </w:rPr>
            </w:pPr>
            <w:r>
              <w:rPr>
                <w:rFonts w:eastAsia="Times New Roman"/>
                <w:color w:val="000000"/>
                <w:sz w:val="20"/>
                <w:szCs w:val="20"/>
              </w:rPr>
              <w:t>Senior Notes (5.0%, due 2048)</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1,481 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76811692"/>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divId w:val="1186603873"/>
              <w:rPr>
                <w:rFonts w:eastAsia="Times New Roman"/>
              </w:rPr>
            </w:pPr>
            <w:r>
              <w:rPr>
                <w:rFonts w:eastAsia="Times New Roman"/>
                <w:color w:val="000000"/>
                <w:sz w:val="20"/>
                <w:szCs w:val="20"/>
              </w:rPr>
              <w:t>Senior Notes (4.35%, due 2028)</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1,489 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76811692"/>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divId w:val="1575242563"/>
              <w:rPr>
                <w:rFonts w:eastAsia="Times New Roman"/>
              </w:rPr>
            </w:pPr>
            <w:r>
              <w:rPr>
                <w:rFonts w:eastAsia="Times New Roman"/>
                <w:color w:val="000000"/>
                <w:sz w:val="20"/>
                <w:szCs w:val="20"/>
              </w:rPr>
              <w:t>Senior Notes (3.9%, due 2023)</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796 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76811692"/>
        </w:trPr>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676811692"/>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divId w:val="2011328414"/>
              <w:rPr>
                <w:rFonts w:eastAsia="Times New Roman"/>
              </w:rPr>
            </w:pPr>
            <w:r>
              <w:rPr>
                <w:rFonts w:eastAsia="Times New Roman"/>
                <w:color w:val="000000"/>
                <w:sz w:val="20"/>
                <w:szCs w:val="20"/>
              </w:rPr>
              <w:t>Senior Debentures, (7.0%, due 2028)</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349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349 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76811692"/>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xml:space="preserve">Total long-term debt </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3,839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4,115 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676811692"/>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xml:space="preserve">Total short-term and long-term debt </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3,931</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4,115 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divId w:val="287517833"/>
        <w:rPr>
          <w:rFonts w:eastAsia="Times New Roman"/>
        </w:rPr>
      </w:pPr>
    </w:p>
    <w:p w:rsidR="00000000" w:rsidRDefault="005B0BC3">
      <w:pPr>
        <w:ind w:hanging="360"/>
        <w:divId w:val="450710927"/>
        <w:rPr>
          <w:rFonts w:eastAsia="Times New Roman"/>
        </w:rPr>
      </w:pPr>
      <w:r>
        <w:rPr>
          <w:rFonts w:eastAsia="Times New Roman"/>
          <w:color w:val="000000"/>
          <w:sz w:val="18"/>
          <w:szCs w:val="18"/>
        </w:rPr>
        <w:t>(1) CLO Warehousing Debt related to VIE consolidation of CLO investment.</w:t>
      </w:r>
    </w:p>
    <w:p w:rsidR="00000000" w:rsidRDefault="005B0BC3">
      <w:pPr>
        <w:divId w:val="2104648013"/>
        <w:rPr>
          <w:rFonts w:eastAsia="Times New Roman"/>
        </w:rPr>
      </w:pPr>
      <w:r>
        <w:rPr>
          <w:rFonts w:eastAsia="Times New Roman"/>
          <w:color w:val="000000"/>
          <w:sz w:val="20"/>
          <w:szCs w:val="20"/>
        </w:rPr>
        <w:t>As of December 31, 2021, the Company is in compliance with all debt covenants.</w:t>
      </w:r>
    </w:p>
    <w:p w:rsidR="00000000" w:rsidRDefault="005B0BC3">
      <w:pPr>
        <w:divId w:val="1655134637"/>
        <w:rPr>
          <w:rFonts w:eastAsia="Times New Roman"/>
        </w:rPr>
      </w:pPr>
      <w:r>
        <w:rPr>
          <w:rFonts w:eastAsia="Times New Roman"/>
          <w:color w:val="000000"/>
          <w:sz w:val="20"/>
          <w:szCs w:val="20"/>
          <w:u w:val="single"/>
        </w:rPr>
        <w:t>Short-term Debt</w:t>
      </w:r>
    </w:p>
    <w:p w:rsidR="00000000" w:rsidRDefault="005B0BC3">
      <w:pPr>
        <w:jc w:val="both"/>
        <w:divId w:val="1642075097"/>
        <w:rPr>
          <w:rFonts w:eastAsia="Times New Roman"/>
        </w:rPr>
      </w:pPr>
      <w:r>
        <w:rPr>
          <w:rFonts w:eastAsia="Times New Roman"/>
          <w:b/>
          <w:bCs/>
          <w:i/>
          <w:iCs/>
          <w:color w:val="000000"/>
          <w:sz w:val="20"/>
          <w:szCs w:val="20"/>
        </w:rPr>
        <w:t>AB Commercial Paper</w:t>
      </w:r>
    </w:p>
    <w:p w:rsidR="00000000" w:rsidRDefault="005B0BC3">
      <w:pPr>
        <w:divId w:val="1803577408"/>
        <w:rPr>
          <w:rFonts w:eastAsia="Times New Roman"/>
        </w:rPr>
      </w:pPr>
      <w:r>
        <w:rPr>
          <w:rFonts w:eastAsia="Times New Roman"/>
          <w:color w:val="000000"/>
          <w:sz w:val="20"/>
          <w:szCs w:val="20"/>
        </w:rPr>
        <w:t>As of December 31, 2021 and December </w:t>
      </w:r>
      <w:r>
        <w:rPr>
          <w:rFonts w:eastAsia="Times New Roman"/>
          <w:color w:val="000000"/>
          <w:sz w:val="20"/>
          <w:szCs w:val="20"/>
        </w:rPr>
        <w:t>31, 2020, AB had no commercial paper outstanding. The commercial paper is short term in nature, and as such, recorded value is estimated to approximate fair value (and considered a Level 2 security in the fair value hierarchy). Average daily borrowings for</w:t>
      </w:r>
      <w:r>
        <w:rPr>
          <w:rFonts w:eastAsia="Times New Roman"/>
          <w:color w:val="000000"/>
          <w:sz w:val="20"/>
          <w:szCs w:val="20"/>
        </w:rPr>
        <w:t xml:space="preserve"> the commercial paper outstanding in 2021 were $157 million with a weighted average interest rate of 0.2%. Average daily borrowings for the commercial paper in 2020 were $83 million with a weighted average interest rate of 0.4%. </w:t>
      </w:r>
    </w:p>
    <w:p w:rsidR="00000000" w:rsidRDefault="005B0BC3">
      <w:pPr>
        <w:jc w:val="both"/>
        <w:divId w:val="48650224"/>
        <w:rPr>
          <w:rFonts w:eastAsia="Times New Roman"/>
        </w:rPr>
      </w:pPr>
      <w:r>
        <w:rPr>
          <w:rFonts w:eastAsia="Times New Roman"/>
          <w:b/>
          <w:bCs/>
          <w:i/>
          <w:iCs/>
          <w:color w:val="000000"/>
          <w:sz w:val="20"/>
          <w:szCs w:val="20"/>
        </w:rPr>
        <w:t>AB Revolver Credit Facilit</w:t>
      </w:r>
      <w:r>
        <w:rPr>
          <w:rFonts w:eastAsia="Times New Roman"/>
          <w:b/>
          <w:bCs/>
          <w:i/>
          <w:iCs/>
          <w:color w:val="000000"/>
          <w:sz w:val="20"/>
          <w:szCs w:val="20"/>
        </w:rPr>
        <w:t>y</w:t>
      </w:r>
    </w:p>
    <w:p w:rsidR="00000000" w:rsidRDefault="005B0BC3">
      <w:pPr>
        <w:divId w:val="879512847"/>
        <w:rPr>
          <w:rFonts w:eastAsia="Times New Roman"/>
        </w:rPr>
      </w:pPr>
      <w:r>
        <w:rPr>
          <w:rFonts w:eastAsia="Times New Roman"/>
          <w:color w:val="000000"/>
          <w:sz w:val="20"/>
          <w:szCs w:val="20"/>
        </w:rPr>
        <w:t>AB has a $200 million committed, unsecured senior revolving credit facility (the "AB Revolver") with a leading international bank, which matured on November 16, 2021. The Revolver is available for AB's and SCB LLC's business purposes, including the provi</w:t>
      </w:r>
      <w:r>
        <w:rPr>
          <w:rFonts w:eastAsia="Times New Roman"/>
          <w:color w:val="000000"/>
          <w:sz w:val="20"/>
          <w:szCs w:val="20"/>
        </w:rPr>
        <w:t>sion of additional liquidity to meet funding requirements primarily related to SCB LLC's operations. Both AB and SCB LLC were able to draw directly under the Revolver and management did so from time to time. AB agreed to guarantee the obligations of SCB LL</w:t>
      </w:r>
      <w:r>
        <w:rPr>
          <w:rFonts w:eastAsia="Times New Roman"/>
          <w:color w:val="000000"/>
          <w:sz w:val="20"/>
          <w:szCs w:val="20"/>
        </w:rPr>
        <w:t xml:space="preserve">C under the Revolver. The Revolver contains affirmative, negative and financial covenants that were identical to those of the Credit Facility. Borrowings under the Revolver bear interest at a rate per annum, which could be, at AB's option, a rate equal to </w:t>
      </w:r>
      <w:r>
        <w:rPr>
          <w:rFonts w:eastAsia="Times New Roman"/>
          <w:color w:val="000000"/>
          <w:sz w:val="20"/>
          <w:szCs w:val="20"/>
        </w:rPr>
        <w:t>an applicable margin, which was subject to adjustment based on the credit ratings of AB, plus one of the following indices: London Interbank Offered Rate; a floating base rate; or the Federal Funds rate. As of December 31, 2021 and December 31, 2020, AB ha</w:t>
      </w:r>
      <w:r>
        <w:rPr>
          <w:rFonts w:eastAsia="Times New Roman"/>
          <w:color w:val="000000"/>
          <w:sz w:val="20"/>
          <w:szCs w:val="20"/>
        </w:rPr>
        <w:t>d no amounts outstanding under the AB Revolver. Average daily borrowings for 2021 and 2020 were $13 million and $17 million, with weighted average interest rates of 1.1% and 1.6%, respectively.</w:t>
      </w:r>
    </w:p>
    <w:p w:rsidR="00000000" w:rsidRDefault="005B0BC3">
      <w:pPr>
        <w:divId w:val="1376930028"/>
        <w:rPr>
          <w:rFonts w:eastAsia="Times New Roman"/>
        </w:rPr>
      </w:pPr>
      <w:r>
        <w:rPr>
          <w:rFonts w:eastAsia="Times New Roman"/>
          <w:color w:val="000000"/>
          <w:sz w:val="20"/>
          <w:szCs w:val="20"/>
          <w:u w:val="single"/>
        </w:rPr>
        <w:t xml:space="preserve">Long-term Debt </w:t>
      </w:r>
    </w:p>
    <w:p w:rsidR="00000000" w:rsidRDefault="005B0BC3">
      <w:pPr>
        <w:jc w:val="both"/>
        <w:divId w:val="378012482"/>
        <w:rPr>
          <w:rFonts w:eastAsia="Times New Roman"/>
        </w:rPr>
      </w:pPr>
      <w:r>
        <w:rPr>
          <w:rFonts w:eastAsia="Times New Roman"/>
          <w:b/>
          <w:bCs/>
          <w:i/>
          <w:iCs/>
          <w:color w:val="000000"/>
          <w:sz w:val="20"/>
          <w:szCs w:val="20"/>
        </w:rPr>
        <w:t>Holdings Senior Notes and Senior Debentures</w:t>
      </w:r>
    </w:p>
    <w:p w:rsidR="00000000" w:rsidRDefault="005B0BC3">
      <w:pPr>
        <w:divId w:val="2085567288"/>
        <w:rPr>
          <w:rFonts w:eastAsia="Times New Roman"/>
        </w:rPr>
      </w:pPr>
      <w:r>
        <w:rPr>
          <w:rFonts w:eastAsia="Times New Roman"/>
          <w:color w:val="000000"/>
          <w:sz w:val="20"/>
          <w:szCs w:val="20"/>
        </w:rPr>
        <w:t>On</w:t>
      </w:r>
      <w:r>
        <w:rPr>
          <w:rFonts w:eastAsia="Times New Roman"/>
          <w:color w:val="000000"/>
          <w:sz w:val="20"/>
          <w:szCs w:val="20"/>
        </w:rPr>
        <w:t xml:space="preserve"> April 20, 2018, Holdings issued $800 million aggregate principal amount of 3.9% Senior Notes due 2023, $1.5 billion aggregate principal amount of 4.35% Senior Notes due 2028 and $1.5 billion aggregate principal amount of 5.0% Senior Notes due 2048 (togeth</w:t>
      </w:r>
      <w:r>
        <w:rPr>
          <w:rFonts w:eastAsia="Times New Roman"/>
          <w:color w:val="000000"/>
          <w:sz w:val="20"/>
          <w:szCs w:val="20"/>
        </w:rPr>
        <w:t>er, the “Notes”). These amounts are recorded net of original issue discount and issuance costs. As of December 31, 2021 and 2020, the 3.9% Senior Notes due 2023 and 4.35% Senior Notes due 2028 remain outstanding. During 2021 Holdings made a principal prepa</w:t>
      </w:r>
      <w:r>
        <w:rPr>
          <w:rFonts w:eastAsia="Times New Roman"/>
          <w:color w:val="000000"/>
          <w:sz w:val="20"/>
          <w:szCs w:val="20"/>
        </w:rPr>
        <w:t>yment of $280 million on the 3.9% Senior Notes due 2023,</w:t>
      </w:r>
    </w:p>
    <w:p w:rsidR="00000000" w:rsidRDefault="005B0BC3">
      <w:pPr>
        <w:jc w:val="center"/>
        <w:divId w:val="1804083517"/>
        <w:rPr>
          <w:rFonts w:eastAsia="Times New Roman"/>
        </w:rPr>
      </w:pPr>
      <w:r>
        <w:rPr>
          <w:rFonts w:eastAsia="Times New Roman"/>
          <w:color w:val="000000"/>
          <w:sz w:val="20"/>
          <w:szCs w:val="20"/>
        </w:rPr>
        <w:t>201</w:t>
      </w:r>
    </w:p>
    <w:p w:rsidR="00000000" w:rsidRDefault="005B0BC3">
      <w:pPr>
        <w:rPr>
          <w:rFonts w:eastAsia="Times New Roman"/>
        </w:rPr>
      </w:pPr>
      <w:r>
        <w:rPr>
          <w:rFonts w:eastAsia="Times New Roman"/>
        </w:rPr>
        <w:pict>
          <v:rect id="_x0000_i1239" style="width:0;height:1.5pt" o:hralign="center" o:hrstd="t" o:hr="t" fillcolor="#a0a0a0" stroked="f"/>
        </w:pict>
      </w:r>
    </w:p>
    <w:p w:rsidR="00000000" w:rsidRDefault="005B0BC3">
      <w:pPr>
        <w:jc w:val="center"/>
        <w:divId w:val="600647047"/>
        <w:rPr>
          <w:rFonts w:eastAsia="Times New Roman"/>
        </w:rPr>
      </w:pPr>
      <w:r>
        <w:rPr>
          <w:rFonts w:eastAsia="Times New Roman"/>
          <w:b/>
          <w:bCs/>
          <w:color w:val="000000"/>
          <w:sz w:val="20"/>
          <w:szCs w:val="20"/>
        </w:rPr>
        <w:t>EQUITABLE HOLDINGS, INC.</w:t>
      </w:r>
    </w:p>
    <w:p w:rsidR="00000000" w:rsidRDefault="005B0BC3">
      <w:pPr>
        <w:jc w:val="center"/>
        <w:divId w:val="600647047"/>
        <w:rPr>
          <w:rFonts w:eastAsia="Times New Roman"/>
        </w:rPr>
      </w:pPr>
      <w:r>
        <w:rPr>
          <w:rFonts w:eastAsia="Times New Roman"/>
          <w:b/>
          <w:bCs/>
          <w:color w:val="000000"/>
          <w:sz w:val="20"/>
          <w:szCs w:val="20"/>
        </w:rPr>
        <w:t>NOTES TO CONSOLIDATED FINANCIAL STATEMENTS, continued</w:t>
      </w:r>
    </w:p>
    <w:p w:rsidR="00000000" w:rsidRDefault="005B0BC3">
      <w:pPr>
        <w:divId w:val="989554209"/>
        <w:rPr>
          <w:rFonts w:eastAsia="Times New Roman"/>
        </w:rPr>
      </w:pPr>
      <w:r>
        <w:rPr>
          <w:rFonts w:eastAsia="Times New Roman"/>
          <w:color w:val="000000"/>
          <w:sz w:val="20"/>
          <w:szCs w:val="20"/>
        </w:rPr>
        <w:t>As of December </w:t>
      </w:r>
      <w:r>
        <w:rPr>
          <w:rFonts w:eastAsia="Times New Roman"/>
          <w:color w:val="000000"/>
          <w:sz w:val="20"/>
          <w:szCs w:val="20"/>
        </w:rPr>
        <w:t>31, 2021 and 2020, Holdings had outstanding $349 million aggregate principal amount of 7.0% Senior Debentures due 2028 (the “Senior Debentures”). On October 1, 2018, AXA Financial merged with and into its direct parent, Holdings, with Holdings continuing a</w:t>
      </w:r>
      <w:r>
        <w:rPr>
          <w:rFonts w:eastAsia="Times New Roman"/>
          <w:color w:val="000000"/>
          <w:sz w:val="20"/>
          <w:szCs w:val="20"/>
        </w:rPr>
        <w:t>s the surviving entity( the “AXA Financial Merger”). As a result of the AXA Financial merger, Holdings assumed AXA Financial’s obligations under the Senior Debentures.</w:t>
      </w:r>
    </w:p>
    <w:p w:rsidR="00000000" w:rsidRDefault="005B0BC3">
      <w:pPr>
        <w:divId w:val="562570281"/>
        <w:rPr>
          <w:rFonts w:eastAsia="Times New Roman"/>
        </w:rPr>
      </w:pPr>
      <w:r>
        <w:rPr>
          <w:rFonts w:eastAsia="Times New Roman"/>
          <w:color w:val="000000"/>
          <w:sz w:val="20"/>
          <w:szCs w:val="20"/>
        </w:rPr>
        <w:t>The Notes and Senior Debentures contain customary affirmative and negative covenants, in</w:t>
      </w:r>
      <w:r>
        <w:rPr>
          <w:rFonts w:eastAsia="Times New Roman"/>
          <w:color w:val="000000"/>
          <w:sz w:val="20"/>
          <w:szCs w:val="20"/>
        </w:rPr>
        <w:t>cluding a limitation on certain liens and a limit on the Company’s ability to consolidate, merge or sell or otherwise dispose of all or substantially all of its assets. The Notes and Senior Debentures also include customary events of default (with customar</w:t>
      </w:r>
      <w:r>
        <w:rPr>
          <w:rFonts w:eastAsia="Times New Roman"/>
          <w:color w:val="000000"/>
          <w:sz w:val="20"/>
          <w:szCs w:val="20"/>
        </w:rPr>
        <w:t>y grace periods, as applicable), including provisions under which, upon the occurrence of an event of default, all outstanding Notes and Senior Debentures may be accelerated. As of December 31, 2021, the Company was not in breach of any of the covenants.</w:t>
      </w:r>
    </w:p>
    <w:p w:rsidR="00000000" w:rsidRDefault="005B0BC3">
      <w:pPr>
        <w:jc w:val="both"/>
        <w:divId w:val="981930085"/>
        <w:rPr>
          <w:rFonts w:eastAsia="Times New Roman"/>
        </w:rPr>
      </w:pPr>
      <w:r>
        <w:rPr>
          <w:rFonts w:eastAsia="Times New Roman"/>
          <w:b/>
          <w:bCs/>
          <w:i/>
          <w:iCs/>
          <w:color w:val="000000"/>
          <w:sz w:val="20"/>
          <w:szCs w:val="20"/>
        </w:rPr>
        <w:t>C</w:t>
      </w:r>
      <w:r>
        <w:rPr>
          <w:rFonts w:eastAsia="Times New Roman"/>
          <w:b/>
          <w:bCs/>
          <w:i/>
          <w:iCs/>
          <w:color w:val="000000"/>
          <w:sz w:val="20"/>
          <w:szCs w:val="20"/>
        </w:rPr>
        <w:t>ontingent Funding Arrangements</w:t>
      </w:r>
    </w:p>
    <w:p w:rsidR="00000000" w:rsidRDefault="005B0BC3">
      <w:pPr>
        <w:divId w:val="134835123"/>
        <w:rPr>
          <w:rFonts w:eastAsia="Times New Roman"/>
        </w:rPr>
      </w:pPr>
      <w:r>
        <w:rPr>
          <w:rFonts w:eastAsia="Times New Roman"/>
          <w:color w:val="000000"/>
          <w:sz w:val="20"/>
          <w:szCs w:val="20"/>
        </w:rPr>
        <w:t>For information regarding activity pertaining to our contingent funding arrangements, see Note 17 of the Notes to these Consolidated Financial Statements.</w:t>
      </w:r>
    </w:p>
    <w:p w:rsidR="00000000" w:rsidRDefault="005B0BC3">
      <w:pPr>
        <w:divId w:val="1518423463"/>
        <w:rPr>
          <w:rFonts w:eastAsia="Times New Roman"/>
        </w:rPr>
      </w:pPr>
      <w:r>
        <w:rPr>
          <w:rFonts w:eastAsia="Times New Roman"/>
          <w:color w:val="000000"/>
          <w:sz w:val="20"/>
          <w:szCs w:val="20"/>
          <w:u w:val="single"/>
        </w:rPr>
        <w:t>Credit Facilities</w:t>
      </w:r>
    </w:p>
    <w:p w:rsidR="00000000" w:rsidRDefault="005B0BC3">
      <w:pPr>
        <w:jc w:val="both"/>
        <w:divId w:val="383529039"/>
        <w:rPr>
          <w:rFonts w:eastAsia="Times New Roman"/>
        </w:rPr>
      </w:pPr>
      <w:r>
        <w:rPr>
          <w:rFonts w:eastAsia="Times New Roman"/>
          <w:b/>
          <w:bCs/>
          <w:i/>
          <w:iCs/>
          <w:color w:val="000000"/>
          <w:sz w:val="20"/>
          <w:szCs w:val="20"/>
        </w:rPr>
        <w:t>Holdings Revolving Credit Facility</w:t>
      </w:r>
    </w:p>
    <w:p w:rsidR="00000000" w:rsidRDefault="005B0BC3">
      <w:pPr>
        <w:divId w:val="1711609931"/>
        <w:rPr>
          <w:rFonts w:eastAsia="Times New Roman"/>
        </w:rPr>
      </w:pPr>
      <w:r>
        <w:rPr>
          <w:rFonts w:eastAsia="Times New Roman"/>
          <w:color w:val="000000"/>
          <w:sz w:val="20"/>
          <w:szCs w:val="20"/>
        </w:rPr>
        <w:t>In February 2018,</w:t>
      </w:r>
      <w:r>
        <w:rPr>
          <w:rFonts w:eastAsia="Times New Roman"/>
          <w:color w:val="000000"/>
          <w:sz w:val="20"/>
          <w:szCs w:val="20"/>
        </w:rPr>
        <w:t xml:space="preserve"> Holdings entered into a $2.5 billion five-year senior unsecured revolving credit facility with a syndicate of banks. In June 2021, Holdings entered into an amended and restated revolving credit agreement, which lowered the facility amount to $1.5 billion </w:t>
      </w:r>
      <w:r>
        <w:rPr>
          <w:rFonts w:eastAsia="Times New Roman"/>
          <w:color w:val="000000"/>
          <w:sz w:val="20"/>
          <w:szCs w:val="20"/>
        </w:rPr>
        <w:t xml:space="preserve">and extended the maturity date to June 24, 2026, among other changes. The revolving credit facility has a sub-limit of $1.5 billion for the issuance of letters of credit to support the life insurance business reinsured by EQ AZ Life Re. As of December 31, </w:t>
      </w:r>
      <w:r>
        <w:rPr>
          <w:rFonts w:eastAsia="Times New Roman"/>
          <w:color w:val="000000"/>
          <w:sz w:val="20"/>
          <w:szCs w:val="20"/>
        </w:rPr>
        <w:t xml:space="preserve">2021, the Company had $0 million of undrawn letters of credit issued out of the $1.5 billion sub-limit for Equitable Financial as beneficiary. </w:t>
      </w:r>
    </w:p>
    <w:p w:rsidR="00000000" w:rsidRDefault="005B0BC3">
      <w:pPr>
        <w:jc w:val="both"/>
        <w:divId w:val="1996949165"/>
        <w:rPr>
          <w:rFonts w:eastAsia="Times New Roman"/>
        </w:rPr>
      </w:pPr>
      <w:r>
        <w:rPr>
          <w:rFonts w:eastAsia="Times New Roman"/>
          <w:b/>
          <w:bCs/>
          <w:i/>
          <w:iCs/>
          <w:color w:val="000000"/>
          <w:sz w:val="20"/>
          <w:szCs w:val="20"/>
        </w:rPr>
        <w:t>Bilateral Letter of Credit Facilities</w:t>
      </w:r>
    </w:p>
    <w:p w:rsidR="00000000" w:rsidRDefault="005B0BC3">
      <w:pPr>
        <w:divId w:val="632829146"/>
        <w:rPr>
          <w:rFonts w:eastAsia="Times New Roman"/>
        </w:rPr>
      </w:pPr>
      <w:r>
        <w:rPr>
          <w:rFonts w:eastAsia="Times New Roman"/>
          <w:color w:val="000000"/>
          <w:sz w:val="20"/>
          <w:szCs w:val="20"/>
        </w:rPr>
        <w:t>In February 2018, the Company entered into bilateral letter of credit faci</w:t>
      </w:r>
      <w:r>
        <w:rPr>
          <w:rFonts w:eastAsia="Times New Roman"/>
          <w:color w:val="000000"/>
          <w:sz w:val="20"/>
          <w:szCs w:val="20"/>
        </w:rPr>
        <w:t>lities, each guaranteed by Holdings, with an aggregate principal amount of approximately $1.9 billion, with multiple counterparties. In June 2021, Holdings entered into amendments with each of the issuers of its bilateral letter of credit facilities to eff</w:t>
      </w:r>
      <w:r>
        <w:rPr>
          <w:rFonts w:eastAsia="Times New Roman"/>
          <w:color w:val="000000"/>
          <w:sz w:val="20"/>
          <w:szCs w:val="20"/>
        </w:rPr>
        <w:t xml:space="preserve">ect changes similar to those effected in the amended and restated revolving credit agreement. The respective facility limits of the bilateral letter of credit facilities remained unchanged. These facilities support the life insurance business reinsured by </w:t>
      </w:r>
      <w:r>
        <w:rPr>
          <w:rFonts w:eastAsia="Times New Roman"/>
          <w:color w:val="000000"/>
          <w:sz w:val="20"/>
          <w:szCs w:val="20"/>
        </w:rPr>
        <w:t>EQ AZ Life Re. The HSBC facility matures on February 16, 2024 and the rest of the facilities mature on February 16, 2026.</w:t>
      </w:r>
    </w:p>
    <w:p w:rsidR="00000000" w:rsidRDefault="005B0BC3">
      <w:pPr>
        <w:jc w:val="both"/>
        <w:divId w:val="353239081"/>
        <w:rPr>
          <w:rFonts w:eastAsia="Times New Roman"/>
        </w:rPr>
      </w:pPr>
      <w:r>
        <w:rPr>
          <w:rFonts w:eastAsia="Times New Roman"/>
          <w:b/>
          <w:bCs/>
          <w:i/>
          <w:iCs/>
          <w:color w:val="000000"/>
          <w:sz w:val="20"/>
          <w:szCs w:val="20"/>
        </w:rPr>
        <w:t>AB Credit Facility</w:t>
      </w:r>
    </w:p>
    <w:p w:rsidR="00000000" w:rsidRDefault="005B0BC3">
      <w:pPr>
        <w:divId w:val="880902054"/>
        <w:rPr>
          <w:rFonts w:eastAsia="Times New Roman"/>
        </w:rPr>
      </w:pPr>
      <w:r>
        <w:rPr>
          <w:rFonts w:eastAsia="Times New Roman"/>
          <w:color w:val="000000"/>
          <w:sz w:val="20"/>
          <w:szCs w:val="20"/>
        </w:rPr>
        <w:t>AB has a $800 million committed, unsecured senior revolving credit facility (the “AB Credit Facility”) with a group</w:t>
      </w:r>
      <w:r>
        <w:rPr>
          <w:rFonts w:eastAsia="Times New Roman"/>
          <w:color w:val="000000"/>
          <w:sz w:val="20"/>
          <w:szCs w:val="20"/>
        </w:rPr>
        <w:t xml:space="preserve"> of commercial banks and other lenders which had an original maturity date of September 27, 2023. On October 13, 2021 AB amended and restated the existing Credit Facility agreement, extending the maturity date from September 27, 2023 to October 13, 2026. T</w:t>
      </w:r>
      <w:r>
        <w:rPr>
          <w:rFonts w:eastAsia="Times New Roman"/>
          <w:color w:val="000000"/>
          <w:sz w:val="20"/>
          <w:szCs w:val="20"/>
        </w:rPr>
        <w:t xml:space="preserve">here were no other significant changes included in the amendment. </w:t>
      </w:r>
    </w:p>
    <w:p w:rsidR="00000000" w:rsidRDefault="005B0BC3">
      <w:pPr>
        <w:divId w:val="725180528"/>
        <w:rPr>
          <w:rFonts w:eastAsia="Times New Roman"/>
        </w:rPr>
      </w:pPr>
    </w:p>
    <w:p w:rsidR="00000000" w:rsidRDefault="005B0BC3">
      <w:pPr>
        <w:divId w:val="1097362711"/>
        <w:rPr>
          <w:rFonts w:eastAsia="Times New Roman"/>
        </w:rPr>
      </w:pPr>
      <w:r>
        <w:rPr>
          <w:rFonts w:eastAsia="Times New Roman"/>
          <w:color w:val="000000"/>
          <w:sz w:val="20"/>
          <w:szCs w:val="20"/>
        </w:rPr>
        <w:t>The credit facility provides for possible increases in the principal amount by up to an aggregate incremental amount of $200 million. Any such increase is subject to the consent of the af</w:t>
      </w:r>
      <w:r>
        <w:rPr>
          <w:rFonts w:eastAsia="Times New Roman"/>
          <w:color w:val="000000"/>
          <w:sz w:val="20"/>
          <w:szCs w:val="20"/>
        </w:rPr>
        <w:t>fected lenders. The AB Credit Facility is available for AB and SCB LLC for business purposes, including the support of AB’s commercial paper program. Both AB and SCB LLC can draw directly under the AB Credit Facility and AB management may draw on the AB Cr</w:t>
      </w:r>
      <w:r>
        <w:rPr>
          <w:rFonts w:eastAsia="Times New Roman"/>
          <w:color w:val="000000"/>
          <w:sz w:val="20"/>
          <w:szCs w:val="20"/>
        </w:rPr>
        <w:t>edit Facility from time to time. AB has agreed to guarantee the obligations of SCB LLC under the AB Credit Facility.</w:t>
      </w:r>
    </w:p>
    <w:p w:rsidR="00000000" w:rsidRDefault="005B0BC3">
      <w:pPr>
        <w:divId w:val="1127432909"/>
        <w:rPr>
          <w:rFonts w:eastAsia="Times New Roman"/>
        </w:rPr>
      </w:pPr>
      <w:r>
        <w:rPr>
          <w:rFonts w:eastAsia="Times New Roman"/>
          <w:color w:val="000000"/>
          <w:sz w:val="20"/>
          <w:szCs w:val="20"/>
        </w:rPr>
        <w:t xml:space="preserve">The AB Credit Facility contains affirmative, negative and financial covenants, which are customary for facilities of this type, including, </w:t>
      </w:r>
      <w:r>
        <w:rPr>
          <w:rFonts w:eastAsia="Times New Roman"/>
          <w:color w:val="000000"/>
          <w:sz w:val="20"/>
          <w:szCs w:val="20"/>
        </w:rPr>
        <w:t>restrictions on dispositions of assets, restrictions on liens, a minimum interest coverage ratio and a maximum leverage ratio. As of December 31, 2021, AB was in compliance with these covenants. The AB Credit Facility also includes customary events of defa</w:t>
      </w:r>
      <w:r>
        <w:rPr>
          <w:rFonts w:eastAsia="Times New Roman"/>
          <w:color w:val="000000"/>
          <w:sz w:val="20"/>
          <w:szCs w:val="20"/>
        </w:rPr>
        <w:t>ult (with customary grace periods, as applicable), including provisions under which, upon the occurrence of an event of default, all outstanding loans may be accelerated and/or lender’s commitments may be terminated. Also, under such provisions, upon the o</w:t>
      </w:r>
      <w:r>
        <w:rPr>
          <w:rFonts w:eastAsia="Times New Roman"/>
          <w:color w:val="000000"/>
          <w:sz w:val="20"/>
          <w:szCs w:val="20"/>
        </w:rPr>
        <w:t>ccurrence of certain insolvency- or bankruptcy-related events of default, all amounts payable under the AB Credit Facility would automatically become immediately due and payable, and the lender’s commitments would automatically terminate.</w:t>
      </w:r>
    </w:p>
    <w:p w:rsidR="00000000" w:rsidRDefault="005B0BC3">
      <w:pPr>
        <w:jc w:val="center"/>
        <w:divId w:val="1420757608"/>
        <w:rPr>
          <w:rFonts w:eastAsia="Times New Roman"/>
        </w:rPr>
      </w:pPr>
      <w:r>
        <w:rPr>
          <w:rFonts w:eastAsia="Times New Roman"/>
          <w:color w:val="000000"/>
          <w:sz w:val="20"/>
          <w:szCs w:val="20"/>
        </w:rPr>
        <w:t>202</w:t>
      </w:r>
    </w:p>
    <w:p w:rsidR="00000000" w:rsidRDefault="005B0BC3">
      <w:pPr>
        <w:rPr>
          <w:rFonts w:eastAsia="Times New Roman"/>
        </w:rPr>
      </w:pPr>
      <w:r>
        <w:rPr>
          <w:rFonts w:eastAsia="Times New Roman"/>
        </w:rPr>
        <w:pict>
          <v:rect id="_x0000_i1240" style="width:0;height:1.5pt" o:hralign="center" o:hrstd="t" o:hr="t" fillcolor="#a0a0a0" stroked="f"/>
        </w:pict>
      </w:r>
    </w:p>
    <w:p w:rsidR="00000000" w:rsidRDefault="005B0BC3">
      <w:pPr>
        <w:jc w:val="center"/>
        <w:divId w:val="1785610071"/>
        <w:rPr>
          <w:rFonts w:eastAsia="Times New Roman"/>
        </w:rPr>
      </w:pPr>
      <w:r>
        <w:rPr>
          <w:rFonts w:eastAsia="Times New Roman"/>
          <w:b/>
          <w:bCs/>
          <w:color w:val="000000"/>
          <w:sz w:val="20"/>
          <w:szCs w:val="20"/>
        </w:rPr>
        <w:t>EQUITABLE HOLDINGS, INC.</w:t>
      </w:r>
    </w:p>
    <w:p w:rsidR="00000000" w:rsidRDefault="005B0BC3">
      <w:pPr>
        <w:jc w:val="center"/>
        <w:divId w:val="1785610071"/>
        <w:rPr>
          <w:rFonts w:eastAsia="Times New Roman"/>
        </w:rPr>
      </w:pPr>
      <w:r>
        <w:rPr>
          <w:rFonts w:eastAsia="Times New Roman"/>
          <w:b/>
          <w:bCs/>
          <w:color w:val="000000"/>
          <w:sz w:val="20"/>
          <w:szCs w:val="20"/>
        </w:rPr>
        <w:t>NOTES TO CONSOLIDATED FINANCIAL STATEMENTS, continued</w:t>
      </w:r>
    </w:p>
    <w:p w:rsidR="00000000" w:rsidRDefault="005B0BC3">
      <w:pPr>
        <w:divId w:val="2136830393"/>
        <w:rPr>
          <w:rFonts w:eastAsia="Times New Roman"/>
        </w:rPr>
      </w:pPr>
      <w:r>
        <w:rPr>
          <w:rFonts w:eastAsia="Times New Roman"/>
          <w:color w:val="000000"/>
          <w:sz w:val="20"/>
          <w:szCs w:val="20"/>
        </w:rPr>
        <w:t>Amounts under the Credit Facility may be borrowed, repaid and re-borrowed by us from time to time until the maturity of the facility. Volunta</w:t>
      </w:r>
      <w:r>
        <w:rPr>
          <w:rFonts w:eastAsia="Times New Roman"/>
          <w:color w:val="000000"/>
          <w:sz w:val="20"/>
          <w:szCs w:val="20"/>
        </w:rPr>
        <w:t xml:space="preserve">ry prepayments and commitment reductions requested by AB are permitted at any time without a fee (other than customary breakage costs relating to the prepayment of any drawn loans) upon proper notice and subject to a minimum dollar requirement. Borrowings </w:t>
      </w:r>
      <w:r>
        <w:rPr>
          <w:rFonts w:eastAsia="Times New Roman"/>
          <w:color w:val="000000"/>
          <w:sz w:val="20"/>
          <w:szCs w:val="20"/>
        </w:rPr>
        <w:t>under the AB Credit Facility bear interest at a rate per annum, which will be, at AB’s option, a rate equal to an applicable margin, which is subject to adjustment based on the credit ratings of AB, plus one of the following indices: LIBOR; a floating base</w:t>
      </w:r>
      <w:r>
        <w:rPr>
          <w:rFonts w:eastAsia="Times New Roman"/>
          <w:color w:val="000000"/>
          <w:sz w:val="20"/>
          <w:szCs w:val="20"/>
        </w:rPr>
        <w:t xml:space="preserve"> rate; or the Federal Funds rate.</w:t>
      </w:r>
    </w:p>
    <w:p w:rsidR="00000000" w:rsidRDefault="005B0BC3">
      <w:pPr>
        <w:divId w:val="2096048528"/>
        <w:rPr>
          <w:rFonts w:eastAsia="Times New Roman"/>
        </w:rPr>
      </w:pPr>
      <w:r>
        <w:rPr>
          <w:rFonts w:eastAsia="Times New Roman"/>
          <w:color w:val="000000"/>
          <w:sz w:val="20"/>
          <w:szCs w:val="20"/>
        </w:rPr>
        <w:t>As of December 31, 2021 and 2020, AB had no amounts outstanding under the AB Credit Facility. During the years ended the December 31, 2021 and 2020, AB and SCB LLC did not draw upon the AB Credit Facility.</w:t>
      </w:r>
    </w:p>
    <w:p w:rsidR="00000000" w:rsidRDefault="005B0BC3">
      <w:pPr>
        <w:divId w:val="470903418"/>
        <w:rPr>
          <w:rFonts w:eastAsia="Times New Roman"/>
        </w:rPr>
      </w:pPr>
      <w:r>
        <w:rPr>
          <w:rFonts w:eastAsia="Times New Roman"/>
          <w:color w:val="000000"/>
          <w:sz w:val="20"/>
          <w:szCs w:val="20"/>
        </w:rPr>
        <w:t>On September 28,</w:t>
      </w:r>
      <w:r>
        <w:rPr>
          <w:rFonts w:eastAsia="Times New Roman"/>
          <w:color w:val="000000"/>
          <w:sz w:val="20"/>
          <w:szCs w:val="20"/>
        </w:rPr>
        <w:t xml:space="preserve"> 2021, AB established a $100 million uncommitted line of credit with a financial institution. On October 11, 2021 AB established a $50 million uncommitted line of credit with a financial institution. Both uncommitted lines of credit are available for AB's </w:t>
      </w:r>
      <w:r>
        <w:rPr>
          <w:rFonts w:eastAsia="Times New Roman"/>
          <w:color w:val="000000"/>
          <w:sz w:val="20"/>
          <w:szCs w:val="20"/>
        </w:rPr>
        <w:t>and SCB LLC's business purposes. Both AB and SCB LLC can draw directly under these lines. AB has agreed to guarantee the obligations of SCB LLC under these lines of credit. As of December 31, 2021 , AB had no amounts outstanding under these lines of credit</w:t>
      </w:r>
      <w:r>
        <w:rPr>
          <w:rFonts w:eastAsia="Times New Roman"/>
          <w:color w:val="000000"/>
          <w:sz w:val="20"/>
          <w:szCs w:val="20"/>
        </w:rPr>
        <w:t xml:space="preserve"> and not drawn upon them since their inception.</w:t>
      </w:r>
    </w:p>
    <w:p w:rsidR="00000000" w:rsidRDefault="005B0BC3">
      <w:pPr>
        <w:divId w:val="1960715995"/>
        <w:rPr>
          <w:rFonts w:eastAsia="Times New Roman"/>
        </w:rPr>
      </w:pPr>
      <w:r>
        <w:rPr>
          <w:rFonts w:eastAsia="Times New Roman"/>
          <w:color w:val="000000"/>
          <w:sz w:val="20"/>
          <w:szCs w:val="20"/>
        </w:rPr>
        <w:t xml:space="preserve">In addition, SCB LLC currently has three uncommitted lines of credit with three financial institutions. Two of these lines of credit permit borrowing up to an aggregate of approximately $165 million, with AB </w:t>
      </w:r>
      <w:r>
        <w:rPr>
          <w:rFonts w:eastAsia="Times New Roman"/>
          <w:color w:val="000000"/>
          <w:sz w:val="20"/>
          <w:szCs w:val="20"/>
        </w:rPr>
        <w:t>named as an additional borrower, while the other line has no stated limit. As of December 31, 2021 and 2020, SCB LLC had no outstanding balance on these lines of credit. Average daily borrowings of bank loans during 2021 and 2020 were $47 thousand and $1 m</w:t>
      </w:r>
      <w:r>
        <w:rPr>
          <w:rFonts w:eastAsia="Times New Roman"/>
          <w:color w:val="000000"/>
          <w:sz w:val="20"/>
          <w:szCs w:val="20"/>
        </w:rPr>
        <w:t>illion, respectively, with weighted average interest rates of approximately 0.9% and 1.6%, respectively.</w:t>
      </w:r>
    </w:p>
    <w:p w:rsidR="00000000" w:rsidRDefault="005B0BC3">
      <w:pPr>
        <w:jc w:val="both"/>
        <w:divId w:val="1149131381"/>
        <w:rPr>
          <w:rFonts w:eastAsia="Times New Roman"/>
        </w:rPr>
      </w:pPr>
    </w:p>
    <w:p w:rsidR="00000000" w:rsidRDefault="005B0BC3">
      <w:pPr>
        <w:divId w:val="1417022567"/>
        <w:rPr>
          <w:rFonts w:eastAsia="Times New Roman"/>
        </w:rPr>
      </w:pPr>
      <w:r>
        <w:rPr>
          <w:rFonts w:eastAsia="Times New Roman"/>
          <w:b/>
          <w:bCs/>
          <w:color w:val="000000"/>
          <w:sz w:val="20"/>
          <w:szCs w:val="20"/>
        </w:rPr>
        <w:t xml:space="preserve">13)    RELATED PARTY TRANSACTIONS </w:t>
      </w:r>
    </w:p>
    <w:p w:rsidR="00000000" w:rsidRDefault="005B0BC3">
      <w:pPr>
        <w:divId w:val="1609893217"/>
        <w:rPr>
          <w:rFonts w:eastAsia="Times New Roman"/>
        </w:rPr>
      </w:pPr>
      <w:r>
        <w:rPr>
          <w:rFonts w:eastAsia="Times New Roman"/>
          <w:color w:val="000000"/>
          <w:sz w:val="20"/>
          <w:szCs w:val="20"/>
        </w:rPr>
        <w:t>Parties are considered to be related if one party has the ability to control or exercise significant influence ove</w:t>
      </w:r>
      <w:r>
        <w:rPr>
          <w:rFonts w:eastAsia="Times New Roman"/>
          <w:color w:val="000000"/>
          <w:sz w:val="20"/>
          <w:szCs w:val="20"/>
        </w:rPr>
        <w:t xml:space="preserve">r the other party in making financial or operating decisions. </w:t>
      </w:r>
    </w:p>
    <w:p w:rsidR="00000000" w:rsidRDefault="005B0BC3">
      <w:pPr>
        <w:jc w:val="both"/>
        <w:divId w:val="1435513347"/>
        <w:rPr>
          <w:rFonts w:eastAsia="Times New Roman"/>
        </w:rPr>
      </w:pPr>
      <w:r>
        <w:rPr>
          <w:rFonts w:eastAsia="Times New Roman"/>
          <w:b/>
          <w:bCs/>
          <w:i/>
          <w:iCs/>
          <w:color w:val="000000"/>
          <w:sz w:val="20"/>
          <w:szCs w:val="20"/>
        </w:rPr>
        <w:t xml:space="preserve">Investment Management and Administrative Services Provided by EIM and EIMG to Related Trusts </w:t>
      </w:r>
    </w:p>
    <w:p w:rsidR="00000000" w:rsidRDefault="005B0BC3">
      <w:pPr>
        <w:divId w:val="866527084"/>
        <w:rPr>
          <w:rFonts w:eastAsia="Times New Roman"/>
        </w:rPr>
      </w:pPr>
      <w:r>
        <w:rPr>
          <w:rFonts w:eastAsia="Times New Roman"/>
          <w:color w:val="000000"/>
          <w:sz w:val="20"/>
          <w:szCs w:val="20"/>
        </w:rPr>
        <w:t>EIMG and EIM provide investment management and administrative services to EQAT, EQ Premier VIP Trus</w:t>
      </w:r>
      <w:r>
        <w:rPr>
          <w:rFonts w:eastAsia="Times New Roman"/>
          <w:color w:val="000000"/>
          <w:sz w:val="20"/>
          <w:szCs w:val="20"/>
        </w:rPr>
        <w:t>t, 1290 Funds and the Other AXA Trusts, all of which are considered related parties. Investment management and service fees earned are calculated as a percentage of assets under management and are recorded as revenue as the related services are performed.</w:t>
      </w:r>
    </w:p>
    <w:p w:rsidR="00000000" w:rsidRDefault="005B0BC3">
      <w:pPr>
        <w:jc w:val="both"/>
        <w:divId w:val="1864591366"/>
        <w:rPr>
          <w:rFonts w:eastAsia="Times New Roman"/>
        </w:rPr>
      </w:pPr>
      <w:r>
        <w:rPr>
          <w:rFonts w:eastAsia="Times New Roman"/>
          <w:b/>
          <w:bCs/>
          <w:i/>
          <w:iCs/>
          <w:color w:val="000000"/>
          <w:sz w:val="20"/>
          <w:szCs w:val="20"/>
        </w:rPr>
        <w:t>Investment Management and Related Services Provided by AB to Related Mutual Funds</w:t>
      </w:r>
    </w:p>
    <w:p w:rsidR="00000000" w:rsidRDefault="005B0BC3">
      <w:pPr>
        <w:divId w:val="1494638475"/>
        <w:rPr>
          <w:rFonts w:eastAsia="Times New Roman"/>
        </w:rPr>
      </w:pPr>
      <w:r>
        <w:rPr>
          <w:rFonts w:eastAsia="Times New Roman"/>
          <w:color w:val="000000"/>
          <w:sz w:val="20"/>
          <w:szCs w:val="20"/>
        </w:rPr>
        <w:t>AB provides investment management and related services to mutual funds sponsored by AB. Revenues earned by AB from providing these services were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4983"/>
        <w:gridCol w:w="36"/>
        <w:gridCol w:w="120"/>
        <w:gridCol w:w="882"/>
        <w:gridCol w:w="36"/>
        <w:gridCol w:w="36"/>
        <w:gridCol w:w="36"/>
        <w:gridCol w:w="36"/>
        <w:gridCol w:w="120"/>
        <w:gridCol w:w="842"/>
        <w:gridCol w:w="36"/>
        <w:gridCol w:w="36"/>
        <w:gridCol w:w="36"/>
        <w:gridCol w:w="36"/>
        <w:gridCol w:w="120"/>
        <w:gridCol w:w="842"/>
        <w:gridCol w:w="36"/>
      </w:tblGrid>
      <w:tr w:rsidR="00000000">
        <w:trPr>
          <w:divId w:val="904493248"/>
        </w:trPr>
        <w:tc>
          <w:tcPr>
            <w:tcW w:w="50" w:type="pct"/>
            <w:vAlign w:val="center"/>
            <w:hideMark/>
          </w:tcPr>
          <w:p w:rsidR="00000000" w:rsidRDefault="005B0BC3">
            <w:pPr>
              <w:rPr>
                <w:rFonts w:eastAsia="Times New Roman"/>
              </w:rPr>
            </w:pPr>
          </w:p>
        </w:tc>
        <w:tc>
          <w:tcPr>
            <w:tcW w:w="302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904493248"/>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r>
      <w:tr w:rsidR="00000000">
        <w:trPr>
          <w:divId w:val="904493248"/>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904493248"/>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904493248"/>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Investment management and services fees</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1,645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1,368 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1,276 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904493248"/>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Distribution revenues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637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516 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441 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904493248"/>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Other revenues - shareholder servicing fees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904493248"/>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Other revenues - other</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904493248"/>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Total</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2,376</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1,971 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1,799 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divId w:val="302976420"/>
        <w:rPr>
          <w:rFonts w:eastAsia="Times New Roman"/>
        </w:rPr>
      </w:pPr>
    </w:p>
    <w:p w:rsidR="00000000" w:rsidRDefault="005B0BC3">
      <w:pPr>
        <w:divId w:val="1482308253"/>
        <w:rPr>
          <w:rFonts w:eastAsia="Times New Roman"/>
        </w:rPr>
      </w:pPr>
    </w:p>
    <w:p w:rsidR="00000000" w:rsidRDefault="005B0BC3">
      <w:pPr>
        <w:jc w:val="center"/>
        <w:divId w:val="665939168"/>
        <w:rPr>
          <w:rFonts w:eastAsia="Times New Roman"/>
        </w:rPr>
      </w:pPr>
      <w:r>
        <w:rPr>
          <w:rFonts w:eastAsia="Times New Roman"/>
          <w:color w:val="000000"/>
          <w:sz w:val="20"/>
          <w:szCs w:val="20"/>
        </w:rPr>
        <w:t>203</w:t>
      </w:r>
    </w:p>
    <w:p w:rsidR="00000000" w:rsidRDefault="005B0BC3">
      <w:pPr>
        <w:rPr>
          <w:rFonts w:eastAsia="Times New Roman"/>
        </w:rPr>
      </w:pPr>
      <w:r>
        <w:rPr>
          <w:rFonts w:eastAsia="Times New Roman"/>
        </w:rPr>
        <w:pict>
          <v:rect id="_x0000_i1241" style="width:0;height:1.5pt" o:hralign="center" o:hrstd="t" o:hr="t" fillcolor="#a0a0a0" stroked="f"/>
        </w:pict>
      </w:r>
    </w:p>
    <w:p w:rsidR="00000000" w:rsidRDefault="005B0BC3">
      <w:pPr>
        <w:jc w:val="center"/>
        <w:divId w:val="1434284008"/>
        <w:rPr>
          <w:rFonts w:eastAsia="Times New Roman"/>
        </w:rPr>
      </w:pPr>
      <w:r>
        <w:rPr>
          <w:rFonts w:eastAsia="Times New Roman"/>
          <w:b/>
          <w:bCs/>
          <w:color w:val="000000"/>
          <w:sz w:val="20"/>
          <w:szCs w:val="20"/>
        </w:rPr>
        <w:t>EQUITABLE HOLDINGS, INC.</w:t>
      </w:r>
    </w:p>
    <w:p w:rsidR="00000000" w:rsidRDefault="005B0BC3">
      <w:pPr>
        <w:jc w:val="center"/>
        <w:divId w:val="1434284008"/>
        <w:rPr>
          <w:rFonts w:eastAsia="Times New Roman"/>
        </w:rPr>
      </w:pPr>
      <w:r>
        <w:rPr>
          <w:rFonts w:eastAsia="Times New Roman"/>
          <w:b/>
          <w:bCs/>
          <w:color w:val="000000"/>
          <w:sz w:val="20"/>
          <w:szCs w:val="20"/>
        </w:rPr>
        <w:t>NOTES TO CONSOLIDATED FINANCIAL STATEMENTS, continued</w:t>
      </w:r>
    </w:p>
    <w:p w:rsidR="00000000" w:rsidRDefault="005B0BC3">
      <w:pPr>
        <w:jc w:val="both"/>
        <w:divId w:val="1249537143"/>
        <w:rPr>
          <w:rFonts w:eastAsia="Times New Roman"/>
        </w:rPr>
      </w:pPr>
      <w:r>
        <w:rPr>
          <w:rFonts w:eastAsia="Times New Roman"/>
          <w:color w:val="000000"/>
          <w:sz w:val="20"/>
          <w:szCs w:val="20"/>
          <w:u w:val="single"/>
        </w:rPr>
        <w:t xml:space="preserve">Revenues and Expenses Transactions with Equitable Affiliates </w:t>
      </w:r>
    </w:p>
    <w:p w:rsidR="00000000" w:rsidRDefault="005B0BC3">
      <w:pPr>
        <w:divId w:val="1210846899"/>
        <w:rPr>
          <w:rFonts w:eastAsia="Times New Roman"/>
        </w:rPr>
      </w:pPr>
      <w:r>
        <w:rPr>
          <w:rFonts w:eastAsia="Times New Roman"/>
          <w:color w:val="000000"/>
          <w:sz w:val="20"/>
          <w:szCs w:val="20"/>
        </w:rPr>
        <w:t xml:space="preserve">The table below summarizes the expenses reimbursed to/from the Company and the </w:t>
      </w:r>
      <w:r>
        <w:rPr>
          <w:rFonts w:eastAsia="Times New Roman"/>
          <w:color w:val="000000"/>
          <w:sz w:val="20"/>
          <w:szCs w:val="20"/>
        </w:rPr>
        <w:t>fees received/paid by the Company in connection with certain services described above for the years ended December 31, 2021, 2020 and 2019.</w:t>
      </w:r>
    </w:p>
    <w:tbl>
      <w:tblPr>
        <w:tblW w:w="5000" w:type="pct"/>
        <w:tblCellMar>
          <w:top w:w="15" w:type="dxa"/>
          <w:left w:w="15" w:type="dxa"/>
          <w:bottom w:w="15" w:type="dxa"/>
          <w:right w:w="15" w:type="dxa"/>
        </w:tblCellMar>
        <w:tblLook w:val="04A0" w:firstRow="1" w:lastRow="0" w:firstColumn="1" w:lastColumn="0" w:noHBand="0" w:noVBand="1"/>
      </w:tblPr>
      <w:tblGrid>
        <w:gridCol w:w="38"/>
        <w:gridCol w:w="4982"/>
        <w:gridCol w:w="37"/>
        <w:gridCol w:w="120"/>
        <w:gridCol w:w="881"/>
        <w:gridCol w:w="36"/>
        <w:gridCol w:w="36"/>
        <w:gridCol w:w="36"/>
        <w:gridCol w:w="36"/>
        <w:gridCol w:w="120"/>
        <w:gridCol w:w="842"/>
        <w:gridCol w:w="36"/>
        <w:gridCol w:w="36"/>
        <w:gridCol w:w="36"/>
        <w:gridCol w:w="36"/>
        <w:gridCol w:w="120"/>
        <w:gridCol w:w="842"/>
        <w:gridCol w:w="36"/>
      </w:tblGrid>
      <w:tr w:rsidR="00000000">
        <w:trPr>
          <w:divId w:val="10962398"/>
        </w:trPr>
        <w:tc>
          <w:tcPr>
            <w:tcW w:w="50" w:type="pct"/>
            <w:vAlign w:val="center"/>
            <w:hideMark/>
          </w:tcPr>
          <w:p w:rsidR="00000000" w:rsidRDefault="005B0BC3">
            <w:pPr>
              <w:rPr>
                <w:rFonts w:eastAsia="Times New Roman"/>
              </w:rPr>
            </w:pPr>
          </w:p>
        </w:tc>
        <w:tc>
          <w:tcPr>
            <w:tcW w:w="302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0962398"/>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r>
      <w:tr w:rsidR="00000000">
        <w:trPr>
          <w:divId w:val="10962398"/>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2019</w:t>
            </w:r>
          </w:p>
        </w:tc>
      </w:tr>
      <w:tr w:rsidR="00000000">
        <w:trPr>
          <w:divId w:val="10962398"/>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10962398"/>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Revenue received or accrued for:</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0962398"/>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Investment management and administrative services provided to EQAT, EQ Premier VIP Trust, 1290 Funds and Other AXA Trusts</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724 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732 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0962398"/>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w:t>
            </w: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840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724 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732 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0962398"/>
          <w:trHeight w:val="280"/>
        </w:trPr>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0962398"/>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Expenses paid or accrued for:</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0962398"/>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Investment management services provided by AXA Strategic Ventures Corporation</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0962398"/>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xml:space="preserve">Total </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divId w:val="2136173402"/>
        <w:rPr>
          <w:rFonts w:eastAsia="Times New Roman"/>
        </w:rPr>
      </w:pPr>
    </w:p>
    <w:p w:rsidR="00000000" w:rsidRDefault="005B0BC3">
      <w:pPr>
        <w:jc w:val="both"/>
        <w:divId w:val="105394748"/>
        <w:rPr>
          <w:rFonts w:eastAsia="Times New Roman"/>
        </w:rPr>
      </w:pPr>
      <w:r>
        <w:rPr>
          <w:rFonts w:eastAsia="Times New Roman"/>
          <w:b/>
          <w:bCs/>
          <w:i/>
          <w:iCs/>
          <w:color w:val="000000"/>
          <w:sz w:val="20"/>
          <w:szCs w:val="20"/>
        </w:rPr>
        <w:t>Contribution to the Equitable Foundation</w:t>
      </w:r>
    </w:p>
    <w:p w:rsidR="00000000" w:rsidRDefault="005B0BC3">
      <w:pPr>
        <w:divId w:val="757140672"/>
        <w:rPr>
          <w:rFonts w:eastAsia="Times New Roman"/>
        </w:rPr>
      </w:pPr>
      <w:r>
        <w:rPr>
          <w:rFonts w:eastAsia="Times New Roman"/>
          <w:color w:val="000000"/>
          <w:sz w:val="20"/>
          <w:szCs w:val="20"/>
        </w:rPr>
        <w:t>The company made no funding contributions the years ended 2021 and 2020. For the year ended December 31, 2019, Equitable Financial made a funding contribution to t</w:t>
      </w:r>
      <w:r>
        <w:rPr>
          <w:rFonts w:eastAsia="Times New Roman"/>
          <w:color w:val="000000"/>
          <w:sz w:val="20"/>
          <w:szCs w:val="20"/>
        </w:rPr>
        <w:t>he Equitable Foundation of $25 million. The Equitable Foundation is the philanthropic arm of Equitable Financial.</w:t>
      </w:r>
    </w:p>
    <w:p w:rsidR="00000000" w:rsidRDefault="005B0BC3">
      <w:pPr>
        <w:divId w:val="1039472077"/>
        <w:rPr>
          <w:rFonts w:eastAsia="Times New Roman"/>
        </w:rPr>
      </w:pPr>
      <w:r>
        <w:rPr>
          <w:rFonts w:eastAsia="Times New Roman"/>
          <w:b/>
          <w:bCs/>
          <w:color w:val="000000"/>
          <w:sz w:val="20"/>
          <w:szCs w:val="20"/>
        </w:rPr>
        <w:t xml:space="preserve">14)    EMPLOYEE BENEFIT PLANS </w:t>
      </w:r>
    </w:p>
    <w:p w:rsidR="00000000" w:rsidRDefault="005B0BC3">
      <w:pPr>
        <w:divId w:val="1884054749"/>
        <w:rPr>
          <w:rFonts w:eastAsia="Times New Roman"/>
        </w:rPr>
      </w:pPr>
      <w:r>
        <w:rPr>
          <w:rFonts w:eastAsia="Times New Roman"/>
          <w:color w:val="000000"/>
          <w:sz w:val="20"/>
          <w:szCs w:val="20"/>
          <w:u w:val="single"/>
        </w:rPr>
        <w:t>Pension Plans</w:t>
      </w:r>
    </w:p>
    <w:p w:rsidR="00000000" w:rsidRDefault="005B0BC3">
      <w:pPr>
        <w:jc w:val="both"/>
        <w:divId w:val="111899352"/>
        <w:rPr>
          <w:rFonts w:eastAsia="Times New Roman"/>
        </w:rPr>
      </w:pPr>
      <w:r>
        <w:rPr>
          <w:rFonts w:eastAsia="Times New Roman"/>
          <w:b/>
          <w:bCs/>
          <w:i/>
          <w:iCs/>
          <w:color w:val="000000"/>
          <w:sz w:val="20"/>
          <w:szCs w:val="20"/>
        </w:rPr>
        <w:t>Holdings and Equitable Financial Retirement Plans</w:t>
      </w:r>
    </w:p>
    <w:p w:rsidR="00000000" w:rsidRDefault="005B0BC3">
      <w:pPr>
        <w:divId w:val="1799446763"/>
        <w:rPr>
          <w:rFonts w:eastAsia="Times New Roman"/>
        </w:rPr>
      </w:pPr>
      <w:r>
        <w:rPr>
          <w:rFonts w:eastAsia="Times New Roman"/>
          <w:color w:val="000000"/>
          <w:sz w:val="20"/>
          <w:szCs w:val="20"/>
        </w:rPr>
        <w:t>Equitable Financial sponsors the Equitable 401(</w:t>
      </w:r>
      <w:r>
        <w:rPr>
          <w:rFonts w:eastAsia="Times New Roman"/>
          <w:color w:val="000000"/>
          <w:sz w:val="20"/>
          <w:szCs w:val="20"/>
        </w:rPr>
        <w:t>k) Plan, a qualified defined contribution plan for eligible employees and financial professionals. The plan provides for a company contribution, a company matching contribution, and a discretionary profit-sharing contribution. Expenses associated with this</w:t>
      </w:r>
      <w:r>
        <w:rPr>
          <w:rFonts w:eastAsia="Times New Roman"/>
          <w:color w:val="000000"/>
          <w:sz w:val="20"/>
          <w:szCs w:val="20"/>
        </w:rPr>
        <w:t xml:space="preserve"> 401(k) Plan were $64 million, $49 million and $55 million for the years ended December 31, 2021, 2020 and 2019, respectively.</w:t>
      </w:r>
    </w:p>
    <w:p w:rsidR="00000000" w:rsidRDefault="005B0BC3">
      <w:pPr>
        <w:divId w:val="708455094"/>
        <w:rPr>
          <w:rFonts w:eastAsia="Times New Roman"/>
        </w:rPr>
      </w:pPr>
      <w:r>
        <w:rPr>
          <w:rFonts w:eastAsia="Times New Roman"/>
          <w:color w:val="000000"/>
          <w:sz w:val="20"/>
          <w:szCs w:val="20"/>
        </w:rPr>
        <w:t>Holdings sponsors the MONY Life Retirement Income Security Plan for Employees and Equitable Financial sponsors the Equitable Reti</w:t>
      </w:r>
      <w:r>
        <w:rPr>
          <w:rFonts w:eastAsia="Times New Roman"/>
          <w:color w:val="000000"/>
          <w:sz w:val="20"/>
          <w:szCs w:val="20"/>
        </w:rPr>
        <w:t>rement Plan (the “ Equitable Financial QP”), both of which are frozen qualified defined benefit plans covering eligible employees and financial professionals. These pension plans are non-contributory, and their benefits are generally based on a cash balanc</w:t>
      </w:r>
      <w:r>
        <w:rPr>
          <w:rFonts w:eastAsia="Times New Roman"/>
          <w:color w:val="000000"/>
          <w:sz w:val="20"/>
          <w:szCs w:val="20"/>
        </w:rPr>
        <w:t>e formula and/or, for certain participants, years of service and average earnings over a specified period. Holdings and Equitable Financial also sponsor certain nonqualified defined benefit plans, including the Equitable Excess Retirement Plan, that provid</w:t>
      </w:r>
      <w:r>
        <w:rPr>
          <w:rFonts w:eastAsia="Times New Roman"/>
          <w:color w:val="000000"/>
          <w:sz w:val="20"/>
          <w:szCs w:val="20"/>
        </w:rPr>
        <w:t>e retirement benefits in excess of the amount permitted under the tax law for the qualified plans. Holdings has assumed primary liability for both plans. Equitable Financial remains secondarily liable for its obligations under the Equitable Financial QP an</w:t>
      </w:r>
      <w:r>
        <w:rPr>
          <w:rFonts w:eastAsia="Times New Roman"/>
          <w:color w:val="000000"/>
          <w:sz w:val="20"/>
          <w:szCs w:val="20"/>
        </w:rPr>
        <w:t>d would recognize such liability in the event Holdings does not perform.</w:t>
      </w:r>
    </w:p>
    <w:p w:rsidR="00000000" w:rsidRDefault="005B0BC3">
      <w:pPr>
        <w:divId w:val="567309092"/>
        <w:rPr>
          <w:rFonts w:eastAsia="Times New Roman"/>
        </w:rPr>
      </w:pPr>
      <w:r>
        <w:rPr>
          <w:rFonts w:eastAsia="Times New Roman"/>
          <w:color w:val="000000"/>
          <w:sz w:val="20"/>
          <w:szCs w:val="20"/>
        </w:rPr>
        <w:t>Holdings and Equitable Financial use a December 31 measurement date for their pension plans.</w:t>
      </w:r>
    </w:p>
    <w:p w:rsidR="00000000" w:rsidRDefault="005B0BC3">
      <w:pPr>
        <w:jc w:val="both"/>
        <w:divId w:val="1608346107"/>
        <w:rPr>
          <w:rFonts w:eastAsia="Times New Roman"/>
        </w:rPr>
      </w:pPr>
      <w:r>
        <w:rPr>
          <w:rFonts w:eastAsia="Times New Roman"/>
          <w:b/>
          <w:bCs/>
          <w:i/>
          <w:iCs/>
          <w:color w:val="000000"/>
          <w:sz w:val="20"/>
          <w:szCs w:val="20"/>
        </w:rPr>
        <w:t>AB Retirement Plans</w:t>
      </w:r>
    </w:p>
    <w:p w:rsidR="00000000" w:rsidRDefault="005B0BC3">
      <w:pPr>
        <w:divId w:val="1922785723"/>
        <w:rPr>
          <w:rFonts w:eastAsia="Times New Roman"/>
        </w:rPr>
      </w:pPr>
      <w:r>
        <w:rPr>
          <w:rFonts w:eastAsia="Times New Roman"/>
          <w:color w:val="000000"/>
          <w:sz w:val="20"/>
          <w:szCs w:val="20"/>
        </w:rPr>
        <w:t>AB maintains the Profit Sharing Plan for Employees of AB, a tax-qualif</w:t>
      </w:r>
      <w:r>
        <w:rPr>
          <w:rFonts w:eastAsia="Times New Roman"/>
          <w:color w:val="000000"/>
          <w:sz w:val="20"/>
          <w:szCs w:val="20"/>
        </w:rPr>
        <w:t>ied retirement plan for U.S. employees. Employer contributions under this plan are discretionary and generally are limited to the amount deductible for federal income tax purposes.</w:t>
      </w:r>
    </w:p>
    <w:p w:rsidR="00000000" w:rsidRDefault="005B0BC3">
      <w:pPr>
        <w:divId w:val="1751195791"/>
        <w:rPr>
          <w:rFonts w:eastAsia="Times New Roman"/>
        </w:rPr>
      </w:pPr>
      <w:r>
        <w:rPr>
          <w:rFonts w:eastAsia="Times New Roman"/>
          <w:color w:val="000000"/>
          <w:sz w:val="20"/>
          <w:szCs w:val="20"/>
        </w:rPr>
        <w:t>AB also maintains a qualified, non-contributory, defined benefit retirement</w:t>
      </w:r>
      <w:r>
        <w:rPr>
          <w:rFonts w:eastAsia="Times New Roman"/>
          <w:color w:val="000000"/>
          <w:sz w:val="20"/>
          <w:szCs w:val="20"/>
        </w:rPr>
        <w:t xml:space="preserve"> plan covering current and former employees who were employed by AB in the United States prior to October 2, 2000 (the “AB Plan”). Benefits under the AB Plan are based on years of credited service, average final base salary, and primary Social Security ben</w:t>
      </w:r>
      <w:r>
        <w:rPr>
          <w:rFonts w:eastAsia="Times New Roman"/>
          <w:color w:val="000000"/>
          <w:sz w:val="20"/>
          <w:szCs w:val="20"/>
        </w:rPr>
        <w:t>efits.</w:t>
      </w:r>
    </w:p>
    <w:p w:rsidR="00000000" w:rsidRDefault="005B0BC3">
      <w:pPr>
        <w:divId w:val="776413989"/>
        <w:rPr>
          <w:rFonts w:eastAsia="Times New Roman"/>
        </w:rPr>
      </w:pPr>
      <w:r>
        <w:rPr>
          <w:rFonts w:eastAsia="Times New Roman"/>
          <w:color w:val="000000"/>
          <w:sz w:val="20"/>
          <w:szCs w:val="20"/>
        </w:rPr>
        <w:t>AB uses a December 31 measurement date for the AB Plan.</w:t>
      </w:r>
    </w:p>
    <w:p w:rsidR="00000000" w:rsidRDefault="005B0BC3">
      <w:pPr>
        <w:jc w:val="center"/>
        <w:divId w:val="1703703330"/>
        <w:rPr>
          <w:rFonts w:eastAsia="Times New Roman"/>
        </w:rPr>
      </w:pPr>
      <w:r>
        <w:rPr>
          <w:rFonts w:eastAsia="Times New Roman"/>
          <w:color w:val="000000"/>
          <w:sz w:val="20"/>
          <w:szCs w:val="20"/>
        </w:rPr>
        <w:t>204</w:t>
      </w:r>
    </w:p>
    <w:p w:rsidR="00000000" w:rsidRDefault="005B0BC3">
      <w:pPr>
        <w:rPr>
          <w:rFonts w:eastAsia="Times New Roman"/>
        </w:rPr>
      </w:pPr>
      <w:r>
        <w:rPr>
          <w:rFonts w:eastAsia="Times New Roman"/>
        </w:rPr>
        <w:pict>
          <v:rect id="_x0000_i1242" style="width:0;height:1.5pt" o:hralign="center" o:hrstd="t" o:hr="t" fillcolor="#a0a0a0" stroked="f"/>
        </w:pict>
      </w:r>
    </w:p>
    <w:p w:rsidR="00000000" w:rsidRDefault="005B0BC3">
      <w:pPr>
        <w:jc w:val="center"/>
        <w:divId w:val="727187850"/>
        <w:rPr>
          <w:rFonts w:eastAsia="Times New Roman"/>
        </w:rPr>
      </w:pPr>
      <w:r>
        <w:rPr>
          <w:rFonts w:eastAsia="Times New Roman"/>
          <w:b/>
          <w:bCs/>
          <w:color w:val="000000"/>
          <w:sz w:val="20"/>
          <w:szCs w:val="20"/>
        </w:rPr>
        <w:t>EQUITABLE HOLDINGS, INC.</w:t>
      </w:r>
    </w:p>
    <w:p w:rsidR="00000000" w:rsidRDefault="005B0BC3">
      <w:pPr>
        <w:jc w:val="center"/>
        <w:divId w:val="727187850"/>
        <w:rPr>
          <w:rFonts w:eastAsia="Times New Roman"/>
        </w:rPr>
      </w:pPr>
      <w:r>
        <w:rPr>
          <w:rFonts w:eastAsia="Times New Roman"/>
          <w:b/>
          <w:bCs/>
          <w:color w:val="000000"/>
          <w:sz w:val="20"/>
          <w:szCs w:val="20"/>
        </w:rPr>
        <w:t>NOTES TO CONSOLIDATED FINANCIAL STATEMENTS, continued</w:t>
      </w:r>
    </w:p>
    <w:p w:rsidR="00000000" w:rsidRDefault="005B0BC3">
      <w:pPr>
        <w:jc w:val="both"/>
        <w:divId w:val="100270912"/>
        <w:rPr>
          <w:rFonts w:eastAsia="Times New Roman"/>
        </w:rPr>
      </w:pPr>
      <w:r>
        <w:rPr>
          <w:rFonts w:eastAsia="Times New Roman"/>
          <w:b/>
          <w:bCs/>
          <w:i/>
          <w:iCs/>
          <w:color w:val="000000"/>
          <w:sz w:val="20"/>
          <w:szCs w:val="20"/>
        </w:rPr>
        <w:t>Contributions and Funding Policy</w:t>
      </w:r>
    </w:p>
    <w:p w:rsidR="00000000" w:rsidRDefault="005B0BC3">
      <w:pPr>
        <w:divId w:val="980353357"/>
        <w:rPr>
          <w:rFonts w:eastAsia="Times New Roman"/>
        </w:rPr>
      </w:pPr>
      <w:r>
        <w:rPr>
          <w:rFonts w:eastAsia="Times New Roman"/>
          <w:color w:val="000000"/>
          <w:sz w:val="20"/>
          <w:szCs w:val="20"/>
        </w:rPr>
        <w:t>The Company’</w:t>
      </w:r>
      <w:r>
        <w:rPr>
          <w:rFonts w:eastAsia="Times New Roman"/>
          <w:color w:val="000000"/>
          <w:sz w:val="20"/>
          <w:szCs w:val="20"/>
        </w:rPr>
        <w:t>s funding policy for its qualified pension plans is to satisfy its funding obligations each year in an amount not less than the minimum required by ERISA, as amended by the Pension Act, and not greater than the maximum the Company can deduct for federal in</w:t>
      </w:r>
      <w:r>
        <w:rPr>
          <w:rFonts w:eastAsia="Times New Roman"/>
          <w:color w:val="000000"/>
          <w:sz w:val="20"/>
          <w:szCs w:val="20"/>
        </w:rPr>
        <w:t>come tax purposes. For 2021, no cash contributions were made by Holdings or Equitable Financial to their respective qualified pension plans. Based on the funded status of the plans as of December 31, 2020, AB contributed $4 million to the AB Plan during 20</w:t>
      </w:r>
      <w:r>
        <w:rPr>
          <w:rFonts w:eastAsia="Times New Roman"/>
          <w:color w:val="000000"/>
          <w:sz w:val="20"/>
          <w:szCs w:val="20"/>
        </w:rPr>
        <w:t xml:space="preserve">21. AB currently estimates that it will not contribute to the AB Plan during 2022. No minimum funding contributions under ERISA are required to be made to the Holdings and Equitable Financial plans, and management does not expect to make any discretionary </w:t>
      </w:r>
      <w:r>
        <w:rPr>
          <w:rFonts w:eastAsia="Times New Roman"/>
          <w:color w:val="000000"/>
          <w:sz w:val="20"/>
          <w:szCs w:val="20"/>
        </w:rPr>
        <w:t xml:space="preserve">contributions to those plans during 2022. </w:t>
      </w:r>
    </w:p>
    <w:p w:rsidR="00000000" w:rsidRDefault="005B0BC3">
      <w:pPr>
        <w:jc w:val="both"/>
        <w:divId w:val="1546021680"/>
        <w:rPr>
          <w:rFonts w:eastAsia="Times New Roman"/>
        </w:rPr>
      </w:pPr>
      <w:r>
        <w:rPr>
          <w:rFonts w:eastAsia="Times New Roman"/>
          <w:b/>
          <w:bCs/>
          <w:i/>
          <w:iCs/>
          <w:color w:val="000000"/>
          <w:sz w:val="20"/>
          <w:szCs w:val="20"/>
        </w:rPr>
        <w:t>Net Periodic Pension Expense</w:t>
      </w:r>
    </w:p>
    <w:p w:rsidR="00000000" w:rsidRDefault="005B0BC3">
      <w:pPr>
        <w:divId w:val="873731134"/>
        <w:rPr>
          <w:rFonts w:eastAsia="Times New Roman"/>
        </w:rPr>
      </w:pPr>
      <w:r>
        <w:rPr>
          <w:rFonts w:eastAsia="Times New Roman"/>
          <w:color w:val="000000"/>
          <w:sz w:val="20"/>
          <w:szCs w:val="20"/>
        </w:rPr>
        <w:t>Components of net periodic pension expense for the Company’s qualified and non-qualified plans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4654"/>
        <w:gridCol w:w="38"/>
        <w:gridCol w:w="122"/>
        <w:gridCol w:w="989"/>
        <w:gridCol w:w="37"/>
        <w:gridCol w:w="36"/>
        <w:gridCol w:w="36"/>
        <w:gridCol w:w="36"/>
        <w:gridCol w:w="121"/>
        <w:gridCol w:w="948"/>
        <w:gridCol w:w="36"/>
        <w:gridCol w:w="36"/>
        <w:gridCol w:w="36"/>
        <w:gridCol w:w="36"/>
        <w:gridCol w:w="121"/>
        <w:gridCol w:w="949"/>
        <w:gridCol w:w="36"/>
      </w:tblGrid>
      <w:tr w:rsidR="00000000">
        <w:trPr>
          <w:divId w:val="304548956"/>
        </w:trPr>
        <w:tc>
          <w:tcPr>
            <w:tcW w:w="50" w:type="pct"/>
            <w:vAlign w:val="center"/>
            <w:hideMark/>
          </w:tcPr>
          <w:p w:rsidR="00000000" w:rsidRDefault="005B0BC3">
            <w:pPr>
              <w:rPr>
                <w:rFonts w:eastAsia="Times New Roman"/>
              </w:rPr>
            </w:pPr>
          </w:p>
        </w:tc>
        <w:tc>
          <w:tcPr>
            <w:tcW w:w="283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304548956"/>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r>
      <w:tr w:rsidR="00000000">
        <w:trPr>
          <w:divId w:val="304548956"/>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divId w:val="319770488"/>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304548956"/>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16"/>
                <w:szCs w:val="16"/>
              </w:rPr>
              <w:t> </w:t>
            </w: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 (in millions)</w:t>
            </w:r>
          </w:p>
        </w:tc>
      </w:tr>
      <w:tr w:rsidR="00000000">
        <w:trPr>
          <w:divId w:val="304548956"/>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Service cost</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304548956"/>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Interest cost</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304548956"/>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Expected return on assets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(154)</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(147)</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(152)</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304548956"/>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Actuarial (gain) loss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304548956"/>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Net amortization</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304548956"/>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Impact of settlement</w:t>
            </w:r>
          </w:p>
        </w:tc>
        <w:tc>
          <w:tcPr>
            <w:tcW w:w="0" w:type="auto"/>
            <w:gridSpan w:val="2"/>
            <w:tcMar>
              <w:top w:w="30" w:type="dxa"/>
              <w:left w:w="20" w:type="dxa"/>
              <w:bottom w:w="30" w:type="dxa"/>
              <w:right w:w="0" w:type="dxa"/>
            </w:tcMar>
            <w:vAlign w:val="bottom"/>
            <w:hideMark/>
          </w:tcPr>
          <w:p w:rsidR="00000000" w:rsidRDefault="005B0BC3">
            <w:pPr>
              <w:spacing w:after="100"/>
              <w:jc w:val="right"/>
              <w:rPr>
                <w:rFonts w:eastAsia="Times New Roman"/>
              </w:rPr>
            </w:pPr>
            <w:r>
              <w:rPr>
                <w:rFonts w:ascii="Calibri" w:eastAsia="Times New Roman" w:hAnsi="Calibri" w:cs="Calibri"/>
                <w:b/>
                <w:bCs/>
                <w:color w:val="000000"/>
                <w:sz w:val="20"/>
                <w:szCs w:val="20"/>
              </w:rPr>
              <w:t>6</w:t>
            </w:r>
            <w:r>
              <w:rPr>
                <w:rFonts w:ascii="Calibri" w:eastAsia="Times New Roman" w:hAnsi="Calibri" w:cs="Calibri"/>
                <w:color w:val="000000"/>
                <w:sz w:val="20"/>
                <w:szCs w:val="20"/>
              </w:rPr>
              <w:t> </w:t>
            </w:r>
          </w:p>
        </w:tc>
        <w:tc>
          <w:tcPr>
            <w:tcW w:w="0" w:type="auto"/>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B0BC3">
            <w:pPr>
              <w:spacing w:after="100"/>
              <w:jc w:val="right"/>
              <w:rPr>
                <w:rFonts w:eastAsia="Times New Roman"/>
              </w:rPr>
            </w:pPr>
            <w:r>
              <w:rPr>
                <w:rFonts w:ascii="Calibri" w:eastAsia="Times New Roman" w:hAnsi="Calibri" w:cs="Calibri"/>
                <w:color w:val="000000"/>
                <w:sz w:val="20"/>
                <w:szCs w:val="20"/>
              </w:rPr>
              <w:t>7 </w:t>
            </w:r>
          </w:p>
        </w:tc>
        <w:tc>
          <w:tcPr>
            <w:tcW w:w="0" w:type="auto"/>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B0BC3">
            <w:pPr>
              <w:spacing w:after="100"/>
              <w:jc w:val="right"/>
              <w:rPr>
                <w:rFonts w:eastAsia="Times New Roman"/>
              </w:rPr>
            </w:pPr>
            <w:r>
              <w:rPr>
                <w:rFonts w:ascii="Calibri" w:eastAsia="Times New Roman" w:hAnsi="Calibri" w:cs="Calibri"/>
                <w:b/>
                <w:bCs/>
                <w:color w:val="000000"/>
                <w:sz w:val="20"/>
                <w:szCs w:val="20"/>
              </w:rPr>
              <w:t>—</w:t>
            </w:r>
            <w:r>
              <w:rPr>
                <w:rFonts w:ascii="Calibri" w:eastAsia="Times New Roman" w:hAnsi="Calibri" w:cs="Calibri"/>
                <w:color w:val="000000"/>
                <w:sz w:val="20"/>
                <w:szCs w:val="20"/>
              </w:rPr>
              <w:t> </w:t>
            </w:r>
          </w:p>
        </w:tc>
        <w:tc>
          <w:tcPr>
            <w:tcW w:w="0" w:type="auto"/>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304548956"/>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Net periodic pension expense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divId w:val="999844153"/>
        <w:rPr>
          <w:rFonts w:eastAsia="Times New Roman"/>
        </w:rPr>
      </w:pPr>
    </w:p>
    <w:p w:rsidR="00000000" w:rsidRDefault="005B0BC3">
      <w:pPr>
        <w:jc w:val="both"/>
        <w:divId w:val="1690715821"/>
        <w:rPr>
          <w:rFonts w:eastAsia="Times New Roman"/>
        </w:rPr>
      </w:pPr>
      <w:r>
        <w:rPr>
          <w:rFonts w:eastAsia="Times New Roman"/>
          <w:b/>
          <w:bCs/>
          <w:i/>
          <w:iCs/>
          <w:color w:val="000000"/>
          <w:sz w:val="20"/>
          <w:szCs w:val="20"/>
        </w:rPr>
        <w:t>Changes in PBO</w:t>
      </w:r>
    </w:p>
    <w:p w:rsidR="00000000" w:rsidRDefault="005B0BC3">
      <w:pPr>
        <w:divId w:val="1748307369"/>
        <w:rPr>
          <w:rFonts w:eastAsia="Times New Roman"/>
        </w:rPr>
      </w:pPr>
      <w:r>
        <w:rPr>
          <w:rFonts w:eastAsia="Times New Roman"/>
          <w:color w:val="000000"/>
          <w:sz w:val="20"/>
          <w:szCs w:val="20"/>
        </w:rPr>
        <w:t>Changes in the PBO of the Company’s qualified and non-qualified plans were comprised of:</w:t>
      </w:r>
    </w:p>
    <w:tbl>
      <w:tblPr>
        <w:tblW w:w="5000" w:type="pct"/>
        <w:tblCellMar>
          <w:top w:w="15" w:type="dxa"/>
          <w:left w:w="15" w:type="dxa"/>
          <w:bottom w:w="15" w:type="dxa"/>
          <w:right w:w="15" w:type="dxa"/>
        </w:tblCellMar>
        <w:tblLook w:val="04A0" w:firstRow="1" w:lastRow="0" w:firstColumn="1" w:lastColumn="0" w:noHBand="0" w:noVBand="1"/>
      </w:tblPr>
      <w:tblGrid>
        <w:gridCol w:w="40"/>
        <w:gridCol w:w="5635"/>
        <w:gridCol w:w="37"/>
        <w:gridCol w:w="120"/>
        <w:gridCol w:w="1068"/>
        <w:gridCol w:w="36"/>
        <w:gridCol w:w="36"/>
        <w:gridCol w:w="36"/>
        <w:gridCol w:w="36"/>
        <w:gridCol w:w="120"/>
        <w:gridCol w:w="1034"/>
        <w:gridCol w:w="36"/>
        <w:gridCol w:w="36"/>
        <w:gridCol w:w="36"/>
      </w:tblGrid>
      <w:tr w:rsidR="00000000">
        <w:trPr>
          <w:divId w:val="1279488364"/>
        </w:trPr>
        <w:tc>
          <w:tcPr>
            <w:tcW w:w="50" w:type="pct"/>
            <w:vAlign w:val="center"/>
            <w:hideMark/>
          </w:tcPr>
          <w:p w:rsidR="00000000" w:rsidRDefault="005B0BC3">
            <w:pPr>
              <w:rPr>
                <w:rFonts w:eastAsia="Times New Roman"/>
              </w:rPr>
            </w:pPr>
          </w:p>
        </w:tc>
        <w:tc>
          <w:tcPr>
            <w:tcW w:w="344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7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7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279488364"/>
        </w:trPr>
        <w:tc>
          <w:tcPr>
            <w:tcW w:w="0" w:type="auto"/>
            <w:gridSpan w:val="3"/>
            <w:tcMar>
              <w:top w:w="30" w:type="dxa"/>
              <w:left w:w="20" w:type="dxa"/>
              <w:bottom w:w="30" w:type="dxa"/>
              <w:right w:w="20" w:type="dxa"/>
            </w:tcMar>
            <w:vAlign w:val="bottom"/>
            <w:hideMark/>
          </w:tcPr>
          <w:p w:rsidR="00000000" w:rsidRDefault="005B0BC3">
            <w:pPr>
              <w:spacing w:after="100"/>
              <w:divId w:val="353503114"/>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r>
      <w:tr w:rsidR="00000000">
        <w:trPr>
          <w:divId w:val="1279488364"/>
        </w:trPr>
        <w:tc>
          <w:tcPr>
            <w:tcW w:w="0" w:type="auto"/>
            <w:gridSpan w:val="3"/>
            <w:tcMar>
              <w:top w:w="30" w:type="dxa"/>
              <w:left w:w="20" w:type="dxa"/>
              <w:bottom w:w="30" w:type="dxa"/>
              <w:right w:w="20" w:type="dxa"/>
            </w:tcMar>
            <w:vAlign w:val="bottom"/>
            <w:hideMark/>
          </w:tcPr>
          <w:p w:rsidR="00000000" w:rsidRDefault="005B0BC3">
            <w:pPr>
              <w:spacing w:after="100"/>
              <w:divId w:val="895819275"/>
              <w:rPr>
                <w:rFonts w:eastAsia="Times New Roman"/>
              </w:rPr>
            </w:pPr>
            <w:r>
              <w:rPr>
                <w:rFonts w:eastAsia="Times New Roman"/>
                <w:b/>
                <w:bCs/>
                <w:color w:val="000000"/>
                <w:sz w:val="16"/>
                <w:szCs w:val="16"/>
              </w:rPr>
              <w:t> </w:t>
            </w: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r>
      <w:tr w:rsidR="00000000">
        <w:trPr>
          <w:divId w:val="1279488364"/>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Projected benefit obligation, beginning of year</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3,180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3,056 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279488364"/>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Service cost</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279488364"/>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Interest cost</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279488364"/>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Actuarial (gains)/losses (1)</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(95)</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272 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279488364"/>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Benefits paid</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(198)</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(203)</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279488364"/>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Plan amendments and curtailments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279488364"/>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Settlements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(32)</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(22)</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279488364"/>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Projected benefit obligation, end of year</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2,900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3,180 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bl>
    <w:p w:rsidR="00000000" w:rsidRDefault="005B0BC3">
      <w:pPr>
        <w:ind w:hanging="720"/>
        <w:divId w:val="1987079375"/>
        <w:rPr>
          <w:rFonts w:eastAsia="Times New Roman"/>
        </w:rPr>
      </w:pPr>
      <w:r>
        <w:rPr>
          <w:rFonts w:eastAsia="Times New Roman"/>
          <w:color w:val="000000"/>
          <w:sz w:val="18"/>
          <w:szCs w:val="18"/>
        </w:rPr>
        <w:t>______________</w:t>
      </w:r>
    </w:p>
    <w:p w:rsidR="00000000" w:rsidRDefault="005B0BC3">
      <w:pPr>
        <w:ind w:hanging="360"/>
        <w:divId w:val="1700466901"/>
        <w:rPr>
          <w:rFonts w:eastAsia="Times New Roman"/>
        </w:rPr>
      </w:pPr>
      <w:r>
        <w:rPr>
          <w:rFonts w:eastAsia="Times New Roman"/>
          <w:color w:val="000000"/>
          <w:sz w:val="18"/>
          <w:szCs w:val="18"/>
        </w:rPr>
        <w:t>(1)</w:t>
      </w:r>
      <w:r>
        <w:rPr>
          <w:rFonts w:eastAsia="Times New Roman"/>
          <w:color w:val="000000"/>
          <w:sz w:val="18"/>
          <w:szCs w:val="18"/>
        </w:rPr>
        <w:t>Actuarial gains and losses are a product of changes in the discount rate as shown below.</w:t>
      </w:r>
    </w:p>
    <w:p w:rsidR="00000000" w:rsidRDefault="005B0BC3">
      <w:pPr>
        <w:divId w:val="1321884276"/>
        <w:rPr>
          <w:rFonts w:eastAsia="Times New Roman"/>
        </w:rPr>
      </w:pPr>
      <w:r>
        <w:rPr>
          <w:rFonts w:eastAsia="Times New Roman"/>
          <w:color w:val="000000"/>
          <w:sz w:val="20"/>
          <w:szCs w:val="20"/>
        </w:rPr>
        <w:t>The following table discloses the change in plan assets and the funded status of the Company’s qualified pension plans and non-qualified pension plans:</w:t>
      </w:r>
    </w:p>
    <w:p w:rsidR="00000000" w:rsidRDefault="005B0BC3">
      <w:pPr>
        <w:jc w:val="center"/>
        <w:divId w:val="897326654"/>
        <w:rPr>
          <w:rFonts w:eastAsia="Times New Roman"/>
        </w:rPr>
      </w:pPr>
      <w:r>
        <w:rPr>
          <w:rFonts w:eastAsia="Times New Roman"/>
          <w:color w:val="000000"/>
          <w:sz w:val="20"/>
          <w:szCs w:val="20"/>
        </w:rPr>
        <w:t>205</w:t>
      </w:r>
    </w:p>
    <w:p w:rsidR="00000000" w:rsidRDefault="005B0BC3">
      <w:pPr>
        <w:rPr>
          <w:rFonts w:eastAsia="Times New Roman"/>
        </w:rPr>
      </w:pPr>
      <w:r>
        <w:rPr>
          <w:rFonts w:eastAsia="Times New Roman"/>
        </w:rPr>
        <w:pict>
          <v:rect id="_x0000_i1243" style="width:0;height:1.5pt" o:hralign="center" o:hrstd="t" o:hr="t" fillcolor="#a0a0a0" stroked="f"/>
        </w:pict>
      </w:r>
    </w:p>
    <w:p w:rsidR="00000000" w:rsidRDefault="005B0BC3">
      <w:pPr>
        <w:jc w:val="center"/>
        <w:divId w:val="1121387126"/>
        <w:rPr>
          <w:rFonts w:eastAsia="Times New Roman"/>
        </w:rPr>
      </w:pPr>
      <w:r>
        <w:rPr>
          <w:rFonts w:eastAsia="Times New Roman"/>
          <w:b/>
          <w:bCs/>
          <w:color w:val="000000"/>
          <w:sz w:val="20"/>
          <w:szCs w:val="20"/>
        </w:rPr>
        <w:t>EQUITABLE HOLDINGS, INC.</w:t>
      </w:r>
    </w:p>
    <w:p w:rsidR="00000000" w:rsidRDefault="005B0BC3">
      <w:pPr>
        <w:jc w:val="center"/>
        <w:divId w:val="1121387126"/>
        <w:rPr>
          <w:rFonts w:eastAsia="Times New Roman"/>
        </w:rPr>
      </w:pPr>
      <w:r>
        <w:rPr>
          <w:rFonts w:eastAsia="Times New Roman"/>
          <w:b/>
          <w:bCs/>
          <w:color w:val="000000"/>
          <w:sz w:val="20"/>
          <w:szCs w:val="20"/>
        </w:rPr>
        <w:t>NOTES TO CONSOLIDATED FINANCIAL STATEME</w:t>
      </w:r>
      <w:r>
        <w:rPr>
          <w:rFonts w:eastAsia="Times New Roman"/>
          <w:b/>
          <w:bCs/>
          <w:color w:val="000000"/>
          <w:sz w:val="20"/>
          <w:szCs w:val="20"/>
        </w:rPr>
        <w:t>NTS, continued</w:t>
      </w:r>
    </w:p>
    <w:tbl>
      <w:tblPr>
        <w:tblW w:w="5000" w:type="pct"/>
        <w:tblCellMar>
          <w:top w:w="15" w:type="dxa"/>
          <w:left w:w="15" w:type="dxa"/>
          <w:bottom w:w="15" w:type="dxa"/>
          <w:right w:w="15" w:type="dxa"/>
        </w:tblCellMar>
        <w:tblLook w:val="04A0" w:firstRow="1" w:lastRow="0" w:firstColumn="1" w:lastColumn="0" w:noHBand="0" w:noVBand="1"/>
      </w:tblPr>
      <w:tblGrid>
        <w:gridCol w:w="38"/>
        <w:gridCol w:w="5533"/>
        <w:gridCol w:w="37"/>
        <w:gridCol w:w="120"/>
        <w:gridCol w:w="1049"/>
        <w:gridCol w:w="36"/>
        <w:gridCol w:w="36"/>
        <w:gridCol w:w="36"/>
        <w:gridCol w:w="36"/>
        <w:gridCol w:w="120"/>
        <w:gridCol w:w="1013"/>
        <w:gridCol w:w="36"/>
        <w:gridCol w:w="36"/>
        <w:gridCol w:w="36"/>
        <w:gridCol w:w="36"/>
        <w:gridCol w:w="36"/>
        <w:gridCol w:w="36"/>
        <w:gridCol w:w="36"/>
      </w:tblGrid>
      <w:tr w:rsidR="00000000">
        <w:trPr>
          <w:divId w:val="1048996845"/>
        </w:trPr>
        <w:tc>
          <w:tcPr>
            <w:tcW w:w="50" w:type="pct"/>
            <w:vAlign w:val="center"/>
            <w:hideMark/>
          </w:tcPr>
          <w:p w:rsidR="00000000" w:rsidRDefault="005B0BC3">
            <w:pPr>
              <w:jc w:val="center"/>
              <w:rPr>
                <w:rFonts w:eastAsia="Times New Roman"/>
              </w:rPr>
            </w:pPr>
          </w:p>
        </w:tc>
        <w:tc>
          <w:tcPr>
            <w:tcW w:w="344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7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7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048996845"/>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5B0BC3">
            <w:pPr>
              <w:spacing w:after="100"/>
              <w:jc w:val="center"/>
              <w:rPr>
                <w:rFonts w:eastAsia="Times New Roman"/>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048996845"/>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048996845"/>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Pension plan assets at fair value, beginning of year</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2,744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2,552 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048996845"/>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Actual return on plan assets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8"/>
                <w:szCs w:val="18"/>
              </w:rPr>
              <w:t>259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373 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048996845"/>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Contributions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048996845"/>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Benefits paid</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8"/>
                <w:szCs w:val="18"/>
              </w:rPr>
              <w:t>(165)</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(165)</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048996845"/>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Annuity purchases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8"/>
                <w:szCs w:val="18"/>
              </w:rPr>
              <w:t>(30)</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(16)</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048996845"/>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Pension plan assets at fair value, end of year</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2,808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2,744 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048996845"/>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PBO</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2,900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3,180 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048996845"/>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Excess of PBO over pension plan assets, end of year</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92</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436</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bl>
    <w:p w:rsidR="00000000" w:rsidRDefault="005B0BC3">
      <w:pPr>
        <w:divId w:val="376054861"/>
        <w:rPr>
          <w:rFonts w:eastAsia="Times New Roman"/>
        </w:rPr>
      </w:pPr>
    </w:p>
    <w:p w:rsidR="00000000" w:rsidRDefault="005B0BC3">
      <w:pPr>
        <w:divId w:val="649406391"/>
        <w:rPr>
          <w:rFonts w:eastAsia="Times New Roman"/>
        </w:rPr>
      </w:pPr>
      <w:r>
        <w:rPr>
          <w:rFonts w:eastAsia="Times New Roman"/>
          <w:color w:val="000000"/>
          <w:sz w:val="20"/>
          <w:szCs w:val="20"/>
        </w:rPr>
        <w:t>Accrued pension costs of $93 million and $436 million as of December </w:t>
      </w:r>
      <w:r>
        <w:rPr>
          <w:rFonts w:eastAsia="Times New Roman"/>
          <w:color w:val="000000"/>
          <w:sz w:val="20"/>
          <w:szCs w:val="20"/>
        </w:rPr>
        <w:t xml:space="preserve">31, 2021 and 2020, respectively, were recognized in the accompanying consolidated balance sheets to reflect the unfunded status of these plans. </w:t>
      </w:r>
    </w:p>
    <w:tbl>
      <w:tblPr>
        <w:tblW w:w="5000" w:type="pct"/>
        <w:tblCellMar>
          <w:top w:w="15" w:type="dxa"/>
          <w:left w:w="15" w:type="dxa"/>
          <w:bottom w:w="15" w:type="dxa"/>
          <w:right w:w="15" w:type="dxa"/>
        </w:tblCellMar>
        <w:tblLook w:val="04A0" w:firstRow="1" w:lastRow="0" w:firstColumn="1" w:lastColumn="0" w:noHBand="0" w:noVBand="1"/>
      </w:tblPr>
      <w:tblGrid>
        <w:gridCol w:w="40"/>
        <w:gridCol w:w="5684"/>
        <w:gridCol w:w="37"/>
        <w:gridCol w:w="120"/>
        <w:gridCol w:w="1079"/>
        <w:gridCol w:w="36"/>
        <w:gridCol w:w="36"/>
        <w:gridCol w:w="36"/>
        <w:gridCol w:w="36"/>
        <w:gridCol w:w="120"/>
        <w:gridCol w:w="1046"/>
        <w:gridCol w:w="36"/>
      </w:tblGrid>
      <w:tr w:rsidR="00000000">
        <w:trPr>
          <w:divId w:val="851070596"/>
        </w:trPr>
        <w:tc>
          <w:tcPr>
            <w:tcW w:w="50" w:type="pct"/>
            <w:vAlign w:val="center"/>
            <w:hideMark/>
          </w:tcPr>
          <w:p w:rsidR="00000000" w:rsidRDefault="005B0BC3">
            <w:pPr>
              <w:rPr>
                <w:rFonts w:eastAsia="Times New Roman"/>
              </w:rPr>
            </w:pPr>
          </w:p>
        </w:tc>
        <w:tc>
          <w:tcPr>
            <w:tcW w:w="344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7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7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851070596"/>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December 31,</w:t>
            </w:r>
          </w:p>
        </w:tc>
      </w:tr>
      <w:tr w:rsidR="00000000">
        <w:trPr>
          <w:divId w:val="851070596"/>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r>
      <w:tr w:rsidR="00000000">
        <w:trPr>
          <w:divId w:val="851070596"/>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 (in millions)</w:t>
            </w:r>
          </w:p>
        </w:tc>
      </w:tr>
      <w:tr w:rsidR="00000000">
        <w:trPr>
          <w:divId w:val="851070596"/>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Projected benefit obligation</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2,900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3,180 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851070596"/>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Accumulated benefit obligation</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2,900</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3,180 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851070596"/>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Fair value of plan assets</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2,808</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2,744 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divId w:val="1148473293"/>
        <w:rPr>
          <w:rFonts w:eastAsia="Times New Roman"/>
        </w:rPr>
      </w:pPr>
    </w:p>
    <w:p w:rsidR="00000000" w:rsidRDefault="005B0BC3">
      <w:pPr>
        <w:jc w:val="both"/>
        <w:divId w:val="89160956"/>
        <w:rPr>
          <w:rFonts w:eastAsia="Times New Roman"/>
        </w:rPr>
      </w:pPr>
      <w:r>
        <w:rPr>
          <w:rFonts w:eastAsia="Times New Roman"/>
          <w:b/>
          <w:bCs/>
          <w:i/>
          <w:iCs/>
          <w:color w:val="000000"/>
          <w:sz w:val="20"/>
          <w:szCs w:val="20"/>
        </w:rPr>
        <w:t>Unrecognized Net Actuarial (Gain) Loss</w:t>
      </w:r>
    </w:p>
    <w:p w:rsidR="00000000" w:rsidRDefault="005B0BC3">
      <w:pPr>
        <w:divId w:val="1886410087"/>
        <w:rPr>
          <w:rFonts w:eastAsia="Times New Roman"/>
        </w:rPr>
      </w:pPr>
      <w:r>
        <w:rPr>
          <w:rFonts w:eastAsia="Times New Roman"/>
          <w:color w:val="000000"/>
          <w:sz w:val="20"/>
          <w:szCs w:val="20"/>
        </w:rPr>
        <w:t xml:space="preserve">The following table discloses the amounts included in AOCI as of December 31, 2021 and 2020 that have not yet been recognized as components of net periodic pension cost. </w:t>
      </w:r>
    </w:p>
    <w:tbl>
      <w:tblPr>
        <w:tblW w:w="5000" w:type="pct"/>
        <w:tblCellMar>
          <w:top w:w="15" w:type="dxa"/>
          <w:left w:w="15" w:type="dxa"/>
          <w:bottom w:w="15" w:type="dxa"/>
          <w:right w:w="15" w:type="dxa"/>
        </w:tblCellMar>
        <w:tblLook w:val="04A0" w:firstRow="1" w:lastRow="0" w:firstColumn="1" w:lastColumn="0" w:noHBand="0" w:noVBand="1"/>
      </w:tblPr>
      <w:tblGrid>
        <w:gridCol w:w="41"/>
        <w:gridCol w:w="5684"/>
        <w:gridCol w:w="36"/>
        <w:gridCol w:w="120"/>
        <w:gridCol w:w="1079"/>
        <w:gridCol w:w="36"/>
        <w:gridCol w:w="36"/>
        <w:gridCol w:w="36"/>
        <w:gridCol w:w="36"/>
        <w:gridCol w:w="120"/>
        <w:gridCol w:w="1046"/>
        <w:gridCol w:w="36"/>
      </w:tblGrid>
      <w:tr w:rsidR="00000000">
        <w:trPr>
          <w:divId w:val="1529761566"/>
        </w:trPr>
        <w:tc>
          <w:tcPr>
            <w:tcW w:w="50" w:type="pct"/>
            <w:vAlign w:val="center"/>
            <w:hideMark/>
          </w:tcPr>
          <w:p w:rsidR="00000000" w:rsidRDefault="005B0BC3">
            <w:pPr>
              <w:rPr>
                <w:rFonts w:eastAsia="Times New Roman"/>
              </w:rPr>
            </w:pPr>
          </w:p>
        </w:tc>
        <w:tc>
          <w:tcPr>
            <w:tcW w:w="344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7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7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529761566"/>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December 31,</w:t>
            </w:r>
          </w:p>
        </w:tc>
      </w:tr>
      <w:tr w:rsidR="00000000">
        <w:trPr>
          <w:divId w:val="1529761566"/>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r>
      <w:tr w:rsidR="00000000">
        <w:trPr>
          <w:divId w:val="1529761566"/>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 </w:t>
            </w:r>
            <w:r>
              <w:rPr>
                <w:rFonts w:eastAsia="Times New Roman"/>
                <w:b/>
                <w:bCs/>
                <w:color w:val="000000"/>
                <w:sz w:val="16"/>
                <w:szCs w:val="16"/>
              </w:rPr>
              <w:t>(in millions)</w:t>
            </w:r>
          </w:p>
        </w:tc>
      </w:tr>
      <w:tr w:rsidR="00000000">
        <w:trPr>
          <w:divId w:val="1529761566"/>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Unrecognized net actuarial (gain) loss</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895 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529761566"/>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Unrecognized prior service cost (credit)</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529761566"/>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Unrecognized net transition obligation (asset)</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529761566"/>
        </w:trPr>
        <w:tc>
          <w:tcPr>
            <w:tcW w:w="0" w:type="auto"/>
            <w:gridSpan w:val="3"/>
            <w:shd w:val="clear" w:color="auto" w:fill="FFFFFF"/>
            <w:tcMar>
              <w:top w:w="30" w:type="dxa"/>
              <w:left w:w="38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619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894 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jc w:val="both"/>
        <w:divId w:val="1577934654"/>
        <w:rPr>
          <w:rFonts w:eastAsia="Times New Roman"/>
        </w:rPr>
      </w:pPr>
      <w:r>
        <w:rPr>
          <w:rFonts w:eastAsia="Times New Roman"/>
          <w:b/>
          <w:bCs/>
          <w:i/>
          <w:iCs/>
          <w:color w:val="000000"/>
          <w:sz w:val="20"/>
          <w:szCs w:val="20"/>
        </w:rPr>
        <w:t>Pension Plan Assets</w:t>
      </w:r>
    </w:p>
    <w:p w:rsidR="00000000" w:rsidRDefault="005B0BC3">
      <w:pPr>
        <w:divId w:val="1834642208"/>
        <w:rPr>
          <w:rFonts w:eastAsia="Times New Roman"/>
        </w:rPr>
      </w:pPr>
      <w:r>
        <w:rPr>
          <w:rFonts w:eastAsia="Times New Roman"/>
          <w:color w:val="000000"/>
          <w:sz w:val="20"/>
          <w:szCs w:val="20"/>
        </w:rPr>
        <w:t>The fair values of qualified pension plan assets are measured and ascribed to levels within the fair value hierarchy in a manner consistent with the fair values of the Company’s invested assets that are measured at fair value on a recurring basis. See Note</w:t>
      </w:r>
      <w:r>
        <w:rPr>
          <w:rFonts w:eastAsia="Times New Roman"/>
          <w:color w:val="000000"/>
          <w:sz w:val="20"/>
          <w:szCs w:val="20"/>
        </w:rPr>
        <w:t xml:space="preserve"> 8 of the Notes to these Consolidated Financial Statements for a description of the fair value hierarchy.</w:t>
      </w:r>
    </w:p>
    <w:p w:rsidR="00000000" w:rsidRDefault="005B0BC3">
      <w:pPr>
        <w:divId w:val="1631666359"/>
        <w:rPr>
          <w:rFonts w:eastAsia="Times New Roman"/>
        </w:rPr>
      </w:pPr>
      <w:r>
        <w:rPr>
          <w:rFonts w:eastAsia="Times New Roman"/>
          <w:color w:val="000000"/>
          <w:sz w:val="20"/>
          <w:szCs w:val="20"/>
        </w:rPr>
        <w:t>The following table discloses the allocation of the fair value of total qualified pension plan assets as of December 31, 2021 and 2020:</w:t>
      </w:r>
    </w:p>
    <w:tbl>
      <w:tblPr>
        <w:tblW w:w="5000" w:type="pct"/>
        <w:tblCellMar>
          <w:top w:w="15" w:type="dxa"/>
          <w:left w:w="15" w:type="dxa"/>
          <w:bottom w:w="15" w:type="dxa"/>
          <w:right w:w="15" w:type="dxa"/>
        </w:tblCellMar>
        <w:tblLook w:val="04A0" w:firstRow="1" w:lastRow="0" w:firstColumn="1" w:lastColumn="0" w:noHBand="0" w:noVBand="1"/>
      </w:tblPr>
      <w:tblGrid>
        <w:gridCol w:w="38"/>
        <w:gridCol w:w="5635"/>
        <w:gridCol w:w="37"/>
        <w:gridCol w:w="39"/>
        <w:gridCol w:w="1029"/>
        <w:gridCol w:w="221"/>
        <w:gridCol w:w="37"/>
        <w:gridCol w:w="36"/>
        <w:gridCol w:w="36"/>
        <w:gridCol w:w="38"/>
        <w:gridCol w:w="973"/>
        <w:gridCol w:w="187"/>
      </w:tblGrid>
      <w:tr w:rsidR="00000000">
        <w:trPr>
          <w:divId w:val="1311519872"/>
        </w:trPr>
        <w:tc>
          <w:tcPr>
            <w:tcW w:w="50" w:type="pct"/>
            <w:vAlign w:val="center"/>
            <w:hideMark/>
          </w:tcPr>
          <w:p w:rsidR="00000000" w:rsidRDefault="005B0BC3">
            <w:pPr>
              <w:rPr>
                <w:rFonts w:eastAsia="Times New Roman"/>
              </w:rPr>
            </w:pPr>
          </w:p>
        </w:tc>
        <w:tc>
          <w:tcPr>
            <w:tcW w:w="344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7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7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311519872"/>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gridSpan w:val="9"/>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December 31,</w:t>
            </w:r>
          </w:p>
        </w:tc>
      </w:tr>
      <w:tr w:rsidR="00000000">
        <w:trPr>
          <w:divId w:val="1311519872"/>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r>
      <w:tr w:rsidR="00000000">
        <w:trPr>
          <w:divId w:val="1311519872"/>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Fixed maturities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47.2</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47.2 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r>
      <w:tr w:rsidR="00000000">
        <w:trPr>
          <w:divId w:val="1311519872"/>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Equity securities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29.7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32.1 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11519872"/>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Equity real estate</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16.5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11519872"/>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Cash and short-term investments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11519872"/>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11519872"/>
        </w:trPr>
        <w:tc>
          <w:tcPr>
            <w:tcW w:w="0" w:type="auto"/>
            <w:gridSpan w:val="3"/>
            <w:shd w:val="clear" w:color="auto" w:fill="FFFFFF"/>
            <w:tcMar>
              <w:top w:w="30" w:type="dxa"/>
              <w:left w:w="38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Total</w:t>
            </w: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100.0</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100.0 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r>
    </w:tbl>
    <w:p w:rsidR="00000000" w:rsidRDefault="005B0BC3">
      <w:pPr>
        <w:divId w:val="673143258"/>
        <w:rPr>
          <w:rFonts w:eastAsia="Times New Roman"/>
        </w:rPr>
      </w:pPr>
    </w:p>
    <w:p w:rsidR="00000000" w:rsidRDefault="005B0BC3">
      <w:pPr>
        <w:jc w:val="center"/>
        <w:divId w:val="670912368"/>
        <w:rPr>
          <w:rFonts w:eastAsia="Times New Roman"/>
        </w:rPr>
      </w:pPr>
      <w:r>
        <w:rPr>
          <w:rFonts w:eastAsia="Times New Roman"/>
          <w:color w:val="000000"/>
          <w:sz w:val="20"/>
          <w:szCs w:val="20"/>
        </w:rPr>
        <w:t>206</w:t>
      </w:r>
    </w:p>
    <w:p w:rsidR="00000000" w:rsidRDefault="005B0BC3">
      <w:pPr>
        <w:rPr>
          <w:rFonts w:eastAsia="Times New Roman"/>
        </w:rPr>
      </w:pPr>
      <w:r>
        <w:rPr>
          <w:rFonts w:eastAsia="Times New Roman"/>
        </w:rPr>
        <w:pict>
          <v:rect id="_x0000_i1244" style="width:0;height:1.5pt" o:hralign="center" o:hrstd="t" o:hr="t" fillcolor="#a0a0a0" stroked="f"/>
        </w:pict>
      </w:r>
    </w:p>
    <w:p w:rsidR="00000000" w:rsidRDefault="005B0BC3">
      <w:pPr>
        <w:jc w:val="center"/>
        <w:divId w:val="1832677652"/>
        <w:rPr>
          <w:rFonts w:eastAsia="Times New Roman"/>
        </w:rPr>
      </w:pPr>
      <w:r>
        <w:rPr>
          <w:rFonts w:eastAsia="Times New Roman"/>
          <w:b/>
          <w:bCs/>
          <w:color w:val="000000"/>
          <w:sz w:val="20"/>
          <w:szCs w:val="20"/>
        </w:rPr>
        <w:t>EQUITABLE HOLDINGS, INC.</w:t>
      </w:r>
    </w:p>
    <w:p w:rsidR="00000000" w:rsidRDefault="005B0BC3">
      <w:pPr>
        <w:jc w:val="center"/>
        <w:divId w:val="1832677652"/>
        <w:rPr>
          <w:rFonts w:eastAsia="Times New Roman"/>
        </w:rPr>
      </w:pPr>
      <w:r>
        <w:rPr>
          <w:rFonts w:eastAsia="Times New Roman"/>
          <w:b/>
          <w:bCs/>
          <w:color w:val="000000"/>
          <w:sz w:val="20"/>
          <w:szCs w:val="20"/>
        </w:rPr>
        <w:t>NOTES TO CONSOLIDATED FINANCIAL STATEMENTS, continued</w:t>
      </w:r>
    </w:p>
    <w:p w:rsidR="00000000" w:rsidRDefault="005B0BC3">
      <w:pPr>
        <w:divId w:val="1088884004"/>
        <w:rPr>
          <w:rFonts w:eastAsia="Times New Roman"/>
        </w:rPr>
      </w:pPr>
      <w:r>
        <w:rPr>
          <w:rFonts w:eastAsia="Times New Roman"/>
          <w:color w:val="000000"/>
          <w:sz w:val="20"/>
          <w:szCs w:val="20"/>
        </w:rPr>
        <w:t>Qualified pension plan assets are invested with the primary objective of return, giving consideration to prudent risk. Guidelines regarding the allocation of plan assets are established by the respective Investment Committees for the plans and are designed</w:t>
      </w:r>
      <w:r>
        <w:rPr>
          <w:rFonts w:eastAsia="Times New Roman"/>
          <w:color w:val="000000"/>
          <w:sz w:val="20"/>
          <w:szCs w:val="20"/>
        </w:rPr>
        <w:t xml:space="preserve"> with a long-term investment horizon. As of December 31, 2021, the qualified pension plans continued their investment allocation strategy to target a [50%- 50%] mix of long-duration bonds and “return-seeking” assets, including public equities, real estate,</w:t>
      </w:r>
      <w:r>
        <w:rPr>
          <w:rFonts w:eastAsia="Times New Roman"/>
          <w:color w:val="000000"/>
          <w:sz w:val="20"/>
          <w:szCs w:val="20"/>
        </w:rPr>
        <w:t xml:space="preserve"> hedge funds, and private equity.</w:t>
      </w:r>
    </w:p>
    <w:p w:rsidR="00000000" w:rsidRDefault="005B0BC3">
      <w:pPr>
        <w:divId w:val="756559342"/>
        <w:rPr>
          <w:rFonts w:eastAsia="Times New Roman"/>
        </w:rPr>
      </w:pPr>
      <w:r>
        <w:rPr>
          <w:rFonts w:eastAsia="Times New Roman"/>
          <w:color w:val="000000"/>
          <w:sz w:val="20"/>
          <w:szCs w:val="20"/>
        </w:rPr>
        <w:t>The following tables disclose the fair values of qualified pension plan assets and their level of observability within the fair value hierarchy as of December 31, 2021 and 2020, respectively.</w:t>
      </w:r>
    </w:p>
    <w:tbl>
      <w:tblPr>
        <w:tblW w:w="5000" w:type="pct"/>
        <w:tblCellMar>
          <w:top w:w="15" w:type="dxa"/>
          <w:left w:w="15" w:type="dxa"/>
          <w:bottom w:w="15" w:type="dxa"/>
          <w:right w:w="15" w:type="dxa"/>
        </w:tblCellMar>
        <w:tblLook w:val="04A0" w:firstRow="1" w:lastRow="0" w:firstColumn="1" w:lastColumn="0" w:noHBand="0" w:noVBand="1"/>
      </w:tblPr>
      <w:tblGrid>
        <w:gridCol w:w="41"/>
        <w:gridCol w:w="3749"/>
        <w:gridCol w:w="40"/>
        <w:gridCol w:w="121"/>
        <w:gridCol w:w="914"/>
        <w:gridCol w:w="36"/>
        <w:gridCol w:w="36"/>
        <w:gridCol w:w="36"/>
        <w:gridCol w:w="36"/>
        <w:gridCol w:w="120"/>
        <w:gridCol w:w="870"/>
        <w:gridCol w:w="36"/>
        <w:gridCol w:w="36"/>
        <w:gridCol w:w="36"/>
        <w:gridCol w:w="36"/>
        <w:gridCol w:w="121"/>
        <w:gridCol w:w="870"/>
        <w:gridCol w:w="36"/>
        <w:gridCol w:w="36"/>
        <w:gridCol w:w="36"/>
        <w:gridCol w:w="36"/>
        <w:gridCol w:w="120"/>
        <w:gridCol w:w="872"/>
        <w:gridCol w:w="36"/>
      </w:tblGrid>
      <w:tr w:rsidR="00000000">
        <w:trPr>
          <w:divId w:val="368192368"/>
        </w:trPr>
        <w:tc>
          <w:tcPr>
            <w:tcW w:w="50" w:type="pct"/>
            <w:vAlign w:val="center"/>
            <w:hideMark/>
          </w:tcPr>
          <w:p w:rsidR="00000000" w:rsidRDefault="005B0BC3">
            <w:pPr>
              <w:rPr>
                <w:rFonts w:eastAsia="Times New Roman"/>
              </w:rPr>
            </w:pPr>
          </w:p>
        </w:tc>
        <w:tc>
          <w:tcPr>
            <w:tcW w:w="229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8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8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8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8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368192368"/>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 xml:space="preserve">Level 1 </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 xml:space="preserve">Level 2 </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 xml:space="preserve">Level 3 </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 xml:space="preserve">Total </w:t>
            </w:r>
          </w:p>
        </w:tc>
      </w:tr>
      <w:tr w:rsidR="00000000">
        <w:trPr>
          <w:divId w:val="368192368"/>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368192368"/>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December 31, 2021:</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368192368"/>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Fixed Maturities:</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368192368"/>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     Corporate</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842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368192368"/>
        </w:trPr>
        <w:tc>
          <w:tcPr>
            <w:tcW w:w="0" w:type="auto"/>
            <w:gridSpan w:val="3"/>
            <w:shd w:val="clear" w:color="auto" w:fill="FFFF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     </w:t>
            </w:r>
            <w:r>
              <w:rPr>
                <w:rFonts w:eastAsia="Times New Roman"/>
                <w:color w:val="000000"/>
                <w:sz w:val="20"/>
                <w:szCs w:val="20"/>
              </w:rPr>
              <w:t>U.S. Treasury, government and agency</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368192368"/>
        </w:trPr>
        <w:tc>
          <w:tcPr>
            <w:tcW w:w="0" w:type="auto"/>
            <w:gridSpan w:val="3"/>
            <w:shd w:val="clear" w:color="auto" w:fill="CCEE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     States and political subdivisions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368192368"/>
        </w:trPr>
        <w:tc>
          <w:tcPr>
            <w:tcW w:w="0" w:type="auto"/>
            <w:gridSpan w:val="3"/>
            <w:shd w:val="clear" w:color="auto" w:fill="FFFF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     Foreign governments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368192368"/>
        </w:trPr>
        <w:tc>
          <w:tcPr>
            <w:tcW w:w="0" w:type="auto"/>
            <w:gridSpan w:val="3"/>
            <w:shd w:val="clear" w:color="auto" w:fill="CCEE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     </w:t>
            </w:r>
            <w:r>
              <w:rPr>
                <w:rFonts w:eastAsia="Times New Roman"/>
                <w:color w:val="000000"/>
                <w:sz w:val="20"/>
                <w:szCs w:val="20"/>
              </w:rPr>
              <w:t>Commercial mortgage-backed</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368192368"/>
        </w:trPr>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368192368"/>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368192368"/>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Common equity, REITs and preferred equity</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576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108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684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368192368"/>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Mutual funds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368192368"/>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Collective Trust</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368192368"/>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Derivatives, net</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368192368"/>
        </w:trPr>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368192368"/>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368192368"/>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368192368"/>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368192368"/>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Cash and cash equivalents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FFFFFF"/>
                <w:sz w:val="20"/>
                <w:szCs w:val="20"/>
              </w:rPr>
              <w:t>19</w:t>
            </w:r>
            <w:r>
              <w:rPr>
                <w:rFonts w:eastAsia="Times New Roman"/>
                <w:color w:val="FFFFFF"/>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368192368"/>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Short-term investments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368192368"/>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Total Assets at Fair Value</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657</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1,555</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2,212</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368192368"/>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Investments measured at NAV</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593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368192368"/>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Total Investments at Fair Value</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657</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1,555</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2,805</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368192368"/>
          <w:trHeight w:val="280"/>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368192368"/>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December 31, 2020:</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368192368"/>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Fixed Maturities:</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368192368"/>
        </w:trPr>
        <w:tc>
          <w:tcPr>
            <w:tcW w:w="0" w:type="auto"/>
            <w:gridSpan w:val="3"/>
            <w:shd w:val="clear" w:color="auto" w:fill="FFFF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Corporate</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831 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831 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368192368"/>
        </w:trPr>
        <w:tc>
          <w:tcPr>
            <w:tcW w:w="0" w:type="auto"/>
            <w:gridSpan w:val="3"/>
            <w:shd w:val="clear" w:color="auto" w:fill="CCEE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U.S. Treasury, government and agency</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412 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412 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368192368"/>
        </w:trPr>
        <w:tc>
          <w:tcPr>
            <w:tcW w:w="0" w:type="auto"/>
            <w:gridSpan w:val="3"/>
            <w:shd w:val="clear" w:color="auto" w:fill="FFFF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States and political subdivisions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368192368"/>
        </w:trPr>
        <w:tc>
          <w:tcPr>
            <w:tcW w:w="0" w:type="auto"/>
            <w:gridSpan w:val="3"/>
            <w:shd w:val="clear" w:color="auto" w:fill="CCEE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Foreign governments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368192368"/>
        </w:trPr>
        <w:tc>
          <w:tcPr>
            <w:tcW w:w="0" w:type="auto"/>
            <w:gridSpan w:val="3"/>
            <w:shd w:val="clear" w:color="auto" w:fill="FFFF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Commercial mortgage-backed</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368192368"/>
        </w:trPr>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368192368"/>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368192368"/>
        </w:trPr>
        <w:tc>
          <w:tcPr>
            <w:tcW w:w="0" w:type="auto"/>
            <w:gridSpan w:val="3"/>
            <w:shd w:val="clear" w:color="auto" w:fill="CCEE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Common equity, REITs and preferred equity</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622 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735 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368192368"/>
        </w:trPr>
        <w:tc>
          <w:tcPr>
            <w:tcW w:w="0" w:type="auto"/>
            <w:gridSpan w:val="3"/>
            <w:shd w:val="clear" w:color="auto" w:fill="FFFF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Mutual funds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368192368"/>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Collective Trust</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368192368"/>
        </w:trPr>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368192368"/>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368192368"/>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368192368"/>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368192368"/>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368192368"/>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Cash and cash equivalents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368192368"/>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Short-term investments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368192368"/>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Total Assets at Fair Value</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708 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1,506 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2,214 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368192368"/>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Investments measured at NAV</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536 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368192368"/>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Total Investments at Fair Value</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708 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1,506 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2,750 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divId w:val="28459956"/>
        <w:rPr>
          <w:rFonts w:eastAsia="Times New Roman"/>
        </w:rPr>
      </w:pPr>
      <w:r>
        <w:rPr>
          <w:rFonts w:eastAsia="Times New Roman"/>
          <w:color w:val="000000"/>
          <w:sz w:val="20"/>
          <w:szCs w:val="20"/>
        </w:rPr>
        <w:t>The following table lists investments for which NAV is calculated; NAV is used as a practical expedient to determine the fair value of these investments as of December 31, 2021 and 2020.</w:t>
      </w:r>
    </w:p>
    <w:p w:rsidR="00000000" w:rsidRDefault="005B0BC3">
      <w:pPr>
        <w:jc w:val="center"/>
        <w:divId w:val="2082092156"/>
        <w:rPr>
          <w:rFonts w:eastAsia="Times New Roman"/>
        </w:rPr>
      </w:pPr>
      <w:r>
        <w:rPr>
          <w:rFonts w:eastAsia="Times New Roman"/>
          <w:color w:val="000000"/>
          <w:sz w:val="20"/>
          <w:szCs w:val="20"/>
        </w:rPr>
        <w:t>207</w:t>
      </w:r>
    </w:p>
    <w:p w:rsidR="00000000" w:rsidRDefault="005B0BC3">
      <w:pPr>
        <w:rPr>
          <w:rFonts w:eastAsia="Times New Roman"/>
        </w:rPr>
      </w:pPr>
      <w:r>
        <w:rPr>
          <w:rFonts w:eastAsia="Times New Roman"/>
        </w:rPr>
        <w:pict>
          <v:rect id="_x0000_i1245" style="width:0;height:1.5pt" o:hralign="center" o:hrstd="t" o:hr="t" fillcolor="#a0a0a0" stroked="f"/>
        </w:pict>
      </w:r>
    </w:p>
    <w:p w:rsidR="00000000" w:rsidRDefault="005B0BC3">
      <w:pPr>
        <w:jc w:val="center"/>
        <w:divId w:val="933199129"/>
        <w:rPr>
          <w:rFonts w:eastAsia="Times New Roman"/>
        </w:rPr>
      </w:pPr>
      <w:r>
        <w:rPr>
          <w:rFonts w:eastAsia="Times New Roman"/>
          <w:b/>
          <w:bCs/>
          <w:color w:val="000000"/>
          <w:sz w:val="20"/>
          <w:szCs w:val="20"/>
        </w:rPr>
        <w:t>EQUITABLE HOLDINGS, INC.</w:t>
      </w:r>
    </w:p>
    <w:p w:rsidR="00000000" w:rsidRDefault="005B0BC3">
      <w:pPr>
        <w:jc w:val="center"/>
        <w:divId w:val="933199129"/>
        <w:rPr>
          <w:rFonts w:eastAsia="Times New Roman"/>
        </w:rPr>
      </w:pPr>
      <w:r>
        <w:rPr>
          <w:rFonts w:eastAsia="Times New Roman"/>
          <w:b/>
          <w:bCs/>
          <w:color w:val="000000"/>
          <w:sz w:val="20"/>
          <w:szCs w:val="20"/>
        </w:rPr>
        <w:t>NOTES TO CONSOLIDATED FINANCIAL STATEMENTS, continued</w:t>
      </w:r>
    </w:p>
    <w:p w:rsidR="00000000" w:rsidRDefault="005B0BC3">
      <w:pPr>
        <w:jc w:val="center"/>
        <w:divId w:val="1479608729"/>
        <w:rPr>
          <w:rFonts w:eastAsia="Times New Roman"/>
        </w:rPr>
      </w:pPr>
      <w:r>
        <w:rPr>
          <w:rFonts w:eastAsia="Times New Roman"/>
          <w:b/>
          <w:bCs/>
          <w:color w:val="000000"/>
          <w:sz w:val="20"/>
          <w:szCs w:val="20"/>
        </w:rPr>
        <w:t>Practical Expedient Disclosure as of December 31, 2021 and 2020</w:t>
      </w:r>
    </w:p>
    <w:tbl>
      <w:tblPr>
        <w:tblW w:w="5000" w:type="pct"/>
        <w:tblCellMar>
          <w:top w:w="15" w:type="dxa"/>
          <w:left w:w="15" w:type="dxa"/>
          <w:bottom w:w="15" w:type="dxa"/>
          <w:right w:w="15" w:type="dxa"/>
        </w:tblCellMar>
        <w:tblLook w:val="04A0" w:firstRow="1" w:lastRow="0" w:firstColumn="1" w:lastColumn="0" w:noHBand="0" w:noVBand="1"/>
      </w:tblPr>
      <w:tblGrid>
        <w:gridCol w:w="39"/>
        <w:gridCol w:w="3134"/>
        <w:gridCol w:w="36"/>
        <w:gridCol w:w="120"/>
        <w:gridCol w:w="640"/>
        <w:gridCol w:w="36"/>
        <w:gridCol w:w="36"/>
        <w:gridCol w:w="36"/>
        <w:gridCol w:w="36"/>
        <w:gridCol w:w="47"/>
        <w:gridCol w:w="1387"/>
        <w:gridCol w:w="36"/>
        <w:gridCol w:w="36"/>
        <w:gridCol w:w="36"/>
        <w:gridCol w:w="36"/>
        <w:gridCol w:w="48"/>
        <w:gridCol w:w="1349"/>
        <w:gridCol w:w="36"/>
        <w:gridCol w:w="36"/>
        <w:gridCol w:w="36"/>
        <w:gridCol w:w="36"/>
        <w:gridCol w:w="121"/>
        <w:gridCol w:w="917"/>
        <w:gridCol w:w="36"/>
      </w:tblGrid>
      <w:tr w:rsidR="00000000">
        <w:trPr>
          <w:divId w:val="11106571"/>
        </w:trPr>
        <w:tc>
          <w:tcPr>
            <w:tcW w:w="50" w:type="pct"/>
            <w:vAlign w:val="center"/>
            <w:hideMark/>
          </w:tcPr>
          <w:p w:rsidR="00000000" w:rsidRDefault="005B0BC3">
            <w:pPr>
              <w:jc w:val="center"/>
              <w:rPr>
                <w:rFonts w:eastAsia="Times New Roman"/>
              </w:rPr>
            </w:pPr>
          </w:p>
        </w:tc>
        <w:tc>
          <w:tcPr>
            <w:tcW w:w="191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1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88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85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1106571"/>
        </w:trPr>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Investment</w:t>
            </w: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Fair Value</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Redemption Frequency</w:t>
            </w:r>
          </w:p>
          <w:p w:rsidR="00000000" w:rsidRDefault="005B0BC3">
            <w:pPr>
              <w:spacing w:after="100"/>
              <w:jc w:val="center"/>
              <w:rPr>
                <w:rFonts w:eastAsia="Times New Roman"/>
              </w:rPr>
            </w:pPr>
            <w:r>
              <w:rPr>
                <w:rFonts w:eastAsia="Times New Roman"/>
                <w:b/>
                <w:bCs/>
                <w:color w:val="000000"/>
                <w:sz w:val="16"/>
                <w:szCs w:val="16"/>
              </w:rPr>
              <w:t>(If currently eligible)</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Redemption Notice Period</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 xml:space="preserve">Unfunded Commitments </w:t>
            </w:r>
          </w:p>
        </w:tc>
      </w:tr>
      <w:tr w:rsidR="00000000">
        <w:trPr>
          <w:divId w:val="11106571"/>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21"/>
            <w:tcBorders>
              <w:top w:val="single" w:sz="4" w:space="0" w:color="000000"/>
            </w:tcBorders>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 (in millions)</w:t>
            </w:r>
          </w:p>
        </w:tc>
      </w:tr>
      <w:tr w:rsidR="00000000">
        <w:trPr>
          <w:divId w:val="11106571"/>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December 31, 2021:</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1106571"/>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Private Equity Fund</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N/A (1) (2)</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1106571"/>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xml:space="preserve">Private Real Estate Investment Trust </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center"/>
            <w:hideMark/>
          </w:tcPr>
          <w:p w:rsidR="00000000" w:rsidRDefault="005B0BC3">
            <w:pPr>
              <w:spacing w:after="100"/>
              <w:jc w:val="center"/>
              <w:rPr>
                <w:rFonts w:eastAsia="Times New Roman"/>
              </w:rPr>
            </w:pPr>
            <w:r>
              <w:rPr>
                <w:rFonts w:ascii="Calibri" w:eastAsia="Times New Roman" w:hAnsi="Calibri" w:cs="Calibri"/>
                <w:color w:val="000000"/>
                <w:sz w:val="18"/>
                <w:szCs w:val="18"/>
              </w:rPr>
              <w:t>Quarterly</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One Quarter</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1106571"/>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Hedge Fund</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center"/>
            <w:hideMark/>
          </w:tcPr>
          <w:p w:rsidR="00000000" w:rsidRDefault="005B0BC3">
            <w:pPr>
              <w:spacing w:after="100"/>
              <w:jc w:val="center"/>
              <w:rPr>
                <w:rFonts w:eastAsia="Times New Roman"/>
              </w:rPr>
            </w:pPr>
            <w:r>
              <w:rPr>
                <w:rFonts w:ascii="Calibri" w:eastAsia="Times New Roman" w:hAnsi="Calibri" w:cs="Calibri"/>
                <w:color w:val="000000"/>
                <w:sz w:val="18"/>
                <w:szCs w:val="18"/>
              </w:rPr>
              <w:t>Calendar Quarters (3)</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Previous Quarter End</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1106571"/>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(4)</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594</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1106571"/>
          <w:trHeight w:val="280"/>
        </w:trPr>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1106571"/>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December 31, 2020:</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1106571"/>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Private Equity Fund</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N/A (1)(2)</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N/A</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1106571"/>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Private Real Estate Investment Trust</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397 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Quarterly</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One Quarter</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1106571"/>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Hedge Fund</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Calendar Quarters (3)</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Previous Quarter End</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1106571"/>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(4)</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535 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bl>
    <w:p w:rsidR="00000000" w:rsidRDefault="005B0BC3">
      <w:pPr>
        <w:ind w:hanging="720"/>
        <w:divId w:val="923296653"/>
        <w:rPr>
          <w:rFonts w:eastAsia="Times New Roman"/>
        </w:rPr>
      </w:pPr>
      <w:r>
        <w:rPr>
          <w:rFonts w:eastAsia="Times New Roman"/>
          <w:color w:val="000000"/>
          <w:sz w:val="18"/>
          <w:szCs w:val="18"/>
        </w:rPr>
        <w:t>_______________</w:t>
      </w:r>
    </w:p>
    <w:p w:rsidR="00000000" w:rsidRDefault="005B0BC3">
      <w:pPr>
        <w:ind w:hanging="360"/>
        <w:divId w:val="786655254"/>
        <w:rPr>
          <w:rFonts w:eastAsia="Times New Roman"/>
        </w:rPr>
      </w:pPr>
      <w:r>
        <w:rPr>
          <w:rFonts w:eastAsia="Times New Roman"/>
          <w:color w:val="000000"/>
          <w:sz w:val="18"/>
          <w:szCs w:val="18"/>
        </w:rPr>
        <w:t>(1)</w:t>
      </w:r>
      <w:r>
        <w:rPr>
          <w:rFonts w:eastAsia="Times New Roman"/>
          <w:color w:val="000000"/>
          <w:sz w:val="18"/>
          <w:szCs w:val="18"/>
        </w:rPr>
        <w:t>Cannot sell or transfer ownership interest without prior written consent to transfer, and by meeting several criteria (e.g., does not adversely affect other investors).</w:t>
      </w:r>
    </w:p>
    <w:p w:rsidR="00000000" w:rsidRDefault="005B0BC3">
      <w:pPr>
        <w:ind w:hanging="360"/>
        <w:divId w:val="753867453"/>
        <w:rPr>
          <w:rFonts w:eastAsia="Times New Roman"/>
        </w:rPr>
      </w:pPr>
      <w:r>
        <w:rPr>
          <w:rFonts w:eastAsia="Times New Roman"/>
          <w:color w:val="000000"/>
          <w:sz w:val="18"/>
          <w:szCs w:val="18"/>
        </w:rPr>
        <w:t>(2)Cannot sell interest in the vehicle without prior written consent of the managing me</w:t>
      </w:r>
      <w:r>
        <w:rPr>
          <w:rFonts w:eastAsia="Times New Roman"/>
          <w:color w:val="000000"/>
          <w:sz w:val="18"/>
          <w:szCs w:val="18"/>
        </w:rPr>
        <w:t>mber.</w:t>
      </w:r>
    </w:p>
    <w:p w:rsidR="00000000" w:rsidRDefault="005B0BC3">
      <w:pPr>
        <w:ind w:hanging="360"/>
        <w:divId w:val="1597324635"/>
        <w:rPr>
          <w:rFonts w:eastAsia="Times New Roman"/>
        </w:rPr>
      </w:pPr>
      <w:r>
        <w:rPr>
          <w:rFonts w:eastAsia="Times New Roman"/>
          <w:color w:val="000000"/>
          <w:sz w:val="18"/>
          <w:szCs w:val="18"/>
        </w:rPr>
        <w:t>(3)March, June, September and December.</w:t>
      </w:r>
    </w:p>
    <w:p w:rsidR="00000000" w:rsidRDefault="005B0BC3">
      <w:pPr>
        <w:ind w:hanging="360"/>
        <w:divId w:val="1452745727"/>
        <w:rPr>
          <w:rFonts w:eastAsia="Times New Roman"/>
        </w:rPr>
      </w:pPr>
      <w:r>
        <w:rPr>
          <w:rFonts w:eastAsia="Times New Roman"/>
          <w:color w:val="000000"/>
          <w:sz w:val="18"/>
          <w:szCs w:val="18"/>
        </w:rPr>
        <w:t xml:space="preserve">(4)Includes equity method investments of $109 million and $110 million as of December 31, 2021 and 2020, respectively. </w:t>
      </w:r>
    </w:p>
    <w:p w:rsidR="00000000" w:rsidRDefault="005B0BC3">
      <w:pPr>
        <w:divId w:val="196234144"/>
        <w:rPr>
          <w:rFonts w:eastAsia="Times New Roman"/>
        </w:rPr>
      </w:pPr>
      <w:r>
        <w:rPr>
          <w:rFonts w:eastAsia="Times New Roman"/>
          <w:color w:val="000000"/>
          <w:sz w:val="20"/>
          <w:szCs w:val="20"/>
        </w:rPr>
        <w:t>The table below presents a reconciliation for all Level 3 fair values of qualified pension plan assets as of December 31, 2021, 2020 and 2019, respectively:</w:t>
      </w:r>
    </w:p>
    <w:p w:rsidR="00000000" w:rsidRDefault="005B0BC3">
      <w:pPr>
        <w:jc w:val="center"/>
        <w:rPr>
          <w:rFonts w:eastAsia="Times New Roman"/>
        </w:rPr>
      </w:pPr>
      <w:r>
        <w:rPr>
          <w:rFonts w:eastAsia="Times New Roman"/>
          <w:b/>
          <w:bCs/>
          <w:color w:val="000000"/>
          <w:sz w:val="20"/>
          <w:szCs w:val="20"/>
        </w:rPr>
        <w:t>Level 3 Instruments</w:t>
      </w:r>
    </w:p>
    <w:p w:rsidR="00000000" w:rsidRDefault="005B0BC3">
      <w:pPr>
        <w:jc w:val="center"/>
        <w:rPr>
          <w:rFonts w:eastAsia="Times New Roman"/>
        </w:rPr>
      </w:pPr>
      <w:r>
        <w:rPr>
          <w:rFonts w:eastAsia="Times New Roman"/>
          <w:b/>
          <w:bCs/>
          <w:color w:val="000000"/>
          <w:sz w:val="20"/>
          <w:szCs w:val="20"/>
        </w:rPr>
        <w:t>Fair Value Measurements</w:t>
      </w:r>
    </w:p>
    <w:tbl>
      <w:tblPr>
        <w:tblW w:w="5000" w:type="pct"/>
        <w:tblCellMar>
          <w:top w:w="15" w:type="dxa"/>
          <w:left w:w="15" w:type="dxa"/>
          <w:bottom w:w="15" w:type="dxa"/>
          <w:right w:w="15" w:type="dxa"/>
        </w:tblCellMar>
        <w:tblLook w:val="04A0" w:firstRow="1" w:lastRow="0" w:firstColumn="1" w:lastColumn="0" w:noHBand="0" w:noVBand="1"/>
      </w:tblPr>
      <w:tblGrid>
        <w:gridCol w:w="38"/>
        <w:gridCol w:w="4529"/>
        <w:gridCol w:w="37"/>
        <w:gridCol w:w="121"/>
        <w:gridCol w:w="961"/>
        <w:gridCol w:w="36"/>
        <w:gridCol w:w="36"/>
        <w:gridCol w:w="36"/>
        <w:gridCol w:w="36"/>
        <w:gridCol w:w="121"/>
        <w:gridCol w:w="918"/>
        <w:gridCol w:w="36"/>
        <w:gridCol w:w="36"/>
        <w:gridCol w:w="36"/>
        <w:gridCol w:w="36"/>
        <w:gridCol w:w="121"/>
        <w:gridCol w:w="920"/>
        <w:gridCol w:w="36"/>
        <w:gridCol w:w="36"/>
        <w:gridCol w:w="36"/>
        <w:gridCol w:w="36"/>
        <w:gridCol w:w="36"/>
        <w:gridCol w:w="36"/>
        <w:gridCol w:w="36"/>
      </w:tblGrid>
      <w:tr w:rsidR="00000000">
        <w:trPr>
          <w:divId w:val="1485731213"/>
        </w:trPr>
        <w:tc>
          <w:tcPr>
            <w:tcW w:w="50" w:type="pct"/>
            <w:vAlign w:val="center"/>
            <w:hideMark/>
          </w:tcPr>
          <w:p w:rsidR="00000000" w:rsidRDefault="005B0BC3">
            <w:pPr>
              <w:jc w:val="center"/>
              <w:rPr>
                <w:rFonts w:eastAsia="Times New Roman"/>
              </w:rPr>
            </w:pPr>
          </w:p>
        </w:tc>
        <w:tc>
          <w:tcPr>
            <w:tcW w:w="283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485731213"/>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Private Real Estate Investment Trusts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Other Equity Investments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Fixed Maturities</w:t>
            </w:r>
          </w:p>
        </w:tc>
        <w:tc>
          <w:tcPr>
            <w:tcW w:w="0" w:type="auto"/>
            <w:gridSpan w:val="3"/>
            <w:vAlign w:val="center"/>
            <w:hideMark/>
          </w:tcPr>
          <w:p w:rsidR="00000000" w:rsidRDefault="005B0BC3">
            <w:pPr>
              <w:spacing w:after="100"/>
              <w:jc w:val="center"/>
              <w:rPr>
                <w:rFonts w:eastAsia="Times New Roman"/>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485731213"/>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485731213"/>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Balance, January 1, 2021</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485731213"/>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485731213"/>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485731213"/>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485731213"/>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485731213"/>
        </w:trPr>
        <w:tc>
          <w:tcPr>
            <w:tcW w:w="0" w:type="auto"/>
            <w:gridSpan w:val="3"/>
            <w:shd w:val="clear" w:color="auto" w:fill="FFFF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Actual return on plan assets — Sales/Settlements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485731213"/>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485731213"/>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Balance, December 31, 2021</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485731213"/>
          <w:trHeight w:val="280"/>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485731213"/>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Balance, January 1, 2020</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485731213"/>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485731213"/>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485731213"/>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485731213"/>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485731213"/>
        </w:trPr>
        <w:tc>
          <w:tcPr>
            <w:tcW w:w="0" w:type="auto"/>
            <w:gridSpan w:val="3"/>
            <w:shd w:val="clear" w:color="auto" w:fill="FFFF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Actual return on plan assets — Sales/Settlements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485731213"/>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485731213"/>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Balance, December 31, 2021</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485731213"/>
          <w:trHeight w:val="280"/>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485731213"/>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Balance, January 1, 2019</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485731213"/>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485731213"/>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485731213"/>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485731213"/>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485731213"/>
        </w:trPr>
        <w:tc>
          <w:tcPr>
            <w:tcW w:w="0" w:type="auto"/>
            <w:gridSpan w:val="3"/>
            <w:shd w:val="clear" w:color="auto" w:fill="FFFF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Actual return on plan assets — Sales/Settlements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485731213"/>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485731213"/>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Balance, December 31, 2019</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bl>
    <w:p w:rsidR="00000000" w:rsidRDefault="005B0BC3">
      <w:pPr>
        <w:divId w:val="1252161986"/>
        <w:rPr>
          <w:rFonts w:eastAsia="Times New Roman"/>
        </w:rPr>
      </w:pPr>
    </w:p>
    <w:p w:rsidR="00000000" w:rsidRDefault="005B0BC3">
      <w:pPr>
        <w:divId w:val="844051193"/>
        <w:rPr>
          <w:rFonts w:eastAsia="Times New Roman"/>
        </w:rPr>
      </w:pPr>
      <w:r>
        <w:rPr>
          <w:rFonts w:eastAsia="Times New Roman"/>
          <w:color w:val="000000"/>
          <w:sz w:val="20"/>
          <w:szCs w:val="20"/>
        </w:rPr>
        <w:t>As of December 31, 2021, assets classified as Level 1, Level 2 and Level 3 comprise approximately 23.4%, 55.4% and 0.0%, respectively, of qualified pension plan assets. As of Decemb</w:t>
      </w:r>
      <w:r>
        <w:rPr>
          <w:rFonts w:eastAsia="Times New Roman"/>
          <w:color w:val="000000"/>
          <w:sz w:val="20"/>
          <w:szCs w:val="20"/>
        </w:rPr>
        <w:t>er 31, 2020, assets classified as Level 1, Level 2 and Level 3 comprised approximately 25.7%, 54.8% and 0.0%, respectively, of qualified pension plan assets. There are no significant concentrations of credit risk arising within or across categories of qual</w:t>
      </w:r>
      <w:r>
        <w:rPr>
          <w:rFonts w:eastAsia="Times New Roman"/>
          <w:color w:val="000000"/>
          <w:sz w:val="20"/>
          <w:szCs w:val="20"/>
        </w:rPr>
        <w:t>ified pension plan assets.</w:t>
      </w:r>
    </w:p>
    <w:p w:rsidR="00000000" w:rsidRDefault="005B0BC3">
      <w:pPr>
        <w:divId w:val="471871572"/>
        <w:rPr>
          <w:rFonts w:eastAsia="Times New Roman"/>
        </w:rPr>
      </w:pPr>
      <w:r>
        <w:rPr>
          <w:rFonts w:eastAsia="Times New Roman"/>
          <w:color w:val="000000"/>
          <w:sz w:val="20"/>
          <w:szCs w:val="20"/>
        </w:rPr>
        <w:t>In addition to the plan assets above, the Company and certain subsidiaries purchased COLI policies on the lives of certain key employees. Under the terms of these polices the Company and these subsidiaries are named as beneficiar</w:t>
      </w:r>
      <w:r>
        <w:rPr>
          <w:rFonts w:eastAsia="Times New Roman"/>
          <w:color w:val="000000"/>
          <w:sz w:val="20"/>
          <w:szCs w:val="20"/>
        </w:rPr>
        <w:t>ies. The purpose of the COLI policies is to provide the Company additional funds with which to satisfy various employee benefit obligations held by the Company, including those associated with its nonqualified defined benefit plans and post-retirement bene</w:t>
      </w:r>
      <w:r>
        <w:rPr>
          <w:rFonts w:eastAsia="Times New Roman"/>
          <w:color w:val="000000"/>
          <w:sz w:val="20"/>
          <w:szCs w:val="20"/>
        </w:rPr>
        <w:t>fit plans. As of December 31, 2021 and 2020, the carrying value of COLI was $1.01 billion and $992 million, respectively.</w:t>
      </w:r>
    </w:p>
    <w:p w:rsidR="00000000" w:rsidRDefault="005B0BC3">
      <w:pPr>
        <w:jc w:val="center"/>
        <w:divId w:val="284968137"/>
        <w:rPr>
          <w:rFonts w:eastAsia="Times New Roman"/>
        </w:rPr>
      </w:pPr>
      <w:r>
        <w:rPr>
          <w:rFonts w:eastAsia="Times New Roman"/>
          <w:color w:val="000000"/>
          <w:sz w:val="20"/>
          <w:szCs w:val="20"/>
        </w:rPr>
        <w:t>208</w:t>
      </w:r>
    </w:p>
    <w:p w:rsidR="00000000" w:rsidRDefault="005B0BC3">
      <w:pPr>
        <w:rPr>
          <w:rFonts w:eastAsia="Times New Roman"/>
        </w:rPr>
      </w:pPr>
      <w:r>
        <w:rPr>
          <w:rFonts w:eastAsia="Times New Roman"/>
        </w:rPr>
        <w:pict>
          <v:rect id="_x0000_i1246" style="width:0;height:1.5pt" o:hralign="center" o:hrstd="t" o:hr="t" fillcolor="#a0a0a0" stroked="f"/>
        </w:pict>
      </w:r>
    </w:p>
    <w:p w:rsidR="00000000" w:rsidRDefault="005B0BC3">
      <w:pPr>
        <w:jc w:val="center"/>
        <w:divId w:val="1662346227"/>
        <w:rPr>
          <w:rFonts w:eastAsia="Times New Roman"/>
        </w:rPr>
      </w:pPr>
      <w:r>
        <w:rPr>
          <w:rFonts w:eastAsia="Times New Roman"/>
          <w:b/>
          <w:bCs/>
          <w:color w:val="000000"/>
          <w:sz w:val="20"/>
          <w:szCs w:val="20"/>
        </w:rPr>
        <w:t>EQUITABLE HOLDINGS, INC.</w:t>
      </w:r>
    </w:p>
    <w:p w:rsidR="00000000" w:rsidRDefault="005B0BC3">
      <w:pPr>
        <w:jc w:val="center"/>
        <w:divId w:val="1662346227"/>
        <w:rPr>
          <w:rFonts w:eastAsia="Times New Roman"/>
        </w:rPr>
      </w:pPr>
      <w:r>
        <w:rPr>
          <w:rFonts w:eastAsia="Times New Roman"/>
          <w:b/>
          <w:bCs/>
          <w:color w:val="000000"/>
          <w:sz w:val="20"/>
          <w:szCs w:val="20"/>
        </w:rPr>
        <w:t>NOTES TO CONSOLIDATED FINANCIAL STATEMENTS, continued</w:t>
      </w:r>
    </w:p>
    <w:p w:rsidR="00000000" w:rsidRDefault="005B0BC3">
      <w:pPr>
        <w:divId w:val="1998411166"/>
        <w:rPr>
          <w:rFonts w:eastAsia="Times New Roman"/>
        </w:rPr>
      </w:pPr>
      <w:r>
        <w:rPr>
          <w:rFonts w:eastAsia="Times New Roman"/>
          <w:color w:val="000000"/>
          <w:sz w:val="20"/>
          <w:szCs w:val="20"/>
          <w:u w:val="single"/>
        </w:rPr>
        <w:t>Assumptions</w:t>
      </w:r>
    </w:p>
    <w:p w:rsidR="00000000" w:rsidRDefault="005B0BC3">
      <w:pPr>
        <w:jc w:val="both"/>
        <w:divId w:val="734356876"/>
        <w:rPr>
          <w:rFonts w:eastAsia="Times New Roman"/>
        </w:rPr>
      </w:pPr>
      <w:r>
        <w:rPr>
          <w:rFonts w:eastAsia="Times New Roman"/>
          <w:b/>
          <w:bCs/>
          <w:i/>
          <w:iCs/>
          <w:color w:val="000000"/>
          <w:sz w:val="20"/>
          <w:szCs w:val="20"/>
        </w:rPr>
        <w:t>Discount Rate    </w:t>
      </w:r>
    </w:p>
    <w:p w:rsidR="00000000" w:rsidRDefault="005B0BC3">
      <w:pPr>
        <w:divId w:val="1295910505"/>
        <w:rPr>
          <w:rFonts w:eastAsia="Times New Roman"/>
        </w:rPr>
      </w:pPr>
      <w:r>
        <w:rPr>
          <w:rFonts w:eastAsia="Times New Roman"/>
          <w:color w:val="000000"/>
          <w:sz w:val="20"/>
          <w:szCs w:val="20"/>
        </w:rPr>
        <w:t>The benefits obligations and related net periodic costs of the Company’s qualified and non-qualified pension plans are measured using discount rate assumptions that reflect the rates at which the plans’ benefits could be effec</w:t>
      </w:r>
      <w:r>
        <w:rPr>
          <w:rFonts w:eastAsia="Times New Roman"/>
          <w:color w:val="000000"/>
          <w:sz w:val="20"/>
          <w:szCs w:val="20"/>
        </w:rPr>
        <w:t>tively settled. Projected nominal cash outflows to fund expected annual benefits payments under each of the plans are discounted using a published high-quality bond yield curve as a practical expedient for a matching bond approach. Beginning in 2014, the C</w:t>
      </w:r>
      <w:r>
        <w:rPr>
          <w:rFonts w:eastAsia="Times New Roman"/>
          <w:color w:val="000000"/>
          <w:sz w:val="20"/>
          <w:szCs w:val="20"/>
        </w:rPr>
        <w:t>ompany uses the Citigroup Pension Above-Median-AA Curve (the “Citigroup Curve”) for this purpose. The Company has concluded that an adjustment to the Citigroup Curve is not required after comparing the projected benefit streams of the plans to the cash flo</w:t>
      </w:r>
      <w:r>
        <w:rPr>
          <w:rFonts w:eastAsia="Times New Roman"/>
          <w:color w:val="000000"/>
          <w:sz w:val="20"/>
          <w:szCs w:val="20"/>
        </w:rPr>
        <w:t xml:space="preserve">ws and duration of the reference bonds. </w:t>
      </w:r>
    </w:p>
    <w:p w:rsidR="00000000" w:rsidRDefault="005B0BC3">
      <w:pPr>
        <w:jc w:val="both"/>
        <w:divId w:val="1740515778"/>
        <w:rPr>
          <w:rFonts w:eastAsia="Times New Roman"/>
        </w:rPr>
      </w:pPr>
      <w:r>
        <w:rPr>
          <w:rFonts w:eastAsia="Times New Roman"/>
          <w:b/>
          <w:bCs/>
          <w:i/>
          <w:iCs/>
          <w:color w:val="000000"/>
          <w:sz w:val="20"/>
          <w:szCs w:val="20"/>
        </w:rPr>
        <w:t>Mortality</w:t>
      </w:r>
    </w:p>
    <w:p w:rsidR="00000000" w:rsidRDefault="005B0BC3">
      <w:pPr>
        <w:divId w:val="115954369"/>
        <w:rPr>
          <w:rFonts w:eastAsia="Times New Roman"/>
        </w:rPr>
      </w:pPr>
      <w:r>
        <w:rPr>
          <w:rFonts w:eastAsia="Times New Roman"/>
          <w:color w:val="000000"/>
          <w:sz w:val="20"/>
          <w:szCs w:val="20"/>
        </w:rPr>
        <w:t>In October 2016, the Society of Actuaries (“SOA”) released MP-2016, its second annual update to the “gold standard” mortality projection scale issued by the SOA in 2014, reflecting three additional years o</w:t>
      </w:r>
      <w:r>
        <w:rPr>
          <w:rFonts w:eastAsia="Times New Roman"/>
          <w:color w:val="000000"/>
          <w:sz w:val="20"/>
          <w:szCs w:val="20"/>
        </w:rPr>
        <w:t>f historical U.S. population historical mortality data (2012 through 2014). Similar to its predecessor (MP-2015), MP-2016 indicated that, while mortality data continued to show longer lives, longevity was increasing at a slower rate and lagging behind that</w:t>
      </w:r>
      <w:r>
        <w:rPr>
          <w:rFonts w:eastAsia="Times New Roman"/>
          <w:color w:val="000000"/>
          <w:sz w:val="20"/>
          <w:szCs w:val="20"/>
        </w:rPr>
        <w:t xml:space="preserve"> previously suggested both by MP-2015 and MP-2014. The Company considered this new data as well as observations made from current practice regarding how to best estimate improved trends in life expectancies and concluded to continue using the RP-2000 base </w:t>
      </w:r>
      <w:r>
        <w:rPr>
          <w:rFonts w:eastAsia="Times New Roman"/>
          <w:color w:val="000000"/>
          <w:sz w:val="20"/>
          <w:szCs w:val="20"/>
        </w:rPr>
        <w:t xml:space="preserve">mortality table projected on a full generational basis with Scale BB mortality improvements for purposes of measuring and reporting its consolidated defined benefit plan obligations as of December 31, 2021. </w:t>
      </w:r>
    </w:p>
    <w:p w:rsidR="00000000" w:rsidRDefault="005B0BC3">
      <w:pPr>
        <w:divId w:val="1410275032"/>
        <w:rPr>
          <w:rFonts w:eastAsia="Times New Roman"/>
        </w:rPr>
      </w:pPr>
      <w:r>
        <w:rPr>
          <w:rFonts w:eastAsia="Times New Roman"/>
          <w:color w:val="000000"/>
          <w:sz w:val="20"/>
          <w:szCs w:val="20"/>
        </w:rPr>
        <w:t>The following table discloses assumptions used t</w:t>
      </w:r>
      <w:r>
        <w:rPr>
          <w:rFonts w:eastAsia="Times New Roman"/>
          <w:color w:val="000000"/>
          <w:sz w:val="20"/>
          <w:szCs w:val="20"/>
        </w:rPr>
        <w:t xml:space="preserve">o measure the Company’s pension benefit obligations and net periodic pension cost at and for the years ended December 31, 2021 and 2020. </w:t>
      </w:r>
    </w:p>
    <w:tbl>
      <w:tblPr>
        <w:tblW w:w="5000" w:type="pct"/>
        <w:tblCellMar>
          <w:top w:w="15" w:type="dxa"/>
          <w:left w:w="15" w:type="dxa"/>
          <w:bottom w:w="15" w:type="dxa"/>
          <w:right w:w="15" w:type="dxa"/>
        </w:tblCellMar>
        <w:tblLook w:val="04A0" w:firstRow="1" w:lastRow="0" w:firstColumn="1" w:lastColumn="0" w:noHBand="0" w:noVBand="1"/>
      </w:tblPr>
      <w:tblGrid>
        <w:gridCol w:w="62"/>
        <w:gridCol w:w="5706"/>
        <w:gridCol w:w="39"/>
        <w:gridCol w:w="63"/>
        <w:gridCol w:w="1101"/>
        <w:gridCol w:w="37"/>
        <w:gridCol w:w="37"/>
        <w:gridCol w:w="36"/>
        <w:gridCol w:w="36"/>
        <w:gridCol w:w="50"/>
        <w:gridCol w:w="1103"/>
        <w:gridCol w:w="36"/>
      </w:tblGrid>
      <w:tr w:rsidR="00000000">
        <w:trPr>
          <w:divId w:val="1708791602"/>
        </w:trPr>
        <w:tc>
          <w:tcPr>
            <w:tcW w:w="50" w:type="pct"/>
            <w:vAlign w:val="center"/>
            <w:hideMark/>
          </w:tcPr>
          <w:p w:rsidR="00000000" w:rsidRDefault="005B0BC3">
            <w:pPr>
              <w:rPr>
                <w:rFonts w:eastAsia="Times New Roman"/>
              </w:rPr>
            </w:pPr>
          </w:p>
        </w:tc>
        <w:tc>
          <w:tcPr>
            <w:tcW w:w="344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7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7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708791602"/>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December 31,</w:t>
            </w:r>
          </w:p>
        </w:tc>
      </w:tr>
      <w:tr w:rsidR="00000000">
        <w:trPr>
          <w:divId w:val="1708791602"/>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r>
      <w:tr w:rsidR="00000000">
        <w:trPr>
          <w:divId w:val="1708791602"/>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Discount rates: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708791602"/>
        </w:trPr>
        <w:tc>
          <w:tcPr>
            <w:tcW w:w="0" w:type="auto"/>
            <w:gridSpan w:val="3"/>
            <w:shd w:val="clear" w:color="auto" w:fill="CCEE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Equitable Financial QP</w:t>
            </w: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20"/>
                <w:szCs w:val="20"/>
              </w:rPr>
              <w:t>2.55%</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2.11%</w:t>
            </w:r>
          </w:p>
        </w:tc>
      </w:tr>
      <w:tr w:rsidR="00000000">
        <w:trPr>
          <w:divId w:val="1708791602"/>
        </w:trPr>
        <w:tc>
          <w:tcPr>
            <w:tcW w:w="0" w:type="auto"/>
            <w:gridSpan w:val="3"/>
            <w:shd w:val="clear" w:color="auto" w:fill="FFFF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Equitable Excess Retirement Plan</w:t>
            </w:r>
          </w:p>
        </w:tc>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20"/>
                <w:szCs w:val="20"/>
              </w:rPr>
              <w:t>2.47%</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1.99%</w:t>
            </w:r>
          </w:p>
        </w:tc>
      </w:tr>
      <w:tr w:rsidR="00000000">
        <w:trPr>
          <w:divId w:val="1708791602"/>
        </w:trPr>
        <w:tc>
          <w:tcPr>
            <w:tcW w:w="0" w:type="auto"/>
            <w:gridSpan w:val="3"/>
            <w:shd w:val="clear" w:color="auto" w:fill="CCEE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MONY Life Retirement Income Security Plan for Employees</w:t>
            </w: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20"/>
                <w:szCs w:val="20"/>
              </w:rPr>
              <w:t>2.78%</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2.43%</w:t>
            </w:r>
          </w:p>
        </w:tc>
      </w:tr>
      <w:tr w:rsidR="00000000">
        <w:trPr>
          <w:divId w:val="1708791602"/>
        </w:trPr>
        <w:tc>
          <w:tcPr>
            <w:tcW w:w="0" w:type="auto"/>
            <w:gridSpan w:val="3"/>
            <w:shd w:val="clear" w:color="auto" w:fill="FFFF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AB Qualified Retirement Plan</w:t>
            </w:r>
          </w:p>
        </w:tc>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20"/>
                <w:szCs w:val="20"/>
              </w:rPr>
              <w:t>2.55%</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3.35%</w:t>
            </w:r>
          </w:p>
        </w:tc>
      </w:tr>
      <w:tr w:rsidR="00000000">
        <w:trPr>
          <w:divId w:val="1708791602"/>
        </w:trPr>
        <w:tc>
          <w:tcPr>
            <w:tcW w:w="0" w:type="auto"/>
            <w:gridSpan w:val="3"/>
            <w:shd w:val="clear" w:color="auto" w:fill="CCEE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Other defined benefit plans</w:t>
            </w: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20"/>
                <w:szCs w:val="20"/>
              </w:rPr>
              <w:t>2.05%-2.78%</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1.46%-2.43%</w:t>
            </w:r>
          </w:p>
        </w:tc>
      </w:tr>
      <w:tr w:rsidR="00000000">
        <w:trPr>
          <w:divId w:val="1708791602"/>
        </w:trPr>
        <w:tc>
          <w:tcPr>
            <w:tcW w:w="0" w:type="auto"/>
            <w:gridSpan w:val="3"/>
            <w:shd w:val="clear" w:color="auto" w:fill="FFFF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Periodic cost</w:t>
            </w:r>
          </w:p>
        </w:tc>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20"/>
                <w:szCs w:val="20"/>
              </w:rPr>
              <w:t>1.18%-2.78%</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0.51%-2.43%</w:t>
            </w:r>
          </w:p>
        </w:tc>
      </w:tr>
      <w:tr w:rsidR="00000000">
        <w:trPr>
          <w:divId w:val="1708791602"/>
        </w:trPr>
        <w:tc>
          <w:tcPr>
            <w:tcW w:w="0" w:type="auto"/>
            <w:gridSpan w:val="3"/>
            <w:shd w:val="clear" w:color="auto" w:fill="CCEE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Cash balance interest crediting rate for pre-April 1, 2012 accruals</w:t>
            </w: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20"/>
                <w:szCs w:val="20"/>
              </w:rPr>
              <w:t>4.00%</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4.00%</w:t>
            </w:r>
          </w:p>
        </w:tc>
      </w:tr>
      <w:tr w:rsidR="00000000">
        <w:trPr>
          <w:divId w:val="1708791602"/>
        </w:trPr>
        <w:tc>
          <w:tcPr>
            <w:tcW w:w="0" w:type="auto"/>
            <w:gridSpan w:val="3"/>
            <w:shd w:val="clear" w:color="auto" w:fill="FFFF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Cash balance interest crediting rate for post-April 1, 2012 accruals</w:t>
            </w:r>
          </w:p>
        </w:tc>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20"/>
                <w:szCs w:val="20"/>
              </w:rPr>
              <w:t>0.50%</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2.25%</w:t>
            </w:r>
          </w:p>
        </w:tc>
      </w:tr>
      <w:tr w:rsidR="00000000">
        <w:trPr>
          <w:divId w:val="1708791602"/>
          <w:trHeight w:val="280"/>
        </w:trPr>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708791602"/>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Rates of compensation increase:</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708791602"/>
        </w:trPr>
        <w:tc>
          <w:tcPr>
            <w:tcW w:w="0" w:type="auto"/>
            <w:gridSpan w:val="3"/>
            <w:shd w:val="clear" w:color="auto" w:fill="CCEE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Benefit obligation</w:t>
            </w: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20"/>
                <w:szCs w:val="20"/>
              </w:rPr>
              <w:t>5.97%</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5.99%</w:t>
            </w:r>
          </w:p>
        </w:tc>
      </w:tr>
      <w:tr w:rsidR="00000000">
        <w:trPr>
          <w:divId w:val="1708791602"/>
        </w:trPr>
        <w:tc>
          <w:tcPr>
            <w:tcW w:w="0" w:type="auto"/>
            <w:gridSpan w:val="3"/>
            <w:shd w:val="clear" w:color="auto" w:fill="FFFFFF"/>
            <w:tcMar>
              <w:top w:w="30" w:type="dxa"/>
              <w:left w:w="245" w:type="dxa"/>
              <w:bottom w:w="30" w:type="dxa"/>
              <w:right w:w="20" w:type="dxa"/>
            </w:tcMar>
            <w:hideMark/>
          </w:tcPr>
          <w:p w:rsidR="00000000" w:rsidRDefault="005B0BC3">
            <w:pPr>
              <w:spacing w:after="100"/>
              <w:rPr>
                <w:rFonts w:eastAsia="Times New Roman"/>
              </w:rPr>
            </w:pPr>
            <w:r>
              <w:rPr>
                <w:rFonts w:eastAsia="Times New Roman"/>
                <w:color w:val="000000"/>
                <w:sz w:val="20"/>
                <w:szCs w:val="20"/>
              </w:rPr>
              <w:t>Periodic cost</w:t>
            </w:r>
          </w:p>
        </w:tc>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20"/>
                <w:szCs w:val="20"/>
              </w:rPr>
              <w:t>6.33%</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6.32%</w:t>
            </w:r>
          </w:p>
        </w:tc>
      </w:tr>
      <w:tr w:rsidR="00000000">
        <w:trPr>
          <w:divId w:val="1708791602"/>
          <w:trHeight w:val="280"/>
        </w:trPr>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708791602"/>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Expected long-term rates of return on pension plan assets (periodic cost)</w:t>
            </w:r>
          </w:p>
        </w:tc>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20"/>
                <w:szCs w:val="20"/>
              </w:rPr>
              <w:t>6.25%</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6.25%</w:t>
            </w:r>
          </w:p>
        </w:tc>
      </w:tr>
    </w:tbl>
    <w:p w:rsidR="00000000" w:rsidRDefault="005B0BC3">
      <w:pPr>
        <w:divId w:val="1797210153"/>
        <w:rPr>
          <w:rFonts w:eastAsia="Times New Roman"/>
        </w:rPr>
      </w:pPr>
    </w:p>
    <w:p w:rsidR="00000000" w:rsidRDefault="005B0BC3">
      <w:pPr>
        <w:divId w:val="1906531506"/>
        <w:rPr>
          <w:rFonts w:eastAsia="Times New Roman"/>
        </w:rPr>
      </w:pPr>
      <w:r>
        <w:rPr>
          <w:rFonts w:eastAsia="Times New Roman"/>
          <w:color w:val="000000"/>
          <w:sz w:val="20"/>
          <w:szCs w:val="20"/>
        </w:rPr>
        <w:t xml:space="preserve">The expected long-term rate of return assumption on plan assets is based upon the target asset allocation of the plan portfolio and is determined using forward-looking assumptions in the context of historical returns and volatilities for each asset class. </w:t>
      </w:r>
      <w:r>
        <w:rPr>
          <w:rFonts w:eastAsia="Times New Roman"/>
          <w:color w:val="000000"/>
          <w:sz w:val="20"/>
          <w:szCs w:val="20"/>
        </w:rPr>
        <w:t>Prior to 1987, participants’ benefits under the Equitable Financial QP were funded through the purchase of non-participating annuity contracts from Equitable Financial. Benefit payments under these contracts were approximately $4 million and $5 million for</w:t>
      </w:r>
      <w:r>
        <w:rPr>
          <w:rFonts w:eastAsia="Times New Roman"/>
          <w:color w:val="000000"/>
          <w:sz w:val="20"/>
          <w:szCs w:val="20"/>
        </w:rPr>
        <w:t xml:space="preserve"> 2021 and 2020, respectively.</w:t>
      </w:r>
    </w:p>
    <w:p w:rsidR="00000000" w:rsidRDefault="005B0BC3">
      <w:pPr>
        <w:divId w:val="1330912262"/>
        <w:rPr>
          <w:rFonts w:eastAsia="Times New Roman"/>
        </w:rPr>
      </w:pPr>
      <w:r>
        <w:rPr>
          <w:rFonts w:eastAsia="Times New Roman"/>
          <w:color w:val="000000"/>
          <w:sz w:val="20"/>
          <w:szCs w:val="20"/>
          <w:u w:val="single"/>
        </w:rPr>
        <w:t>Post-Retirement Benefits</w:t>
      </w:r>
    </w:p>
    <w:p w:rsidR="00000000" w:rsidRDefault="005B0BC3">
      <w:pPr>
        <w:divId w:val="473717205"/>
        <w:rPr>
          <w:rFonts w:eastAsia="Times New Roman"/>
        </w:rPr>
      </w:pPr>
      <w:r>
        <w:rPr>
          <w:rFonts w:eastAsia="Times New Roman"/>
          <w:color w:val="000000"/>
          <w:sz w:val="20"/>
          <w:szCs w:val="20"/>
        </w:rPr>
        <w:t>The Company eliminated any subsidy for post-retirement medical and dental coverage for individuals retiring on or after May 1, 2012. The Company continues to contribute to the cost of post-retirement m</w:t>
      </w:r>
      <w:r>
        <w:rPr>
          <w:rFonts w:eastAsia="Times New Roman"/>
          <w:color w:val="000000"/>
          <w:sz w:val="20"/>
          <w:szCs w:val="20"/>
        </w:rPr>
        <w:t xml:space="preserve">edical and dental coverage for certain individuals who retired prior to May 1, 2012 based on years of service and age, subject to rights reserved in the </w:t>
      </w:r>
    </w:p>
    <w:p w:rsidR="00000000" w:rsidRDefault="005B0BC3">
      <w:pPr>
        <w:jc w:val="center"/>
        <w:divId w:val="1356537799"/>
        <w:rPr>
          <w:rFonts w:eastAsia="Times New Roman"/>
        </w:rPr>
      </w:pPr>
      <w:r>
        <w:rPr>
          <w:rFonts w:eastAsia="Times New Roman"/>
          <w:color w:val="000000"/>
          <w:sz w:val="20"/>
          <w:szCs w:val="20"/>
        </w:rPr>
        <w:t>209</w:t>
      </w:r>
    </w:p>
    <w:p w:rsidR="00000000" w:rsidRDefault="005B0BC3">
      <w:pPr>
        <w:rPr>
          <w:rFonts w:eastAsia="Times New Roman"/>
        </w:rPr>
      </w:pPr>
      <w:r>
        <w:rPr>
          <w:rFonts w:eastAsia="Times New Roman"/>
        </w:rPr>
        <w:pict>
          <v:rect id="_x0000_i1247" style="width:0;height:1.5pt" o:hralign="center" o:hrstd="t" o:hr="t" fillcolor="#a0a0a0" stroked="f"/>
        </w:pict>
      </w:r>
    </w:p>
    <w:p w:rsidR="00000000" w:rsidRDefault="005B0BC3">
      <w:pPr>
        <w:jc w:val="center"/>
        <w:divId w:val="522595790"/>
        <w:rPr>
          <w:rFonts w:eastAsia="Times New Roman"/>
        </w:rPr>
      </w:pPr>
      <w:r>
        <w:rPr>
          <w:rFonts w:eastAsia="Times New Roman"/>
          <w:b/>
          <w:bCs/>
          <w:color w:val="000000"/>
          <w:sz w:val="20"/>
          <w:szCs w:val="20"/>
        </w:rPr>
        <w:t>EQUITABLE HOLDINGS, INC.</w:t>
      </w:r>
    </w:p>
    <w:p w:rsidR="00000000" w:rsidRDefault="005B0BC3">
      <w:pPr>
        <w:jc w:val="center"/>
        <w:divId w:val="522595790"/>
        <w:rPr>
          <w:rFonts w:eastAsia="Times New Roman"/>
        </w:rPr>
      </w:pPr>
      <w:r>
        <w:rPr>
          <w:rFonts w:eastAsia="Times New Roman"/>
          <w:b/>
          <w:bCs/>
          <w:color w:val="000000"/>
          <w:sz w:val="20"/>
          <w:szCs w:val="20"/>
        </w:rPr>
        <w:t>NOTES TO CONSOLIDATED FINANCIAL STATE</w:t>
      </w:r>
      <w:r>
        <w:rPr>
          <w:rFonts w:eastAsia="Times New Roman"/>
          <w:b/>
          <w:bCs/>
          <w:color w:val="000000"/>
          <w:sz w:val="20"/>
          <w:szCs w:val="20"/>
        </w:rPr>
        <w:t>MENTS, continued</w:t>
      </w:r>
    </w:p>
    <w:p w:rsidR="00000000" w:rsidRDefault="005B0BC3">
      <w:pPr>
        <w:divId w:val="1595281343"/>
        <w:rPr>
          <w:rFonts w:eastAsia="Times New Roman"/>
        </w:rPr>
      </w:pPr>
      <w:r>
        <w:rPr>
          <w:rFonts w:eastAsia="Times New Roman"/>
          <w:color w:val="000000"/>
          <w:sz w:val="20"/>
          <w:szCs w:val="20"/>
        </w:rPr>
        <w:t>plans to change or eliminate these benefits. The Company funds these post-retirement benefits on a pay-as-you-go basis.</w:t>
      </w:r>
    </w:p>
    <w:p w:rsidR="00000000" w:rsidRDefault="005B0BC3">
      <w:pPr>
        <w:divId w:val="687171771"/>
        <w:rPr>
          <w:rFonts w:eastAsia="Times New Roman"/>
        </w:rPr>
      </w:pPr>
      <w:r>
        <w:rPr>
          <w:rFonts w:eastAsia="Times New Roman"/>
          <w:color w:val="000000"/>
          <w:sz w:val="20"/>
          <w:szCs w:val="20"/>
        </w:rPr>
        <w:t>The Company sponsors the Equitable Executive Survivor Benefits Plan (the “ESB Plan”) which provides post-retirement life insurance benefits to eligible executives. Eligible executives may choose up to four levels of coverage with each level providing a ben</w:t>
      </w:r>
      <w:r>
        <w:rPr>
          <w:rFonts w:eastAsia="Times New Roman"/>
          <w:color w:val="000000"/>
          <w:sz w:val="20"/>
          <w:szCs w:val="20"/>
        </w:rPr>
        <w:t>efit equal to the executive’s compensation, subject to an overall $25 million cap. Aside from the ESB Plan, the Company does not currently offer post-retirement life insurance benefits but continues to provide post-retirement life insurance benefits to cer</w:t>
      </w:r>
      <w:r>
        <w:rPr>
          <w:rFonts w:eastAsia="Times New Roman"/>
          <w:color w:val="000000"/>
          <w:sz w:val="20"/>
          <w:szCs w:val="20"/>
        </w:rPr>
        <w:t>tain active and retired employees who were eligible for such benefits under discontinued plans. The ESB Plan was closed to new participants on January 1, 2019.</w:t>
      </w:r>
    </w:p>
    <w:p w:rsidR="00000000" w:rsidRDefault="005B0BC3">
      <w:pPr>
        <w:divId w:val="44527517"/>
        <w:rPr>
          <w:rFonts w:eastAsia="Times New Roman"/>
        </w:rPr>
      </w:pPr>
      <w:r>
        <w:rPr>
          <w:rFonts w:eastAsia="Times New Roman"/>
          <w:color w:val="000000"/>
          <w:sz w:val="20"/>
          <w:szCs w:val="20"/>
        </w:rPr>
        <w:t>For 2021 and 2020, post-retirement benefits payments were $28 million and $24 million, respectiv</w:t>
      </w:r>
      <w:r>
        <w:rPr>
          <w:rFonts w:eastAsia="Times New Roman"/>
          <w:color w:val="000000"/>
          <w:sz w:val="20"/>
          <w:szCs w:val="20"/>
        </w:rPr>
        <w:t>ely, net of employee contributions.</w:t>
      </w:r>
    </w:p>
    <w:p w:rsidR="00000000" w:rsidRDefault="005B0BC3">
      <w:pPr>
        <w:divId w:val="1933781206"/>
        <w:rPr>
          <w:rFonts w:eastAsia="Times New Roman"/>
        </w:rPr>
      </w:pPr>
      <w:r>
        <w:rPr>
          <w:rFonts w:eastAsia="Times New Roman"/>
          <w:color w:val="000000"/>
          <w:sz w:val="20"/>
          <w:szCs w:val="20"/>
        </w:rPr>
        <w:t>The Company uses a December 31 measurement date for its post-retirement plans.</w:t>
      </w:r>
    </w:p>
    <w:p w:rsidR="00000000" w:rsidRDefault="005B0BC3">
      <w:pPr>
        <w:jc w:val="center"/>
        <w:divId w:val="578758840"/>
        <w:rPr>
          <w:rFonts w:eastAsia="Times New Roman"/>
        </w:rPr>
      </w:pPr>
      <w:r>
        <w:rPr>
          <w:rFonts w:eastAsia="Times New Roman"/>
          <w:b/>
          <w:bCs/>
          <w:color w:val="000000"/>
          <w:sz w:val="20"/>
          <w:szCs w:val="20"/>
        </w:rPr>
        <w:t>Components of Net Post-Retirement Benefits Costs</w:t>
      </w:r>
    </w:p>
    <w:tbl>
      <w:tblPr>
        <w:tblW w:w="5000" w:type="pct"/>
        <w:tblCellMar>
          <w:top w:w="15" w:type="dxa"/>
          <w:left w:w="15" w:type="dxa"/>
          <w:bottom w:w="15" w:type="dxa"/>
          <w:right w:w="15" w:type="dxa"/>
        </w:tblCellMar>
        <w:tblLook w:val="04A0" w:firstRow="1" w:lastRow="0" w:firstColumn="1" w:lastColumn="0" w:noHBand="0" w:noVBand="1"/>
      </w:tblPr>
      <w:tblGrid>
        <w:gridCol w:w="38"/>
        <w:gridCol w:w="4657"/>
        <w:gridCol w:w="36"/>
        <w:gridCol w:w="120"/>
        <w:gridCol w:w="990"/>
        <w:gridCol w:w="36"/>
        <w:gridCol w:w="36"/>
        <w:gridCol w:w="36"/>
        <w:gridCol w:w="36"/>
        <w:gridCol w:w="120"/>
        <w:gridCol w:w="950"/>
        <w:gridCol w:w="36"/>
        <w:gridCol w:w="36"/>
        <w:gridCol w:w="36"/>
        <w:gridCol w:w="36"/>
        <w:gridCol w:w="120"/>
        <w:gridCol w:w="951"/>
        <w:gridCol w:w="36"/>
      </w:tblGrid>
      <w:tr w:rsidR="00000000">
        <w:trPr>
          <w:divId w:val="911354993"/>
        </w:trPr>
        <w:tc>
          <w:tcPr>
            <w:tcW w:w="50" w:type="pct"/>
            <w:vAlign w:val="center"/>
            <w:hideMark/>
          </w:tcPr>
          <w:p w:rsidR="00000000" w:rsidRDefault="005B0BC3">
            <w:pPr>
              <w:jc w:val="center"/>
              <w:rPr>
                <w:rFonts w:eastAsia="Times New Roman"/>
              </w:rPr>
            </w:pPr>
          </w:p>
        </w:tc>
        <w:tc>
          <w:tcPr>
            <w:tcW w:w="283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911354993"/>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r>
      <w:tr w:rsidR="00000000">
        <w:trPr>
          <w:divId w:val="911354993"/>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911354993"/>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911354993"/>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Service cost</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911354993"/>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Interest cost</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911354993"/>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Net amortization</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911354993"/>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Net periodic post-retirement benefits costs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19</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24 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divId w:val="2097969279"/>
        <w:rPr>
          <w:rFonts w:eastAsia="Times New Roman"/>
        </w:rPr>
      </w:pPr>
    </w:p>
    <w:p w:rsidR="00000000" w:rsidRDefault="005B0BC3">
      <w:pPr>
        <w:divId w:val="1421871171"/>
        <w:rPr>
          <w:rFonts w:eastAsia="Times New Roman"/>
        </w:rPr>
      </w:pPr>
      <w:r>
        <w:rPr>
          <w:rFonts w:eastAsia="Times New Roman"/>
          <w:color w:val="000000"/>
          <w:sz w:val="20"/>
          <w:szCs w:val="20"/>
        </w:rPr>
        <w:t>Changes in the accumulated benefits obligation of the Company’</w:t>
      </w:r>
      <w:r>
        <w:rPr>
          <w:rFonts w:eastAsia="Times New Roman"/>
          <w:color w:val="000000"/>
          <w:sz w:val="20"/>
          <w:szCs w:val="20"/>
        </w:rPr>
        <w:t>s post-retirement plans recognized in the accompanying consolidated financial statements are described in the following table:</w:t>
      </w:r>
    </w:p>
    <w:p w:rsidR="00000000" w:rsidRDefault="005B0BC3">
      <w:pPr>
        <w:jc w:val="center"/>
        <w:divId w:val="2117483078"/>
        <w:rPr>
          <w:rFonts w:eastAsia="Times New Roman"/>
        </w:rPr>
      </w:pPr>
      <w:r>
        <w:rPr>
          <w:rFonts w:eastAsia="Times New Roman"/>
          <w:b/>
          <w:bCs/>
          <w:color w:val="000000"/>
          <w:sz w:val="20"/>
          <w:szCs w:val="20"/>
        </w:rPr>
        <w:t>Accumulated Post-Retirement Benefits Obligation</w:t>
      </w:r>
    </w:p>
    <w:tbl>
      <w:tblPr>
        <w:tblW w:w="5000" w:type="pct"/>
        <w:tblCellMar>
          <w:top w:w="15" w:type="dxa"/>
          <w:left w:w="15" w:type="dxa"/>
          <w:bottom w:w="15" w:type="dxa"/>
          <w:right w:w="15" w:type="dxa"/>
        </w:tblCellMar>
        <w:tblLook w:val="04A0" w:firstRow="1" w:lastRow="0" w:firstColumn="1" w:lastColumn="0" w:noHBand="0" w:noVBand="1"/>
      </w:tblPr>
      <w:tblGrid>
        <w:gridCol w:w="40"/>
        <w:gridCol w:w="5658"/>
        <w:gridCol w:w="37"/>
        <w:gridCol w:w="120"/>
        <w:gridCol w:w="1074"/>
        <w:gridCol w:w="36"/>
        <w:gridCol w:w="36"/>
        <w:gridCol w:w="36"/>
        <w:gridCol w:w="36"/>
        <w:gridCol w:w="120"/>
        <w:gridCol w:w="1041"/>
        <w:gridCol w:w="36"/>
        <w:gridCol w:w="36"/>
      </w:tblGrid>
      <w:tr w:rsidR="00000000">
        <w:trPr>
          <w:divId w:val="2017879821"/>
        </w:trPr>
        <w:tc>
          <w:tcPr>
            <w:tcW w:w="50" w:type="pct"/>
            <w:vAlign w:val="center"/>
            <w:hideMark/>
          </w:tcPr>
          <w:p w:rsidR="00000000" w:rsidRDefault="005B0BC3">
            <w:pPr>
              <w:jc w:val="center"/>
              <w:rPr>
                <w:rFonts w:eastAsia="Times New Roman"/>
              </w:rPr>
            </w:pPr>
          </w:p>
        </w:tc>
        <w:tc>
          <w:tcPr>
            <w:tcW w:w="344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7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7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2017879821"/>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December 31,</w:t>
            </w:r>
          </w:p>
        </w:tc>
        <w:tc>
          <w:tcPr>
            <w:tcW w:w="0" w:type="auto"/>
            <w:vAlign w:val="center"/>
            <w:hideMark/>
          </w:tcPr>
          <w:p w:rsidR="00000000" w:rsidRDefault="005B0BC3">
            <w:pPr>
              <w:spacing w:after="100"/>
              <w:jc w:val="center"/>
              <w:rPr>
                <w:rFonts w:eastAsia="Times New Roman"/>
              </w:rPr>
            </w:pPr>
          </w:p>
        </w:tc>
      </w:tr>
      <w:tr w:rsidR="00000000">
        <w:trPr>
          <w:divId w:val="2017879821"/>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vAlign w:val="center"/>
            <w:hideMark/>
          </w:tcPr>
          <w:p w:rsidR="00000000" w:rsidRDefault="005B0BC3">
            <w:pPr>
              <w:spacing w:after="100"/>
              <w:jc w:val="center"/>
              <w:rPr>
                <w:rFonts w:eastAsia="Times New Roman"/>
              </w:rPr>
            </w:pPr>
          </w:p>
        </w:tc>
      </w:tr>
      <w:tr w:rsidR="00000000">
        <w:trPr>
          <w:divId w:val="2017879821"/>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B0BC3">
            <w:pPr>
              <w:spacing w:after="100"/>
              <w:jc w:val="center"/>
              <w:rPr>
                <w:rFonts w:eastAsia="Times New Roman"/>
              </w:rPr>
            </w:pPr>
          </w:p>
        </w:tc>
      </w:tr>
      <w:tr w:rsidR="00000000">
        <w:trPr>
          <w:divId w:val="2017879821"/>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xml:space="preserve">Accumulated post-retirement benefits obligation, beginning of year </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517 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vAlign w:val="center"/>
            <w:hideMark/>
          </w:tcPr>
          <w:p w:rsidR="00000000" w:rsidRDefault="005B0BC3">
            <w:pPr>
              <w:spacing w:after="100"/>
              <w:jc w:val="right"/>
              <w:rPr>
                <w:rFonts w:eastAsia="Times New Roman"/>
                <w:sz w:val="20"/>
                <w:szCs w:val="20"/>
              </w:rPr>
            </w:pPr>
          </w:p>
        </w:tc>
      </w:tr>
      <w:tr w:rsidR="00000000">
        <w:trPr>
          <w:divId w:val="2017879821"/>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xml:space="preserve">Service cost </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vAlign w:val="center"/>
            <w:hideMark/>
          </w:tcPr>
          <w:p w:rsidR="00000000" w:rsidRDefault="005B0BC3">
            <w:pPr>
              <w:spacing w:after="100"/>
              <w:jc w:val="right"/>
              <w:rPr>
                <w:rFonts w:eastAsia="Times New Roman"/>
                <w:sz w:val="20"/>
                <w:szCs w:val="20"/>
              </w:rPr>
            </w:pPr>
          </w:p>
        </w:tc>
      </w:tr>
      <w:tr w:rsidR="00000000">
        <w:trPr>
          <w:divId w:val="2017879821"/>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xml:space="preserve">Interest cost </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vAlign w:val="center"/>
            <w:hideMark/>
          </w:tcPr>
          <w:p w:rsidR="00000000" w:rsidRDefault="005B0BC3">
            <w:pPr>
              <w:spacing w:after="100"/>
              <w:jc w:val="right"/>
              <w:rPr>
                <w:rFonts w:eastAsia="Times New Roman"/>
                <w:sz w:val="20"/>
                <w:szCs w:val="20"/>
              </w:rPr>
            </w:pPr>
          </w:p>
        </w:tc>
      </w:tr>
      <w:tr w:rsidR="00000000">
        <w:trPr>
          <w:divId w:val="2017879821"/>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xml:space="preserve">Contributions and benefits paid </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(28)</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(24)</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vAlign w:val="center"/>
            <w:hideMark/>
          </w:tcPr>
          <w:p w:rsidR="00000000" w:rsidRDefault="005B0BC3">
            <w:pPr>
              <w:spacing w:after="100"/>
              <w:jc w:val="right"/>
              <w:rPr>
                <w:rFonts w:eastAsia="Times New Roman"/>
                <w:sz w:val="20"/>
                <w:szCs w:val="20"/>
              </w:rPr>
            </w:pPr>
          </w:p>
        </w:tc>
      </w:tr>
      <w:tr w:rsidR="00000000">
        <w:trPr>
          <w:divId w:val="2017879821"/>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Plan amendments/curtailments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ascii="Calibri" w:eastAsia="Times New Roman" w:hAnsi="Calibri" w:cs="Calibri"/>
                <w:color w:val="000000"/>
                <w:sz w:val="18"/>
                <w:szCs w:val="18"/>
              </w:rPr>
              <w:t>(30)</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vAlign w:val="center"/>
            <w:hideMark/>
          </w:tcPr>
          <w:p w:rsidR="00000000" w:rsidRDefault="005B0BC3">
            <w:pPr>
              <w:spacing w:after="100"/>
              <w:jc w:val="right"/>
              <w:rPr>
                <w:rFonts w:eastAsia="Times New Roman"/>
                <w:sz w:val="20"/>
                <w:szCs w:val="20"/>
              </w:rPr>
            </w:pPr>
          </w:p>
        </w:tc>
      </w:tr>
      <w:tr w:rsidR="00000000">
        <w:trPr>
          <w:divId w:val="2017879821"/>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xml:space="preserve">Actuarial (gains) losses </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(32)</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vAlign w:val="center"/>
            <w:hideMark/>
          </w:tcPr>
          <w:p w:rsidR="00000000" w:rsidRDefault="005B0BC3">
            <w:pPr>
              <w:spacing w:after="100"/>
              <w:jc w:val="right"/>
              <w:rPr>
                <w:rFonts w:eastAsia="Times New Roman"/>
                <w:sz w:val="20"/>
                <w:szCs w:val="20"/>
              </w:rPr>
            </w:pPr>
          </w:p>
        </w:tc>
      </w:tr>
      <w:tr w:rsidR="00000000">
        <w:trPr>
          <w:divId w:val="2017879821"/>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xml:space="preserve">Accumulated post-retirement benefits obligation, end of year </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466</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516 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vAlign w:val="center"/>
            <w:hideMark/>
          </w:tcPr>
          <w:p w:rsidR="00000000" w:rsidRDefault="005B0BC3">
            <w:pPr>
              <w:spacing w:after="100"/>
              <w:jc w:val="right"/>
              <w:rPr>
                <w:rFonts w:eastAsia="Times New Roman"/>
                <w:sz w:val="20"/>
                <w:szCs w:val="20"/>
              </w:rPr>
            </w:pPr>
          </w:p>
        </w:tc>
      </w:tr>
    </w:tbl>
    <w:p w:rsidR="00000000" w:rsidRDefault="005B0BC3">
      <w:pPr>
        <w:divId w:val="170461763"/>
        <w:rPr>
          <w:rFonts w:eastAsia="Times New Roman"/>
        </w:rPr>
      </w:pPr>
    </w:p>
    <w:p w:rsidR="00000000" w:rsidRDefault="005B0BC3">
      <w:pPr>
        <w:divId w:val="1129396455"/>
        <w:rPr>
          <w:rFonts w:eastAsia="Times New Roman"/>
        </w:rPr>
      </w:pPr>
      <w:r>
        <w:rPr>
          <w:rFonts w:eastAsia="Times New Roman"/>
          <w:color w:val="000000"/>
          <w:sz w:val="20"/>
          <w:szCs w:val="20"/>
        </w:rPr>
        <w:t xml:space="preserve">The post-retirement medical plan obligations of the Company are offset by an anticipated subsidy from Medicare Part D, which is assumed to increase with the healthcare cost trend. </w:t>
      </w:r>
    </w:p>
    <w:p w:rsidR="00000000" w:rsidRDefault="005B0BC3">
      <w:pPr>
        <w:jc w:val="center"/>
        <w:divId w:val="2098863237"/>
        <w:rPr>
          <w:rFonts w:eastAsia="Times New Roman"/>
        </w:rPr>
      </w:pPr>
      <w:r>
        <w:rPr>
          <w:rFonts w:eastAsia="Times New Roman"/>
          <w:b/>
          <w:bCs/>
          <w:color w:val="000000"/>
          <w:sz w:val="20"/>
          <w:szCs w:val="20"/>
        </w:rPr>
        <w:t>Assumed Healthcare Cost Trend Rates used to Measure the Expected Cost of Be</w:t>
      </w:r>
      <w:r>
        <w:rPr>
          <w:rFonts w:eastAsia="Times New Roman"/>
          <w:b/>
          <w:bCs/>
          <w:color w:val="000000"/>
          <w:sz w:val="20"/>
          <w:szCs w:val="20"/>
        </w:rPr>
        <w:t>nefits</w:t>
      </w:r>
    </w:p>
    <w:tbl>
      <w:tblPr>
        <w:tblW w:w="5000" w:type="pct"/>
        <w:tblCellMar>
          <w:top w:w="15" w:type="dxa"/>
          <w:left w:w="15" w:type="dxa"/>
          <w:bottom w:w="15" w:type="dxa"/>
          <w:right w:w="15" w:type="dxa"/>
        </w:tblCellMar>
        <w:tblLook w:val="04A0" w:firstRow="1" w:lastRow="0" w:firstColumn="1" w:lastColumn="0" w:noHBand="0" w:noVBand="1"/>
      </w:tblPr>
      <w:tblGrid>
        <w:gridCol w:w="63"/>
        <w:gridCol w:w="5706"/>
        <w:gridCol w:w="36"/>
        <w:gridCol w:w="63"/>
        <w:gridCol w:w="1101"/>
        <w:gridCol w:w="37"/>
        <w:gridCol w:w="37"/>
        <w:gridCol w:w="36"/>
        <w:gridCol w:w="36"/>
        <w:gridCol w:w="51"/>
        <w:gridCol w:w="1104"/>
        <w:gridCol w:w="36"/>
      </w:tblGrid>
      <w:tr w:rsidR="00000000">
        <w:trPr>
          <w:divId w:val="1366758402"/>
        </w:trPr>
        <w:tc>
          <w:tcPr>
            <w:tcW w:w="50" w:type="pct"/>
            <w:vAlign w:val="center"/>
            <w:hideMark/>
          </w:tcPr>
          <w:p w:rsidR="00000000" w:rsidRDefault="005B0BC3">
            <w:pPr>
              <w:jc w:val="center"/>
              <w:rPr>
                <w:rFonts w:eastAsia="Times New Roman"/>
              </w:rPr>
            </w:pPr>
          </w:p>
        </w:tc>
        <w:tc>
          <w:tcPr>
            <w:tcW w:w="344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7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7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366758402"/>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December 31,</w:t>
            </w:r>
          </w:p>
        </w:tc>
      </w:tr>
      <w:tr w:rsidR="00000000">
        <w:trPr>
          <w:divId w:val="1366758402"/>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r>
      <w:tr w:rsidR="00000000">
        <w:trPr>
          <w:divId w:val="1366758402"/>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Following year</w:t>
            </w:r>
          </w:p>
        </w:tc>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20"/>
                <w:szCs w:val="20"/>
              </w:rPr>
              <w:t>5.1%</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5.6%</w:t>
            </w:r>
          </w:p>
        </w:tc>
      </w:tr>
      <w:tr w:rsidR="00000000">
        <w:trPr>
          <w:divId w:val="1366758402"/>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Ultimate rate to which cost increase is assumed to decline</w:t>
            </w:r>
          </w:p>
        </w:tc>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20"/>
                <w:szCs w:val="20"/>
              </w:rPr>
              <w:t>4.0%</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4.0%</w:t>
            </w:r>
          </w:p>
        </w:tc>
      </w:tr>
      <w:tr w:rsidR="00000000">
        <w:trPr>
          <w:divId w:val="1366758402"/>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Year in which the ultimate trend rate is reached</w:t>
            </w: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20"/>
                <w:szCs w:val="20"/>
              </w:rPr>
              <w:t>2094</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2095</w:t>
            </w:r>
          </w:p>
        </w:tc>
      </w:tr>
    </w:tbl>
    <w:p w:rsidR="00000000" w:rsidRDefault="005B0BC3">
      <w:pPr>
        <w:divId w:val="344794427"/>
        <w:rPr>
          <w:rFonts w:eastAsia="Times New Roman"/>
        </w:rPr>
      </w:pPr>
    </w:p>
    <w:p w:rsidR="00000000" w:rsidRDefault="005B0BC3">
      <w:pPr>
        <w:divId w:val="1568151774"/>
        <w:rPr>
          <w:rFonts w:eastAsia="Times New Roman"/>
        </w:rPr>
      </w:pPr>
      <w:r>
        <w:rPr>
          <w:rFonts w:eastAsia="Times New Roman"/>
          <w:color w:val="000000"/>
          <w:sz w:val="20"/>
          <w:szCs w:val="20"/>
        </w:rPr>
        <w:t>The following table discloses the amounts included in AOCI as of December </w:t>
      </w:r>
      <w:r>
        <w:rPr>
          <w:rFonts w:eastAsia="Times New Roman"/>
          <w:color w:val="000000"/>
          <w:sz w:val="20"/>
          <w:szCs w:val="20"/>
        </w:rPr>
        <w:t>31, 2021 and 2020 that have not yet been recognized as components of net periodic post-retirement benefits cost:</w:t>
      </w:r>
    </w:p>
    <w:p w:rsidR="00000000" w:rsidRDefault="005B0BC3">
      <w:pPr>
        <w:jc w:val="center"/>
        <w:divId w:val="362945008"/>
        <w:rPr>
          <w:rFonts w:eastAsia="Times New Roman"/>
        </w:rPr>
      </w:pPr>
      <w:r>
        <w:rPr>
          <w:rFonts w:eastAsia="Times New Roman"/>
          <w:color w:val="000000"/>
          <w:sz w:val="20"/>
          <w:szCs w:val="20"/>
        </w:rPr>
        <w:t>210</w:t>
      </w:r>
    </w:p>
    <w:p w:rsidR="00000000" w:rsidRDefault="005B0BC3">
      <w:pPr>
        <w:rPr>
          <w:rFonts w:eastAsia="Times New Roman"/>
        </w:rPr>
      </w:pPr>
      <w:r>
        <w:rPr>
          <w:rFonts w:eastAsia="Times New Roman"/>
        </w:rPr>
        <w:pict>
          <v:rect id="_x0000_i1248" style="width:0;height:1.5pt" o:hralign="center" o:hrstd="t" o:hr="t" fillcolor="#a0a0a0" stroked="f"/>
        </w:pict>
      </w:r>
    </w:p>
    <w:p w:rsidR="00000000" w:rsidRDefault="005B0BC3">
      <w:pPr>
        <w:jc w:val="center"/>
        <w:divId w:val="1193029150"/>
        <w:rPr>
          <w:rFonts w:eastAsia="Times New Roman"/>
        </w:rPr>
      </w:pPr>
      <w:r>
        <w:rPr>
          <w:rFonts w:eastAsia="Times New Roman"/>
          <w:b/>
          <w:bCs/>
          <w:color w:val="000000"/>
          <w:sz w:val="20"/>
          <w:szCs w:val="20"/>
        </w:rPr>
        <w:t>EQUITABLE HOLDINGS, INC.</w:t>
      </w:r>
    </w:p>
    <w:p w:rsidR="00000000" w:rsidRDefault="005B0BC3">
      <w:pPr>
        <w:jc w:val="center"/>
        <w:divId w:val="1193029150"/>
        <w:rPr>
          <w:rFonts w:eastAsia="Times New Roman"/>
        </w:rPr>
      </w:pPr>
      <w:r>
        <w:rPr>
          <w:rFonts w:eastAsia="Times New Roman"/>
          <w:b/>
          <w:bCs/>
          <w:color w:val="000000"/>
          <w:sz w:val="20"/>
          <w:szCs w:val="20"/>
        </w:rPr>
        <w:t>NOTES TO CONSOLIDATED FINANCIAL STATEMENTS, continued</w:t>
      </w:r>
    </w:p>
    <w:tbl>
      <w:tblPr>
        <w:tblW w:w="5000" w:type="pct"/>
        <w:tblCellMar>
          <w:top w:w="15" w:type="dxa"/>
          <w:left w:w="15" w:type="dxa"/>
          <w:bottom w:w="15" w:type="dxa"/>
          <w:right w:w="15" w:type="dxa"/>
        </w:tblCellMar>
        <w:tblLook w:val="04A0" w:firstRow="1" w:lastRow="0" w:firstColumn="1" w:lastColumn="0" w:noHBand="0" w:noVBand="1"/>
      </w:tblPr>
      <w:tblGrid>
        <w:gridCol w:w="41"/>
        <w:gridCol w:w="5684"/>
        <w:gridCol w:w="36"/>
        <w:gridCol w:w="120"/>
        <w:gridCol w:w="1079"/>
        <w:gridCol w:w="36"/>
        <w:gridCol w:w="36"/>
        <w:gridCol w:w="36"/>
        <w:gridCol w:w="36"/>
        <w:gridCol w:w="120"/>
        <w:gridCol w:w="1046"/>
        <w:gridCol w:w="36"/>
      </w:tblGrid>
      <w:tr w:rsidR="00000000">
        <w:trPr>
          <w:divId w:val="253324064"/>
        </w:trPr>
        <w:tc>
          <w:tcPr>
            <w:tcW w:w="50" w:type="pct"/>
            <w:vAlign w:val="center"/>
            <w:hideMark/>
          </w:tcPr>
          <w:p w:rsidR="00000000" w:rsidRDefault="005B0BC3">
            <w:pPr>
              <w:jc w:val="center"/>
              <w:rPr>
                <w:rFonts w:eastAsia="Times New Roman"/>
              </w:rPr>
            </w:pPr>
          </w:p>
        </w:tc>
        <w:tc>
          <w:tcPr>
            <w:tcW w:w="344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7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7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253324064"/>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December 31,</w:t>
            </w:r>
          </w:p>
        </w:tc>
      </w:tr>
      <w:tr w:rsidR="00000000">
        <w:trPr>
          <w:divId w:val="253324064"/>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r>
      <w:tr w:rsidR="00000000">
        <w:trPr>
          <w:divId w:val="253324064"/>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253324064"/>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xml:space="preserve">Unrecognized net actuarial (gains) losses </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135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186 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53324064"/>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xml:space="preserve">Unrecognized prior service (credit) </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(26)</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(29)</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53324064"/>
        </w:trPr>
        <w:tc>
          <w:tcPr>
            <w:tcW w:w="0" w:type="auto"/>
            <w:gridSpan w:val="3"/>
            <w:shd w:val="clear" w:color="auto" w:fill="CCEE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xml:space="preserve">Total </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109</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157 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divId w:val="1333602876"/>
        <w:rPr>
          <w:rFonts w:eastAsia="Times New Roman"/>
        </w:rPr>
      </w:pPr>
    </w:p>
    <w:p w:rsidR="00000000" w:rsidRDefault="005B0BC3">
      <w:pPr>
        <w:divId w:val="1162740232"/>
        <w:rPr>
          <w:rFonts w:eastAsia="Times New Roman"/>
        </w:rPr>
      </w:pPr>
      <w:r>
        <w:rPr>
          <w:rFonts w:eastAsia="Times New Roman"/>
          <w:color w:val="000000"/>
          <w:sz w:val="20"/>
          <w:szCs w:val="20"/>
        </w:rPr>
        <w:t>The assumed discount rates for measuring the post-retirement benefit obligations as of December 31, 2021 and 2020 were determined in substantially the same manner as described above for measuring the pension benefit obligations. The following table disclos</w:t>
      </w:r>
      <w:r>
        <w:rPr>
          <w:rFonts w:eastAsia="Times New Roman"/>
          <w:color w:val="000000"/>
          <w:sz w:val="20"/>
          <w:szCs w:val="20"/>
        </w:rPr>
        <w:t>es the range of discrete single equivalent discount rates and related net periodic cost at and for the years ended December 31, 2021 and 2020.</w:t>
      </w:r>
    </w:p>
    <w:tbl>
      <w:tblPr>
        <w:tblW w:w="5000" w:type="pct"/>
        <w:tblCellMar>
          <w:top w:w="15" w:type="dxa"/>
          <w:left w:w="15" w:type="dxa"/>
          <w:bottom w:w="15" w:type="dxa"/>
          <w:right w:w="15" w:type="dxa"/>
        </w:tblCellMar>
        <w:tblLook w:val="04A0" w:firstRow="1" w:lastRow="0" w:firstColumn="1" w:lastColumn="0" w:noHBand="0" w:noVBand="1"/>
      </w:tblPr>
      <w:tblGrid>
        <w:gridCol w:w="63"/>
        <w:gridCol w:w="5706"/>
        <w:gridCol w:w="37"/>
        <w:gridCol w:w="63"/>
        <w:gridCol w:w="1101"/>
        <w:gridCol w:w="37"/>
        <w:gridCol w:w="37"/>
        <w:gridCol w:w="36"/>
        <w:gridCol w:w="36"/>
        <w:gridCol w:w="50"/>
        <w:gridCol w:w="1104"/>
        <w:gridCol w:w="36"/>
      </w:tblGrid>
      <w:tr w:rsidR="00000000">
        <w:trPr>
          <w:divId w:val="1876312369"/>
        </w:trPr>
        <w:tc>
          <w:tcPr>
            <w:tcW w:w="50" w:type="pct"/>
            <w:vAlign w:val="center"/>
            <w:hideMark/>
          </w:tcPr>
          <w:p w:rsidR="00000000" w:rsidRDefault="005B0BC3">
            <w:pPr>
              <w:rPr>
                <w:rFonts w:eastAsia="Times New Roman"/>
              </w:rPr>
            </w:pPr>
          </w:p>
        </w:tc>
        <w:tc>
          <w:tcPr>
            <w:tcW w:w="344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7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7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876312369"/>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December 31,</w:t>
            </w:r>
          </w:p>
        </w:tc>
      </w:tr>
      <w:tr w:rsidR="00000000">
        <w:trPr>
          <w:divId w:val="1876312369"/>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r>
      <w:tr w:rsidR="00000000">
        <w:trPr>
          <w:divId w:val="1876312369"/>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Discount rates: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876312369"/>
        </w:trPr>
        <w:tc>
          <w:tcPr>
            <w:tcW w:w="0" w:type="auto"/>
            <w:gridSpan w:val="3"/>
            <w:shd w:val="clear" w:color="auto" w:fill="CCEE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xml:space="preserve">Benefit obligation </w:t>
            </w: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 xml:space="preserve">2.43%-2.72% </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1.97%-2.38%</w:t>
            </w:r>
          </w:p>
        </w:tc>
      </w:tr>
      <w:tr w:rsidR="00000000">
        <w:trPr>
          <w:divId w:val="1876312369"/>
        </w:trPr>
        <w:tc>
          <w:tcPr>
            <w:tcW w:w="0" w:type="auto"/>
            <w:gridSpan w:val="3"/>
            <w:shd w:val="clear" w:color="auto" w:fill="FFFF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xml:space="preserve">Periodic cost </w:t>
            </w:r>
          </w:p>
        </w:tc>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2.34%-2.52%</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2.80%-3.16%</w:t>
            </w:r>
          </w:p>
        </w:tc>
      </w:tr>
    </w:tbl>
    <w:p w:rsidR="00000000" w:rsidRDefault="005B0BC3">
      <w:pPr>
        <w:divId w:val="125319599"/>
        <w:rPr>
          <w:rFonts w:eastAsia="Times New Roman"/>
        </w:rPr>
      </w:pPr>
    </w:p>
    <w:p w:rsidR="00000000" w:rsidRDefault="005B0BC3">
      <w:pPr>
        <w:divId w:val="333459521"/>
        <w:rPr>
          <w:rFonts w:eastAsia="Times New Roman"/>
        </w:rPr>
      </w:pPr>
      <w:r>
        <w:rPr>
          <w:rFonts w:eastAsia="Times New Roman"/>
          <w:color w:val="000000"/>
          <w:sz w:val="20"/>
          <w:szCs w:val="20"/>
        </w:rPr>
        <w:t>The Company provides post-employment medical and life insurance coverage for certain disabled former employees. The accrued liabilities for these post-employment benefits were $3 million and $3 million, respectively, as of December 31, 2021 and 2020. Compo</w:t>
      </w:r>
      <w:r>
        <w:rPr>
          <w:rFonts w:eastAsia="Times New Roman"/>
          <w:color w:val="000000"/>
          <w:sz w:val="20"/>
          <w:szCs w:val="20"/>
        </w:rPr>
        <w:t>nents of net post-employment benefits costs follow:</w:t>
      </w:r>
    </w:p>
    <w:tbl>
      <w:tblPr>
        <w:tblW w:w="5000" w:type="pct"/>
        <w:tblCellMar>
          <w:top w:w="15" w:type="dxa"/>
          <w:left w:w="15" w:type="dxa"/>
          <w:bottom w:w="15" w:type="dxa"/>
          <w:right w:w="15" w:type="dxa"/>
        </w:tblCellMar>
        <w:tblLook w:val="04A0" w:firstRow="1" w:lastRow="0" w:firstColumn="1" w:lastColumn="0" w:noHBand="0" w:noVBand="1"/>
      </w:tblPr>
      <w:tblGrid>
        <w:gridCol w:w="38"/>
        <w:gridCol w:w="4876"/>
        <w:gridCol w:w="36"/>
        <w:gridCol w:w="121"/>
        <w:gridCol w:w="915"/>
        <w:gridCol w:w="37"/>
        <w:gridCol w:w="36"/>
        <w:gridCol w:w="36"/>
        <w:gridCol w:w="36"/>
        <w:gridCol w:w="120"/>
        <w:gridCol w:w="875"/>
        <w:gridCol w:w="36"/>
        <w:gridCol w:w="36"/>
        <w:gridCol w:w="36"/>
        <w:gridCol w:w="36"/>
        <w:gridCol w:w="121"/>
        <w:gridCol w:w="878"/>
        <w:gridCol w:w="37"/>
      </w:tblGrid>
      <w:tr w:rsidR="00000000">
        <w:trPr>
          <w:divId w:val="1556116687"/>
        </w:trPr>
        <w:tc>
          <w:tcPr>
            <w:tcW w:w="50" w:type="pct"/>
            <w:vAlign w:val="center"/>
            <w:hideMark/>
          </w:tcPr>
          <w:p w:rsidR="00000000" w:rsidRDefault="005B0BC3">
            <w:pPr>
              <w:rPr>
                <w:rFonts w:eastAsia="Times New Roman"/>
              </w:rPr>
            </w:pPr>
          </w:p>
        </w:tc>
        <w:tc>
          <w:tcPr>
            <w:tcW w:w="296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8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8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8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556116687"/>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r>
      <w:tr w:rsidR="00000000">
        <w:trPr>
          <w:divId w:val="1556116687"/>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1556116687"/>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1556116687"/>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Service cost</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556116687"/>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Interest cost</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556116687"/>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Net amortization</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556116687"/>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Net (gain) loss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556116687"/>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Net periodic post-employment benefits costs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divId w:val="1200582312"/>
        <w:rPr>
          <w:rFonts w:eastAsia="Times New Roman"/>
        </w:rPr>
      </w:pPr>
    </w:p>
    <w:p w:rsidR="00000000" w:rsidRDefault="005B0BC3">
      <w:pPr>
        <w:divId w:val="1360621566"/>
        <w:rPr>
          <w:rFonts w:eastAsia="Times New Roman"/>
        </w:rPr>
      </w:pPr>
      <w:r>
        <w:rPr>
          <w:rFonts w:eastAsia="Times New Roman"/>
          <w:color w:val="000000"/>
          <w:sz w:val="20"/>
          <w:szCs w:val="20"/>
        </w:rPr>
        <w:t>The following table provides an estimate of future benefits expected to be paid in each of the next five years, beginning January 1, 2022, and in the aggregate for the five years thereafter. These estimates are based on the same assumptions used to measure</w:t>
      </w:r>
      <w:r>
        <w:rPr>
          <w:rFonts w:eastAsia="Times New Roman"/>
          <w:color w:val="000000"/>
          <w:sz w:val="20"/>
          <w:szCs w:val="20"/>
        </w:rPr>
        <w:t xml:space="preserve"> the respective benefit obligations as of December 31, 2021 and include benefits attributable to estimated future employee service.</w:t>
      </w:r>
    </w:p>
    <w:tbl>
      <w:tblPr>
        <w:tblW w:w="5000" w:type="pct"/>
        <w:tblCellMar>
          <w:top w:w="15" w:type="dxa"/>
          <w:left w:w="15" w:type="dxa"/>
          <w:bottom w:w="15" w:type="dxa"/>
          <w:right w:w="15" w:type="dxa"/>
        </w:tblCellMar>
        <w:tblLook w:val="04A0" w:firstRow="1" w:lastRow="0" w:firstColumn="1" w:lastColumn="0" w:noHBand="0" w:noVBand="1"/>
      </w:tblPr>
      <w:tblGrid>
        <w:gridCol w:w="37"/>
        <w:gridCol w:w="2875"/>
        <w:gridCol w:w="36"/>
        <w:gridCol w:w="120"/>
        <w:gridCol w:w="864"/>
        <w:gridCol w:w="36"/>
        <w:gridCol w:w="36"/>
        <w:gridCol w:w="36"/>
        <w:gridCol w:w="36"/>
        <w:gridCol w:w="121"/>
        <w:gridCol w:w="818"/>
        <w:gridCol w:w="36"/>
        <w:gridCol w:w="36"/>
        <w:gridCol w:w="36"/>
        <w:gridCol w:w="36"/>
        <w:gridCol w:w="121"/>
        <w:gridCol w:w="818"/>
        <w:gridCol w:w="36"/>
        <w:gridCol w:w="36"/>
        <w:gridCol w:w="36"/>
        <w:gridCol w:w="36"/>
        <w:gridCol w:w="121"/>
        <w:gridCol w:w="820"/>
        <w:gridCol w:w="36"/>
        <w:gridCol w:w="36"/>
        <w:gridCol w:w="36"/>
        <w:gridCol w:w="36"/>
        <w:gridCol w:w="121"/>
        <w:gridCol w:w="822"/>
        <w:gridCol w:w="36"/>
      </w:tblGrid>
      <w:tr w:rsidR="00000000">
        <w:trPr>
          <w:divId w:val="303630040"/>
        </w:trPr>
        <w:tc>
          <w:tcPr>
            <w:tcW w:w="50" w:type="pct"/>
            <w:vAlign w:val="center"/>
            <w:hideMark/>
          </w:tcPr>
          <w:p w:rsidR="00000000" w:rsidRDefault="005B0BC3">
            <w:pPr>
              <w:rPr>
                <w:rFonts w:eastAsia="Times New Roman"/>
              </w:rPr>
            </w:pPr>
          </w:p>
        </w:tc>
        <w:tc>
          <w:tcPr>
            <w:tcW w:w="176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303630040"/>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1"/>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Postretirement Benefits</w:t>
            </w:r>
          </w:p>
        </w:tc>
      </w:tr>
      <w:tr w:rsidR="00000000">
        <w:trPr>
          <w:divId w:val="303630040"/>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Health</w:t>
            </w:r>
          </w:p>
        </w:tc>
      </w:tr>
      <w:tr w:rsidR="00000000">
        <w:trPr>
          <w:divId w:val="303630040"/>
        </w:trPr>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Calendar Year</w:t>
            </w: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Pension Benefits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Life Insurance</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Gross Estimate Payment</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Estimated Medicare Part D Subsidy</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Net Estimate Payment</w:t>
            </w:r>
          </w:p>
        </w:tc>
      </w:tr>
      <w:tr w:rsidR="00000000">
        <w:trPr>
          <w:divId w:val="303630040"/>
        </w:trPr>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27"/>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303630040"/>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2022</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211,168 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303630040"/>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2023</w:t>
            </w: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250,713 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303630040"/>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2024</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200,447 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303630040"/>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2025</w:t>
            </w: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196,067 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303630040"/>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2026</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186,582 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303630040"/>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Years 2027 — 2030</w:t>
            </w: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2,453,131 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divId w:val="141580261"/>
        <w:rPr>
          <w:rFonts w:eastAsia="Times New Roman"/>
        </w:rPr>
      </w:pPr>
    </w:p>
    <w:p w:rsidR="00000000" w:rsidRDefault="005B0BC3">
      <w:pPr>
        <w:divId w:val="80106734"/>
        <w:rPr>
          <w:rFonts w:eastAsia="Times New Roman"/>
        </w:rPr>
      </w:pPr>
    </w:p>
    <w:p w:rsidR="00000000" w:rsidRDefault="005B0BC3">
      <w:pPr>
        <w:divId w:val="1329409630"/>
        <w:rPr>
          <w:rFonts w:eastAsia="Times New Roman"/>
        </w:rPr>
      </w:pPr>
      <w:r>
        <w:rPr>
          <w:rFonts w:eastAsia="Times New Roman"/>
          <w:color w:val="000000"/>
          <w:sz w:val="20"/>
          <w:szCs w:val="20"/>
        </w:rPr>
        <w:t>Effective December 31, 2020, the current health plan coverages through the Equitable Retiree Group He</w:t>
      </w:r>
      <w:r>
        <w:rPr>
          <w:rFonts w:eastAsia="Times New Roman"/>
          <w:color w:val="000000"/>
          <w:sz w:val="20"/>
          <w:szCs w:val="20"/>
        </w:rPr>
        <w:t xml:space="preserve">alth Plan were terminated. Medicare-eligible retirees and their Medicare-eligible dependents were given the opportunity to elect a Medicare </w:t>
      </w:r>
    </w:p>
    <w:p w:rsidR="00000000" w:rsidRDefault="005B0BC3">
      <w:pPr>
        <w:jc w:val="center"/>
        <w:divId w:val="1874346048"/>
        <w:rPr>
          <w:rFonts w:eastAsia="Times New Roman"/>
        </w:rPr>
      </w:pPr>
      <w:r>
        <w:rPr>
          <w:rFonts w:eastAsia="Times New Roman"/>
          <w:color w:val="000000"/>
          <w:sz w:val="20"/>
          <w:szCs w:val="20"/>
        </w:rPr>
        <w:t>211</w:t>
      </w:r>
    </w:p>
    <w:p w:rsidR="00000000" w:rsidRDefault="005B0BC3">
      <w:pPr>
        <w:rPr>
          <w:rFonts w:eastAsia="Times New Roman"/>
        </w:rPr>
      </w:pPr>
      <w:r>
        <w:rPr>
          <w:rFonts w:eastAsia="Times New Roman"/>
        </w:rPr>
        <w:pict>
          <v:rect id="_x0000_i1249" style="width:0;height:1.5pt" o:hralign="center" o:hrstd="t" o:hr="t" fillcolor="#a0a0a0" stroked="f"/>
        </w:pict>
      </w:r>
    </w:p>
    <w:p w:rsidR="00000000" w:rsidRDefault="005B0BC3">
      <w:pPr>
        <w:jc w:val="center"/>
        <w:divId w:val="1735854492"/>
        <w:rPr>
          <w:rFonts w:eastAsia="Times New Roman"/>
        </w:rPr>
      </w:pPr>
      <w:r>
        <w:rPr>
          <w:rFonts w:eastAsia="Times New Roman"/>
          <w:b/>
          <w:bCs/>
          <w:color w:val="000000"/>
          <w:sz w:val="20"/>
          <w:szCs w:val="20"/>
        </w:rPr>
        <w:t>EQUITABLE HOLDINGS, INC.</w:t>
      </w:r>
    </w:p>
    <w:p w:rsidR="00000000" w:rsidRDefault="005B0BC3">
      <w:pPr>
        <w:jc w:val="center"/>
        <w:divId w:val="1735854492"/>
        <w:rPr>
          <w:rFonts w:eastAsia="Times New Roman"/>
        </w:rPr>
      </w:pPr>
      <w:r>
        <w:rPr>
          <w:rFonts w:eastAsia="Times New Roman"/>
          <w:b/>
          <w:bCs/>
          <w:color w:val="000000"/>
          <w:sz w:val="20"/>
          <w:szCs w:val="20"/>
        </w:rPr>
        <w:t>NOTES TO CONSOLIDATED FINANCIAL STATEMENTS, conti</w:t>
      </w:r>
      <w:r>
        <w:rPr>
          <w:rFonts w:eastAsia="Times New Roman"/>
          <w:b/>
          <w:bCs/>
          <w:color w:val="000000"/>
          <w:sz w:val="20"/>
          <w:szCs w:val="20"/>
        </w:rPr>
        <w:t>nued</w:t>
      </w:r>
    </w:p>
    <w:p w:rsidR="00000000" w:rsidRDefault="005B0BC3">
      <w:pPr>
        <w:divId w:val="517743226"/>
        <w:rPr>
          <w:rFonts w:eastAsia="Times New Roman"/>
        </w:rPr>
      </w:pPr>
      <w:r>
        <w:rPr>
          <w:rFonts w:eastAsia="Times New Roman"/>
          <w:color w:val="000000"/>
          <w:sz w:val="20"/>
          <w:szCs w:val="20"/>
        </w:rPr>
        <w:t>plan through the Aon Retiree Health Exchange effective January 1, 2021 and certain eligible retirees were offered a retiree health reimbursement account contribution to help pay for premiums and out-of-pocket expenses. Pre-65 retirees and their pre-65</w:t>
      </w:r>
      <w:r>
        <w:rPr>
          <w:rFonts w:eastAsia="Times New Roman"/>
          <w:color w:val="000000"/>
          <w:sz w:val="20"/>
          <w:szCs w:val="20"/>
        </w:rPr>
        <w:t xml:space="preserve"> dependents were given the opportunity to elect health coverage under the Aon Active Health Exchange effective January 1, 2021. Even though the effective date of the change in benefits doesn’t commence until January 1, 2021, the effect of the amendment mus</w:t>
      </w:r>
      <w:r>
        <w:rPr>
          <w:rFonts w:eastAsia="Times New Roman"/>
          <w:color w:val="000000"/>
          <w:sz w:val="20"/>
          <w:szCs w:val="20"/>
        </w:rPr>
        <w:t>t be recognized immediately and is reflected in the measurement of the accumulated postretirement benefit obligations as of December 31, 2020.</w:t>
      </w:r>
    </w:p>
    <w:p w:rsidR="00000000" w:rsidRDefault="005B0BC3">
      <w:pPr>
        <w:divId w:val="562377493"/>
        <w:rPr>
          <w:rFonts w:eastAsia="Times New Roman"/>
        </w:rPr>
      </w:pPr>
      <w:r>
        <w:rPr>
          <w:rFonts w:eastAsia="Times New Roman"/>
          <w:b/>
          <w:bCs/>
          <w:color w:val="000000"/>
          <w:sz w:val="20"/>
          <w:szCs w:val="20"/>
        </w:rPr>
        <w:t xml:space="preserve">15)    SHARE-BASED COMPENSATION PROGRAMS </w:t>
      </w:r>
    </w:p>
    <w:p w:rsidR="00000000" w:rsidRDefault="005B0BC3">
      <w:pPr>
        <w:divId w:val="927614252"/>
        <w:rPr>
          <w:rFonts w:eastAsia="Times New Roman"/>
        </w:rPr>
      </w:pPr>
      <w:r>
        <w:rPr>
          <w:rFonts w:eastAsia="Times New Roman"/>
          <w:color w:val="000000"/>
          <w:sz w:val="20"/>
          <w:szCs w:val="20"/>
        </w:rPr>
        <w:t>Compensation costs for 2021, 2020 and 2019 for share-based payment arra</w:t>
      </w:r>
      <w:r>
        <w:rPr>
          <w:rFonts w:eastAsia="Times New Roman"/>
          <w:color w:val="000000"/>
          <w:sz w:val="20"/>
          <w:szCs w:val="20"/>
        </w:rPr>
        <w:t>ngements as further described herein are as follows:</w:t>
      </w:r>
    </w:p>
    <w:tbl>
      <w:tblPr>
        <w:tblW w:w="4466" w:type="pct"/>
        <w:tblCellMar>
          <w:top w:w="15" w:type="dxa"/>
          <w:left w:w="15" w:type="dxa"/>
          <w:bottom w:w="15" w:type="dxa"/>
          <w:right w:w="15" w:type="dxa"/>
        </w:tblCellMar>
        <w:tblLook w:val="04A0" w:firstRow="1" w:lastRow="0" w:firstColumn="1" w:lastColumn="0" w:noHBand="0" w:noVBand="1"/>
      </w:tblPr>
      <w:tblGrid>
        <w:gridCol w:w="38"/>
        <w:gridCol w:w="3739"/>
        <w:gridCol w:w="37"/>
        <w:gridCol w:w="120"/>
        <w:gridCol w:w="973"/>
        <w:gridCol w:w="36"/>
        <w:gridCol w:w="36"/>
        <w:gridCol w:w="36"/>
        <w:gridCol w:w="36"/>
        <w:gridCol w:w="120"/>
        <w:gridCol w:w="974"/>
        <w:gridCol w:w="36"/>
        <w:gridCol w:w="36"/>
        <w:gridCol w:w="36"/>
        <w:gridCol w:w="36"/>
        <w:gridCol w:w="120"/>
        <w:gridCol w:w="974"/>
        <w:gridCol w:w="36"/>
      </w:tblGrid>
      <w:tr w:rsidR="00000000">
        <w:trPr>
          <w:divId w:val="1694072712"/>
        </w:trPr>
        <w:tc>
          <w:tcPr>
            <w:tcW w:w="50" w:type="pct"/>
            <w:vAlign w:val="center"/>
            <w:hideMark/>
          </w:tcPr>
          <w:p w:rsidR="00000000" w:rsidRDefault="005B0BC3">
            <w:pPr>
              <w:rPr>
                <w:rFonts w:eastAsia="Times New Roman"/>
              </w:rPr>
            </w:pPr>
          </w:p>
        </w:tc>
        <w:tc>
          <w:tcPr>
            <w:tcW w:w="259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70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70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70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694072712"/>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r>
      <w:tr w:rsidR="00000000">
        <w:trPr>
          <w:divId w:val="1694072712"/>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1694072712"/>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16"/>
                <w:szCs w:val="16"/>
              </w:rPr>
              <w:t>(in millions)</w:t>
            </w:r>
          </w:p>
        </w:tc>
      </w:tr>
      <w:tr w:rsidR="00000000">
        <w:trPr>
          <w:divId w:val="1694072712"/>
        </w:trPr>
        <w:tc>
          <w:tcPr>
            <w:tcW w:w="0" w:type="auto"/>
            <w:gridSpan w:val="3"/>
            <w:shd w:val="clear" w:color="auto" w:fill="CCEEFF"/>
            <w:tcMar>
              <w:top w:w="30" w:type="dxa"/>
              <w:left w:w="20" w:type="dxa"/>
              <w:bottom w:w="30" w:type="dxa"/>
              <w:right w:w="20" w:type="dxa"/>
            </w:tcMar>
            <w:hideMark/>
          </w:tcPr>
          <w:p w:rsidR="00000000" w:rsidRDefault="005B0BC3">
            <w:pPr>
              <w:spacing w:after="100"/>
              <w:divId w:val="1253200011"/>
              <w:rPr>
                <w:rFonts w:eastAsia="Times New Roman"/>
              </w:rPr>
            </w:pPr>
            <w:r>
              <w:rPr>
                <w:rFonts w:eastAsia="Times New Roman"/>
                <w:color w:val="000000"/>
                <w:sz w:val="20"/>
                <w:szCs w:val="20"/>
              </w:rPr>
              <w:t xml:space="preserve">Performance Shares </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694072712"/>
        </w:trPr>
        <w:tc>
          <w:tcPr>
            <w:tcW w:w="0" w:type="auto"/>
            <w:gridSpan w:val="3"/>
            <w:shd w:val="clear" w:color="auto" w:fill="FFFFFF"/>
            <w:tcMar>
              <w:top w:w="30" w:type="dxa"/>
              <w:left w:w="20" w:type="dxa"/>
              <w:bottom w:w="30" w:type="dxa"/>
              <w:right w:w="20" w:type="dxa"/>
            </w:tcMar>
            <w:hideMark/>
          </w:tcPr>
          <w:p w:rsidR="00000000" w:rsidRDefault="005B0BC3">
            <w:pPr>
              <w:spacing w:after="100"/>
              <w:divId w:val="101145707"/>
              <w:rPr>
                <w:rFonts w:eastAsia="Times New Roman"/>
              </w:rPr>
            </w:pPr>
            <w:r>
              <w:rPr>
                <w:rFonts w:eastAsia="Times New Roman"/>
                <w:color w:val="000000"/>
                <w:sz w:val="20"/>
                <w:szCs w:val="20"/>
              </w:rPr>
              <w:t>Stock Options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694072712"/>
        </w:trPr>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694072712"/>
        </w:trPr>
        <w:tc>
          <w:tcPr>
            <w:tcW w:w="0" w:type="auto"/>
            <w:gridSpan w:val="3"/>
            <w:shd w:val="clear" w:color="auto" w:fill="CCEEFF"/>
            <w:tcMar>
              <w:top w:w="30" w:type="dxa"/>
              <w:left w:w="20" w:type="dxa"/>
              <w:bottom w:w="30" w:type="dxa"/>
              <w:right w:w="20" w:type="dxa"/>
            </w:tcMar>
            <w:hideMark/>
          </w:tcPr>
          <w:p w:rsidR="00000000" w:rsidRDefault="005B0BC3">
            <w:pPr>
              <w:spacing w:after="100"/>
              <w:divId w:val="109207550"/>
              <w:rPr>
                <w:rFonts w:eastAsia="Times New Roman"/>
              </w:rPr>
            </w:pPr>
            <w:r>
              <w:rPr>
                <w:rFonts w:eastAsia="Times New Roman"/>
                <w:color w:val="000000"/>
                <w:sz w:val="20"/>
                <w:szCs w:val="20"/>
              </w:rPr>
              <w:t>Restricted Stock Units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257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234 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243 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694072712"/>
        </w:trPr>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694072712"/>
        </w:trPr>
        <w:tc>
          <w:tcPr>
            <w:tcW w:w="0" w:type="auto"/>
            <w:gridSpan w:val="3"/>
            <w:shd w:val="clear" w:color="auto" w:fill="FFFFFF"/>
            <w:tcMar>
              <w:top w:w="30" w:type="dxa"/>
              <w:left w:w="20" w:type="dxa"/>
              <w:bottom w:w="30" w:type="dxa"/>
              <w:right w:w="20" w:type="dxa"/>
            </w:tcMar>
            <w:hideMark/>
          </w:tcPr>
          <w:p w:rsidR="00000000" w:rsidRDefault="005B0BC3">
            <w:pPr>
              <w:spacing w:after="100"/>
              <w:divId w:val="1188760918"/>
              <w:rPr>
                <w:rFonts w:eastAsia="Times New Roman"/>
              </w:rPr>
            </w:pPr>
            <w:r>
              <w:rPr>
                <w:rFonts w:eastAsia="Times New Roman"/>
                <w:color w:val="000000"/>
                <w:sz w:val="20"/>
                <w:szCs w:val="20"/>
              </w:rPr>
              <w:t>Total compensation expenses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274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252 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694072712"/>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Income Tax Benefit</w:t>
            </w:r>
          </w:p>
        </w:tc>
        <w:tc>
          <w:tcPr>
            <w:tcW w:w="0" w:type="auto"/>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58</w:t>
            </w:r>
            <w:r>
              <w:rPr>
                <w:rFonts w:eastAsia="Times New Roman"/>
                <w:color w:val="000000"/>
                <w:sz w:val="20"/>
                <w:szCs w:val="20"/>
              </w:rPr>
              <w:t>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52 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bottom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62 </w:t>
            </w:r>
          </w:p>
        </w:tc>
        <w:tc>
          <w:tcPr>
            <w:tcW w:w="0" w:type="auto"/>
            <w:tcBorders>
              <w:top w:val="single" w:sz="8" w:space="0" w:color="000000"/>
              <w:bottom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divId w:val="552934534"/>
        <w:rPr>
          <w:rFonts w:eastAsia="Times New Roman"/>
        </w:rPr>
      </w:pPr>
    </w:p>
    <w:p w:rsidR="00000000" w:rsidRDefault="005B0BC3">
      <w:pPr>
        <w:divId w:val="1326711665"/>
        <w:rPr>
          <w:rFonts w:eastAsia="Times New Roman"/>
        </w:rPr>
      </w:pPr>
      <w:r>
        <w:rPr>
          <w:rFonts w:eastAsia="Times New Roman"/>
          <w:color w:val="000000"/>
          <w:sz w:val="20"/>
          <w:szCs w:val="20"/>
        </w:rPr>
        <w:t>Since 2018, Holdings has granted equity awards under the Equitable Holdings, Inc. 2018 Omnibus Incentive Plan and the Equitable Holdings, Inc. 2019 Omnibus Incentive Plan (together the “O</w:t>
      </w:r>
      <w:r>
        <w:rPr>
          <w:rFonts w:eastAsia="Times New Roman"/>
          <w:color w:val="000000"/>
          <w:sz w:val="20"/>
          <w:szCs w:val="20"/>
        </w:rPr>
        <w:t>mnibus Plans”) which were adopted by Holdings on April 25, 2018 and February 28, 2019 respectively. Awards under the Omnibus Plans are linked to Holdings’ common stock. As of December 31, 2021, the common stock reserved and available for issuance under the</w:t>
      </w:r>
      <w:r>
        <w:rPr>
          <w:rFonts w:eastAsia="Times New Roman"/>
          <w:color w:val="000000"/>
          <w:sz w:val="20"/>
          <w:szCs w:val="20"/>
        </w:rPr>
        <w:t xml:space="preserve"> Omnibus Plans was 22 million shares. Holdings may issue new shares or use common stock held in treasury for awards linked to Holdings’ common stock.</w:t>
      </w:r>
    </w:p>
    <w:p w:rsidR="00000000" w:rsidRDefault="005B0BC3">
      <w:pPr>
        <w:divId w:val="266742733"/>
        <w:rPr>
          <w:rFonts w:eastAsia="Times New Roman"/>
        </w:rPr>
      </w:pPr>
      <w:r>
        <w:rPr>
          <w:rFonts w:eastAsia="Times New Roman"/>
          <w:color w:val="000000"/>
          <w:sz w:val="20"/>
          <w:szCs w:val="20"/>
          <w:u w:val="single"/>
        </w:rPr>
        <w:t>Retirement and Protection</w:t>
      </w:r>
    </w:p>
    <w:p w:rsidR="00000000" w:rsidRDefault="005B0BC3">
      <w:pPr>
        <w:divId w:val="1794471778"/>
        <w:rPr>
          <w:rFonts w:eastAsia="Times New Roman"/>
        </w:rPr>
      </w:pPr>
      <w:r>
        <w:rPr>
          <w:rFonts w:eastAsia="Times New Roman"/>
          <w:color w:val="000000"/>
          <w:sz w:val="20"/>
          <w:szCs w:val="20"/>
        </w:rPr>
        <w:t xml:space="preserve">Equity awards for R&amp;P employees, financial professionals and directors in 2021, </w:t>
      </w:r>
      <w:r>
        <w:rPr>
          <w:rFonts w:eastAsia="Times New Roman"/>
          <w:color w:val="000000"/>
          <w:sz w:val="20"/>
          <w:szCs w:val="20"/>
        </w:rPr>
        <w:t>2020 and 2019 were granted under the Omnibus Plans with the exception of the Holdings restricted stock units (“Holdings RSUs”) granted to financial professionals in 2018. All grants discussed in this section will be settled in shares of Holdings’ common st</w:t>
      </w:r>
      <w:r>
        <w:rPr>
          <w:rFonts w:eastAsia="Times New Roman"/>
          <w:color w:val="000000"/>
          <w:sz w:val="20"/>
          <w:szCs w:val="20"/>
        </w:rPr>
        <w:t xml:space="preserve">ock except for the RSUs granted to financial professionals in 2019 and 2018 which will be settled in cash. </w:t>
      </w:r>
    </w:p>
    <w:p w:rsidR="00000000" w:rsidRDefault="005B0BC3">
      <w:pPr>
        <w:divId w:val="513962399"/>
        <w:rPr>
          <w:rFonts w:eastAsia="Times New Roman"/>
        </w:rPr>
      </w:pPr>
      <w:r>
        <w:rPr>
          <w:rFonts w:eastAsia="Times New Roman"/>
          <w:color w:val="000000"/>
          <w:sz w:val="20"/>
          <w:szCs w:val="20"/>
        </w:rPr>
        <w:t>For awards with graded vesting schedules and service-only vesting conditions, including Holdings RSUs and other forms of share-based payment awards,</w:t>
      </w:r>
      <w:r>
        <w:rPr>
          <w:rFonts w:eastAsia="Times New Roman"/>
          <w:color w:val="000000"/>
          <w:sz w:val="20"/>
          <w:szCs w:val="20"/>
        </w:rPr>
        <w:t xml:space="preserve"> the Company applies a straight-line expense attribution policy for the recognition of compensation cost. Actual forfeitures with respect to the 2021, 2020, and 2019 grants were considered immaterial in the recognition of compensation cost.</w:t>
      </w:r>
    </w:p>
    <w:p w:rsidR="00000000" w:rsidRDefault="005B0BC3">
      <w:pPr>
        <w:jc w:val="both"/>
        <w:divId w:val="2074695318"/>
        <w:rPr>
          <w:rFonts w:eastAsia="Times New Roman"/>
        </w:rPr>
      </w:pPr>
      <w:r>
        <w:rPr>
          <w:rFonts w:eastAsia="Times New Roman"/>
          <w:b/>
          <w:bCs/>
          <w:i/>
          <w:iCs/>
          <w:color w:val="000000"/>
          <w:sz w:val="20"/>
          <w:szCs w:val="20"/>
        </w:rPr>
        <w:t>Annual Awards</w:t>
      </w:r>
    </w:p>
    <w:p w:rsidR="00000000" w:rsidRDefault="005B0BC3">
      <w:pPr>
        <w:divId w:val="1711413550"/>
        <w:rPr>
          <w:rFonts w:eastAsia="Times New Roman"/>
        </w:rPr>
      </w:pPr>
      <w:r>
        <w:rPr>
          <w:rFonts w:eastAsia="Times New Roman"/>
          <w:color w:val="000000"/>
          <w:sz w:val="20"/>
          <w:szCs w:val="20"/>
        </w:rPr>
        <w:t>E</w:t>
      </w:r>
      <w:r>
        <w:rPr>
          <w:rFonts w:eastAsia="Times New Roman"/>
          <w:color w:val="000000"/>
          <w:sz w:val="20"/>
          <w:szCs w:val="20"/>
        </w:rPr>
        <w:t>ach year, the Compensation Committee of the Holdings’ Board of Directors approves an equity-based award program with awards under the program granted at its regularly scheduled meeting in February. Annual awards under Holdings’ equity programs for 2021, 20</w:t>
      </w:r>
      <w:r>
        <w:rPr>
          <w:rFonts w:eastAsia="Times New Roman"/>
          <w:color w:val="000000"/>
          <w:sz w:val="20"/>
          <w:szCs w:val="20"/>
        </w:rPr>
        <w:t>20 and 2019 consisted of a mix of equity vehicles including Holdings RSUs, Holdings stock options and Holdings performance shares. If Holdings pays any ordinary dividend in cash, all outstanding Holdings RSUs and performance shares will accrue dividend equ</w:t>
      </w:r>
      <w:r>
        <w:rPr>
          <w:rFonts w:eastAsia="Times New Roman"/>
          <w:color w:val="000000"/>
          <w:sz w:val="20"/>
          <w:szCs w:val="20"/>
        </w:rPr>
        <w:t>ivalents in the form of additional Holdings RSUs or performance shares to be settled or forfeited consistent with the terms of the related award.</w:t>
      </w:r>
    </w:p>
    <w:p w:rsidR="00000000" w:rsidRDefault="005B0BC3">
      <w:pPr>
        <w:jc w:val="both"/>
        <w:divId w:val="181166587"/>
        <w:rPr>
          <w:rFonts w:eastAsia="Times New Roman"/>
        </w:rPr>
      </w:pPr>
      <w:r>
        <w:rPr>
          <w:rFonts w:eastAsia="Times New Roman"/>
          <w:color w:val="000000"/>
          <w:sz w:val="20"/>
          <w:szCs w:val="20"/>
          <w:u w:val="single"/>
        </w:rPr>
        <w:t>Holdings RSUs</w:t>
      </w:r>
    </w:p>
    <w:p w:rsidR="00000000" w:rsidRDefault="005B0BC3">
      <w:pPr>
        <w:divId w:val="1986202631"/>
        <w:rPr>
          <w:rFonts w:eastAsia="Times New Roman"/>
        </w:rPr>
      </w:pPr>
      <w:r>
        <w:rPr>
          <w:rFonts w:eastAsia="Times New Roman"/>
          <w:color w:val="000000"/>
          <w:sz w:val="20"/>
          <w:szCs w:val="20"/>
        </w:rPr>
        <w:t>Holdings RSUs granted to R&amp;P employees under an annual program vest ratably in equal annual inst</w:t>
      </w:r>
      <w:r>
        <w:rPr>
          <w:rFonts w:eastAsia="Times New Roman"/>
          <w:color w:val="000000"/>
          <w:sz w:val="20"/>
          <w:szCs w:val="20"/>
        </w:rPr>
        <w:t>allments over a three-year period. The fair value of the awards was measured using the closing price of the Holdings share on the grant date, and the resulting compensation expense will be recognized over the shorter of the vesting term or the period up to</w:t>
      </w:r>
      <w:r>
        <w:rPr>
          <w:rFonts w:eastAsia="Times New Roman"/>
          <w:color w:val="000000"/>
          <w:sz w:val="20"/>
          <w:szCs w:val="20"/>
        </w:rPr>
        <w:t xml:space="preserve"> the date at which the participant becomes retirement eligible, but not less than one year. </w:t>
      </w:r>
    </w:p>
    <w:p w:rsidR="00000000" w:rsidRDefault="005B0BC3">
      <w:pPr>
        <w:divId w:val="2014184256"/>
        <w:rPr>
          <w:rFonts w:eastAsia="Times New Roman"/>
        </w:rPr>
      </w:pPr>
      <w:r>
        <w:rPr>
          <w:rFonts w:eastAsia="Times New Roman"/>
          <w:color w:val="000000"/>
          <w:sz w:val="20"/>
          <w:szCs w:val="20"/>
        </w:rPr>
        <w:t>Under the 2020 equity program, eligible R&amp;P financial professionals were granted stock-settled Holdings RSUs which vest ratably in equal annual installments over a</w:t>
      </w:r>
      <w:r>
        <w:rPr>
          <w:rFonts w:eastAsia="Times New Roman"/>
          <w:color w:val="000000"/>
          <w:sz w:val="20"/>
          <w:szCs w:val="20"/>
        </w:rPr>
        <w:t xml:space="preserve"> three-year period and are equity-classified. The fair value of these awards was measured using the closing price of the Holdings share on the grant date, and the resulting compensation </w:t>
      </w:r>
    </w:p>
    <w:p w:rsidR="00000000" w:rsidRDefault="005B0BC3">
      <w:pPr>
        <w:jc w:val="center"/>
        <w:divId w:val="730006122"/>
        <w:rPr>
          <w:rFonts w:eastAsia="Times New Roman"/>
        </w:rPr>
      </w:pPr>
      <w:r>
        <w:rPr>
          <w:rFonts w:eastAsia="Times New Roman"/>
          <w:color w:val="000000"/>
          <w:sz w:val="20"/>
          <w:szCs w:val="20"/>
        </w:rPr>
        <w:t>212</w:t>
      </w:r>
    </w:p>
    <w:p w:rsidR="00000000" w:rsidRDefault="005B0BC3">
      <w:pPr>
        <w:rPr>
          <w:rFonts w:eastAsia="Times New Roman"/>
        </w:rPr>
      </w:pPr>
      <w:r>
        <w:rPr>
          <w:rFonts w:eastAsia="Times New Roman"/>
        </w:rPr>
        <w:pict>
          <v:rect id="_x0000_i1250" style="width:0;height:1.5pt" o:hralign="center" o:hrstd="t" o:hr="t" fillcolor="#a0a0a0" stroked="f"/>
        </w:pict>
      </w:r>
    </w:p>
    <w:p w:rsidR="00000000" w:rsidRDefault="005B0BC3">
      <w:pPr>
        <w:jc w:val="center"/>
        <w:divId w:val="1322150073"/>
        <w:rPr>
          <w:rFonts w:eastAsia="Times New Roman"/>
        </w:rPr>
      </w:pPr>
      <w:r>
        <w:rPr>
          <w:rFonts w:eastAsia="Times New Roman"/>
          <w:b/>
          <w:bCs/>
          <w:color w:val="000000"/>
          <w:sz w:val="20"/>
          <w:szCs w:val="20"/>
        </w:rPr>
        <w:t>EQUITABLE HOLDINGS, INC.</w:t>
      </w:r>
    </w:p>
    <w:p w:rsidR="00000000" w:rsidRDefault="005B0BC3">
      <w:pPr>
        <w:jc w:val="center"/>
        <w:divId w:val="1322150073"/>
        <w:rPr>
          <w:rFonts w:eastAsia="Times New Roman"/>
        </w:rPr>
      </w:pPr>
      <w:r>
        <w:rPr>
          <w:rFonts w:eastAsia="Times New Roman"/>
          <w:b/>
          <w:bCs/>
          <w:color w:val="000000"/>
          <w:sz w:val="20"/>
          <w:szCs w:val="20"/>
        </w:rPr>
        <w:t>NOT</w:t>
      </w:r>
      <w:r>
        <w:rPr>
          <w:rFonts w:eastAsia="Times New Roman"/>
          <w:b/>
          <w:bCs/>
          <w:color w:val="000000"/>
          <w:sz w:val="20"/>
          <w:szCs w:val="20"/>
        </w:rPr>
        <w:t>ES TO CONSOLIDATED FINANCIAL STATEMENTS, continued</w:t>
      </w:r>
    </w:p>
    <w:p w:rsidR="00000000" w:rsidRDefault="005B0BC3">
      <w:pPr>
        <w:divId w:val="733040712"/>
        <w:rPr>
          <w:rFonts w:eastAsia="Times New Roman"/>
        </w:rPr>
      </w:pPr>
      <w:r>
        <w:rPr>
          <w:rFonts w:eastAsia="Times New Roman"/>
          <w:color w:val="000000"/>
          <w:sz w:val="20"/>
          <w:szCs w:val="20"/>
        </w:rPr>
        <w:t xml:space="preserve">expense will be recognized over the shorter of the vesting term or the period up to the date at which the participant becomes retirement eligible, but not less than one year. </w:t>
      </w:r>
    </w:p>
    <w:p w:rsidR="00000000" w:rsidRDefault="005B0BC3">
      <w:pPr>
        <w:divId w:val="1959096493"/>
        <w:rPr>
          <w:rFonts w:eastAsia="Times New Roman"/>
        </w:rPr>
      </w:pPr>
      <w:r>
        <w:rPr>
          <w:rFonts w:eastAsia="Times New Roman"/>
          <w:color w:val="000000"/>
          <w:sz w:val="20"/>
          <w:szCs w:val="20"/>
        </w:rPr>
        <w:t>Under the 2019 and 2018 equit</w:t>
      </w:r>
      <w:r>
        <w:rPr>
          <w:rFonts w:eastAsia="Times New Roman"/>
          <w:color w:val="000000"/>
          <w:sz w:val="20"/>
          <w:szCs w:val="20"/>
        </w:rPr>
        <w:t xml:space="preserve">y programs, R&amp;P financial professionals were granted cash-settled Holdings RSUs which vest ratably in equal installments over a three-year period. The cash payment for each RSU will equal the average closing price for a Holdings share on the NYSE over the </w:t>
      </w:r>
      <w:r>
        <w:rPr>
          <w:rFonts w:eastAsia="Times New Roman"/>
          <w:color w:val="000000"/>
          <w:sz w:val="20"/>
          <w:szCs w:val="20"/>
        </w:rPr>
        <w:t xml:space="preserve">20 trading days immediately preceding the vesting date. These awards are liability-classified and require fair value remeasurement based upon the price of a Holdings share at the close of each reporting period. </w:t>
      </w:r>
    </w:p>
    <w:p w:rsidR="00000000" w:rsidRDefault="005B0BC3">
      <w:pPr>
        <w:jc w:val="both"/>
        <w:divId w:val="1061439459"/>
        <w:rPr>
          <w:rFonts w:eastAsia="Times New Roman"/>
        </w:rPr>
      </w:pPr>
      <w:r>
        <w:rPr>
          <w:rFonts w:eastAsia="Times New Roman"/>
          <w:color w:val="000000"/>
          <w:sz w:val="20"/>
          <w:szCs w:val="20"/>
          <w:u w:val="single"/>
        </w:rPr>
        <w:t>Holdings Stock Options</w:t>
      </w:r>
    </w:p>
    <w:p w:rsidR="00000000" w:rsidRDefault="005B0BC3">
      <w:pPr>
        <w:divId w:val="1951205150"/>
        <w:rPr>
          <w:rFonts w:eastAsia="Times New Roman"/>
        </w:rPr>
      </w:pPr>
      <w:r>
        <w:rPr>
          <w:rFonts w:eastAsia="Times New Roman"/>
          <w:color w:val="000000"/>
          <w:sz w:val="20"/>
          <w:szCs w:val="20"/>
        </w:rPr>
        <w:t>Holdings stock option</w:t>
      </w:r>
      <w:r>
        <w:rPr>
          <w:rFonts w:eastAsia="Times New Roman"/>
          <w:color w:val="000000"/>
          <w:sz w:val="20"/>
          <w:szCs w:val="20"/>
        </w:rPr>
        <w:t xml:space="preserve">s granted to R&amp;P employees have a three-year graded vesting schedule, with one-third vesting on each of the three anniversaries. The total grant date fair value of Holdings stock options will be charged to expense over the shorter of the vesting period or </w:t>
      </w:r>
      <w:r>
        <w:rPr>
          <w:rFonts w:eastAsia="Times New Roman"/>
          <w:color w:val="000000"/>
          <w:sz w:val="20"/>
          <w:szCs w:val="20"/>
        </w:rPr>
        <w:t xml:space="preserve">the period up to the date at which the participant becomes retirement eligible, but not less than one year. </w:t>
      </w:r>
    </w:p>
    <w:p w:rsidR="00000000" w:rsidRDefault="005B0BC3">
      <w:pPr>
        <w:jc w:val="both"/>
        <w:divId w:val="186141177"/>
        <w:rPr>
          <w:rFonts w:eastAsia="Times New Roman"/>
        </w:rPr>
      </w:pPr>
      <w:r>
        <w:rPr>
          <w:rFonts w:eastAsia="Times New Roman"/>
          <w:color w:val="000000"/>
          <w:sz w:val="20"/>
          <w:szCs w:val="20"/>
          <w:u w:val="single"/>
        </w:rPr>
        <w:t>Holdings Performance Shares</w:t>
      </w:r>
    </w:p>
    <w:p w:rsidR="00000000" w:rsidRDefault="005B0BC3">
      <w:pPr>
        <w:divId w:val="1682852487"/>
        <w:rPr>
          <w:rFonts w:eastAsia="Times New Roman"/>
        </w:rPr>
      </w:pPr>
      <w:r>
        <w:rPr>
          <w:rFonts w:eastAsia="Times New Roman"/>
          <w:color w:val="000000"/>
          <w:sz w:val="20"/>
          <w:szCs w:val="20"/>
        </w:rPr>
        <w:t>Holdings performance shares granted to R&amp;</w:t>
      </w:r>
      <w:r>
        <w:rPr>
          <w:rFonts w:eastAsia="Times New Roman"/>
          <w:color w:val="000000"/>
          <w:sz w:val="20"/>
          <w:szCs w:val="20"/>
        </w:rPr>
        <w:t>P employees are subject to performance conditions and a three-year cliff-vesting. The performance shares consist of two distinct tranches; one based on the Company’s return-on-equity targets (the “ROE Performance Shares”) and the other based on the Holding</w:t>
      </w:r>
      <w:r>
        <w:rPr>
          <w:rFonts w:eastAsia="Times New Roman"/>
          <w:color w:val="000000"/>
          <w:sz w:val="20"/>
          <w:szCs w:val="20"/>
        </w:rPr>
        <w:t>s’ relative total shareholder return targets (the “TSR Performance Shares”), each comprising approximately one-half of the award. Participants may receive from 0% to 200% of the unearned performance shares granted. The grant-date fair value of the ROE Perf</w:t>
      </w:r>
      <w:r>
        <w:rPr>
          <w:rFonts w:eastAsia="Times New Roman"/>
          <w:color w:val="000000"/>
          <w:sz w:val="20"/>
          <w:szCs w:val="20"/>
        </w:rPr>
        <w:t>ormance Shares is established once all applicable Non-GAAP ROE targets are determined and approved. The fair value of the awards was measured using the closing price of the Holdings share on the grant date.</w:t>
      </w:r>
    </w:p>
    <w:p w:rsidR="00000000" w:rsidRDefault="005B0BC3">
      <w:pPr>
        <w:divId w:val="1057775320"/>
        <w:rPr>
          <w:rFonts w:eastAsia="Times New Roman"/>
        </w:rPr>
      </w:pPr>
      <w:r>
        <w:rPr>
          <w:rFonts w:eastAsia="Times New Roman"/>
          <w:color w:val="000000"/>
          <w:sz w:val="20"/>
          <w:szCs w:val="20"/>
        </w:rPr>
        <w:t xml:space="preserve">The grant-date fair value of the TSR Performance </w:t>
      </w:r>
      <w:r>
        <w:rPr>
          <w:rFonts w:eastAsia="Times New Roman"/>
          <w:color w:val="000000"/>
          <w:sz w:val="20"/>
          <w:szCs w:val="20"/>
        </w:rPr>
        <w:t>Shares was measured using a Monte Carlo approach. Under the Monte Carlo approach, stock returns were simulated for Holdings and the selected peer companies to estimate the payout percentages established by the conditions of the award. The aggregate grant-d</w:t>
      </w:r>
      <w:r>
        <w:rPr>
          <w:rFonts w:eastAsia="Times New Roman"/>
          <w:color w:val="000000"/>
          <w:sz w:val="20"/>
          <w:szCs w:val="20"/>
        </w:rPr>
        <w:t xml:space="preserve">ate fair value of the unearned TSR Performance Shares will be recognized as compensation expense over the shorter of the cliff-vesting period or the period up to the date at which the participant becomes retirement eligible, but not less than one year. </w:t>
      </w:r>
    </w:p>
    <w:p w:rsidR="00000000" w:rsidRDefault="005B0BC3">
      <w:pPr>
        <w:jc w:val="both"/>
        <w:divId w:val="961183680"/>
        <w:rPr>
          <w:rFonts w:eastAsia="Times New Roman"/>
        </w:rPr>
      </w:pPr>
      <w:r>
        <w:rPr>
          <w:rFonts w:eastAsia="Times New Roman"/>
          <w:b/>
          <w:bCs/>
          <w:i/>
          <w:iCs/>
          <w:color w:val="000000"/>
          <w:sz w:val="20"/>
          <w:szCs w:val="20"/>
        </w:rPr>
        <w:t>Di</w:t>
      </w:r>
      <w:r>
        <w:rPr>
          <w:rFonts w:eastAsia="Times New Roman"/>
          <w:b/>
          <w:bCs/>
          <w:i/>
          <w:iCs/>
          <w:color w:val="000000"/>
          <w:sz w:val="20"/>
          <w:szCs w:val="20"/>
        </w:rPr>
        <w:t>rector Awards</w:t>
      </w:r>
    </w:p>
    <w:p w:rsidR="00000000" w:rsidRDefault="005B0BC3">
      <w:pPr>
        <w:divId w:val="131487434"/>
        <w:rPr>
          <w:rFonts w:eastAsia="Times New Roman"/>
        </w:rPr>
      </w:pPr>
      <w:r>
        <w:rPr>
          <w:rFonts w:eastAsia="Times New Roman"/>
          <w:color w:val="000000"/>
          <w:sz w:val="20"/>
          <w:szCs w:val="20"/>
        </w:rPr>
        <w:t>Holdings makes annual grants of unrestricted Holdings shares to non-employee directors of Holdings, Equitable Financial and Equitable America. The fair value of these awards was measured using the closing price of Holdings shares on the grant</w:t>
      </w:r>
      <w:r>
        <w:rPr>
          <w:rFonts w:eastAsia="Times New Roman"/>
          <w:color w:val="000000"/>
          <w:sz w:val="20"/>
          <w:szCs w:val="20"/>
        </w:rPr>
        <w:t xml:space="preserve"> date. These awards immediately vest and all compensation expense is recognized at the grant date.</w:t>
      </w:r>
    </w:p>
    <w:p w:rsidR="00000000" w:rsidRDefault="005B0BC3">
      <w:pPr>
        <w:jc w:val="both"/>
        <w:divId w:val="520514822"/>
        <w:rPr>
          <w:rFonts w:eastAsia="Times New Roman"/>
        </w:rPr>
      </w:pPr>
      <w:r>
        <w:rPr>
          <w:rFonts w:eastAsia="Times New Roman"/>
          <w:b/>
          <w:bCs/>
          <w:i/>
          <w:iCs/>
          <w:color w:val="000000"/>
          <w:sz w:val="20"/>
          <w:szCs w:val="20"/>
        </w:rPr>
        <w:t>One-Time Awards Granted in 2018</w:t>
      </w:r>
    </w:p>
    <w:p w:rsidR="00000000" w:rsidRDefault="005B0BC3">
      <w:pPr>
        <w:jc w:val="both"/>
        <w:divId w:val="457575864"/>
        <w:rPr>
          <w:rFonts w:eastAsia="Times New Roman"/>
        </w:rPr>
      </w:pPr>
      <w:r>
        <w:rPr>
          <w:rFonts w:eastAsia="Times New Roman"/>
          <w:color w:val="000000"/>
          <w:sz w:val="20"/>
          <w:szCs w:val="20"/>
          <w:u w:val="single"/>
        </w:rPr>
        <w:t>Transaction Incentive Awards</w:t>
      </w:r>
    </w:p>
    <w:p w:rsidR="00000000" w:rsidRDefault="005B0BC3">
      <w:pPr>
        <w:divId w:val="1518614423"/>
        <w:rPr>
          <w:rFonts w:eastAsia="Times New Roman"/>
        </w:rPr>
      </w:pPr>
      <w:r>
        <w:rPr>
          <w:rFonts w:eastAsia="Times New Roman"/>
          <w:color w:val="000000"/>
          <w:sz w:val="20"/>
          <w:szCs w:val="20"/>
        </w:rPr>
        <w:t>On May 9, 2018, coincident with the IPO, Holdings granted one-time “Transaction Incentive Awards</w:t>
      </w:r>
      <w:r>
        <w:rPr>
          <w:rFonts w:eastAsia="Times New Roman"/>
          <w:color w:val="000000"/>
          <w:sz w:val="20"/>
          <w:szCs w:val="20"/>
        </w:rPr>
        <w:t xml:space="preserve">” to executive officers and certain other R&amp;P employees in the form of 722 thousand Holdings RSUs. Fifty percent of the Holdings RSUs vested based on service over the two-year period from the IPO date (the “Service Units”), and fifty percent vest based on </w:t>
      </w:r>
      <w:r>
        <w:rPr>
          <w:rFonts w:eastAsia="Times New Roman"/>
          <w:color w:val="000000"/>
          <w:sz w:val="20"/>
          <w:szCs w:val="20"/>
        </w:rPr>
        <w:t>service or market condition (the “Performance Units”). The market condition is based on share price growth of at least 130% or 150% within a</w:t>
      </w:r>
      <w:r>
        <w:rPr>
          <w:rFonts w:eastAsia="Times New Roman"/>
          <w:color w:val="000000"/>
          <w:sz w:val="20"/>
          <w:szCs w:val="20"/>
        </w:rPr>
        <w:t xml:space="preserve"> </w:t>
      </w:r>
      <w:r>
        <w:rPr>
          <w:rFonts w:eastAsia="Times New Roman"/>
          <w:color w:val="000000"/>
          <w:sz w:val="20"/>
          <w:szCs w:val="20"/>
        </w:rPr>
        <w:t>tw</w:t>
      </w:r>
      <w:r>
        <w:rPr>
          <w:rFonts w:eastAsia="Times New Roman"/>
          <w:color w:val="000000"/>
          <w:sz w:val="20"/>
          <w:szCs w:val="20"/>
        </w:rPr>
        <w:t>o</w:t>
      </w:r>
      <w:r>
        <w:rPr>
          <w:rFonts w:eastAsia="Times New Roman"/>
          <w:color w:val="000000"/>
          <w:sz w:val="20"/>
          <w:szCs w:val="20"/>
        </w:rPr>
        <w:t xml:space="preserve"> or five-year period, respectively. The market condition was achieved during 2021 and the RSUs fully vesting dur</w:t>
      </w:r>
      <w:r>
        <w:rPr>
          <w:rFonts w:eastAsia="Times New Roman"/>
          <w:color w:val="000000"/>
          <w:sz w:val="20"/>
          <w:szCs w:val="20"/>
        </w:rPr>
        <w:t xml:space="preserve">ing this period. </w:t>
      </w:r>
    </w:p>
    <w:p w:rsidR="00000000" w:rsidRDefault="005B0BC3">
      <w:pPr>
        <w:jc w:val="both"/>
        <w:divId w:val="831681749"/>
        <w:rPr>
          <w:rFonts w:eastAsia="Times New Roman"/>
        </w:rPr>
      </w:pPr>
      <w:r>
        <w:rPr>
          <w:rFonts w:eastAsia="Times New Roman"/>
          <w:b/>
          <w:bCs/>
          <w:i/>
          <w:iCs/>
          <w:color w:val="000000"/>
          <w:sz w:val="20"/>
          <w:szCs w:val="20"/>
        </w:rPr>
        <w:t xml:space="preserve">Prior Equity Award Grants </w:t>
      </w:r>
    </w:p>
    <w:p w:rsidR="00000000" w:rsidRDefault="005B0BC3">
      <w:pPr>
        <w:divId w:val="859508092"/>
        <w:rPr>
          <w:rFonts w:eastAsia="Times New Roman"/>
        </w:rPr>
      </w:pPr>
      <w:r>
        <w:rPr>
          <w:rFonts w:eastAsia="Times New Roman"/>
          <w:color w:val="000000"/>
          <w:sz w:val="20"/>
          <w:szCs w:val="20"/>
        </w:rPr>
        <w:t>In 2017 and prior years, equity awards for employees, financial professional and directors in our R&amp;P businesses were available under the umbrella of AXA’s global equity program. Accordingly, equity awards grant</w:t>
      </w:r>
      <w:r>
        <w:rPr>
          <w:rFonts w:eastAsia="Times New Roman"/>
          <w:color w:val="000000"/>
          <w:sz w:val="20"/>
          <w:szCs w:val="20"/>
        </w:rPr>
        <w:t>ed in 2017 and prior years were linked to AXA’s stock.</w:t>
      </w:r>
    </w:p>
    <w:p w:rsidR="00000000" w:rsidRDefault="005B0BC3">
      <w:pPr>
        <w:divId w:val="1551577731"/>
        <w:rPr>
          <w:rFonts w:eastAsia="Times New Roman"/>
        </w:rPr>
      </w:pPr>
      <w:r>
        <w:rPr>
          <w:rFonts w:eastAsia="Times New Roman"/>
          <w:color w:val="000000"/>
          <w:sz w:val="20"/>
          <w:szCs w:val="20"/>
        </w:rPr>
        <w:t>R&amp;</w:t>
      </w:r>
      <w:r>
        <w:rPr>
          <w:rFonts w:eastAsia="Times New Roman"/>
          <w:color w:val="000000"/>
          <w:sz w:val="20"/>
          <w:szCs w:val="20"/>
        </w:rPr>
        <w:t>P employees were granted AXA ordinary share options under the Stock Option Plan, AXA performance shares under the Performance Share Plan and R&amp;P financial professionals were granted performance units under the AXA Advisors Performance Unit Plan.</w:t>
      </w:r>
    </w:p>
    <w:p w:rsidR="00000000" w:rsidRDefault="005B0BC3">
      <w:pPr>
        <w:divId w:val="1701586854"/>
        <w:rPr>
          <w:rFonts w:eastAsia="Times New Roman"/>
        </w:rPr>
      </w:pPr>
      <w:r>
        <w:rPr>
          <w:rFonts w:eastAsia="Times New Roman"/>
          <w:color w:val="000000"/>
          <w:sz w:val="20"/>
          <w:szCs w:val="20"/>
        </w:rPr>
        <w:t>The fair v</w:t>
      </w:r>
      <w:r>
        <w:rPr>
          <w:rFonts w:eastAsia="Times New Roman"/>
          <w:color w:val="000000"/>
          <w:sz w:val="20"/>
          <w:szCs w:val="20"/>
        </w:rPr>
        <w:t>alues of these prior awards are measured at the grant date by reference to the closing price of the AXA ordinary share, and the result, as adjusted for achievement of performance targets and pre-vesting forfeitures, generally is attributed over the shorter</w:t>
      </w:r>
      <w:r>
        <w:rPr>
          <w:rFonts w:eastAsia="Times New Roman"/>
          <w:color w:val="000000"/>
          <w:sz w:val="20"/>
          <w:szCs w:val="20"/>
        </w:rPr>
        <w:t xml:space="preserve"> of the requisite service period, the performance period, if any, or to the date at which </w:t>
      </w:r>
    </w:p>
    <w:p w:rsidR="00000000" w:rsidRDefault="005B0BC3">
      <w:pPr>
        <w:jc w:val="center"/>
        <w:divId w:val="645084988"/>
        <w:rPr>
          <w:rFonts w:eastAsia="Times New Roman"/>
        </w:rPr>
      </w:pPr>
      <w:r>
        <w:rPr>
          <w:rFonts w:eastAsia="Times New Roman"/>
          <w:color w:val="000000"/>
          <w:sz w:val="20"/>
          <w:szCs w:val="20"/>
        </w:rPr>
        <w:t>213</w:t>
      </w:r>
    </w:p>
    <w:p w:rsidR="00000000" w:rsidRDefault="005B0BC3">
      <w:pPr>
        <w:rPr>
          <w:rFonts w:eastAsia="Times New Roman"/>
        </w:rPr>
      </w:pPr>
      <w:r>
        <w:rPr>
          <w:rFonts w:eastAsia="Times New Roman"/>
        </w:rPr>
        <w:pict>
          <v:rect id="_x0000_i1251" style="width:0;height:1.5pt" o:hralign="center" o:hrstd="t" o:hr="t" fillcolor="#a0a0a0" stroked="f"/>
        </w:pict>
      </w:r>
    </w:p>
    <w:p w:rsidR="00000000" w:rsidRDefault="005B0BC3">
      <w:pPr>
        <w:jc w:val="center"/>
        <w:divId w:val="49112013"/>
        <w:rPr>
          <w:rFonts w:eastAsia="Times New Roman"/>
        </w:rPr>
      </w:pPr>
      <w:r>
        <w:rPr>
          <w:rFonts w:eastAsia="Times New Roman"/>
          <w:b/>
          <w:bCs/>
          <w:color w:val="000000"/>
          <w:sz w:val="20"/>
          <w:szCs w:val="20"/>
        </w:rPr>
        <w:t>EQUITABLE HOLDINGS, INC.</w:t>
      </w:r>
    </w:p>
    <w:p w:rsidR="00000000" w:rsidRDefault="005B0BC3">
      <w:pPr>
        <w:jc w:val="center"/>
        <w:divId w:val="49112013"/>
        <w:rPr>
          <w:rFonts w:eastAsia="Times New Roman"/>
        </w:rPr>
      </w:pPr>
      <w:r>
        <w:rPr>
          <w:rFonts w:eastAsia="Times New Roman"/>
          <w:b/>
          <w:bCs/>
          <w:color w:val="000000"/>
          <w:sz w:val="20"/>
          <w:szCs w:val="20"/>
        </w:rPr>
        <w:t>NOTES TO CONSOLIDATED FINANCIAL STATEMENTS, continued</w:t>
      </w:r>
    </w:p>
    <w:p w:rsidR="00000000" w:rsidRDefault="005B0BC3">
      <w:pPr>
        <w:divId w:val="1645769890"/>
        <w:rPr>
          <w:rFonts w:eastAsia="Times New Roman"/>
        </w:rPr>
      </w:pPr>
      <w:r>
        <w:rPr>
          <w:rFonts w:eastAsia="Times New Roman"/>
          <w:color w:val="000000"/>
          <w:sz w:val="20"/>
          <w:szCs w:val="20"/>
        </w:rPr>
        <w:t>retirement eligibility is achieved and subseq</w:t>
      </w:r>
      <w:r>
        <w:rPr>
          <w:rFonts w:eastAsia="Times New Roman"/>
          <w:color w:val="000000"/>
          <w:sz w:val="20"/>
          <w:szCs w:val="20"/>
        </w:rPr>
        <w:t>uent service no longer is required for continued vesting of the award. Remeasurements of fair value for subsequent price changes until settlement are made only for performance unit awards that are settled in cash.</w:t>
      </w:r>
    </w:p>
    <w:p w:rsidR="00000000" w:rsidRDefault="005B0BC3">
      <w:pPr>
        <w:divId w:val="210658668"/>
        <w:rPr>
          <w:rFonts w:eastAsia="Times New Roman"/>
        </w:rPr>
      </w:pPr>
      <w:r>
        <w:rPr>
          <w:rFonts w:eastAsia="Times New Roman"/>
          <w:color w:val="000000"/>
          <w:sz w:val="20"/>
          <w:szCs w:val="20"/>
          <w:u w:val="single"/>
        </w:rPr>
        <w:t>Investment Management and Research</w:t>
      </w:r>
    </w:p>
    <w:p w:rsidR="00000000" w:rsidRDefault="005B0BC3">
      <w:pPr>
        <w:divId w:val="80572141"/>
        <w:rPr>
          <w:rFonts w:eastAsia="Times New Roman"/>
        </w:rPr>
      </w:pPr>
      <w:r>
        <w:rPr>
          <w:rFonts w:eastAsia="Times New Roman"/>
          <w:color w:val="000000"/>
          <w:sz w:val="20"/>
          <w:szCs w:val="20"/>
        </w:rPr>
        <w:t>Employe</w:t>
      </w:r>
      <w:r>
        <w:rPr>
          <w:rFonts w:eastAsia="Times New Roman"/>
          <w:color w:val="000000"/>
          <w:sz w:val="20"/>
          <w:szCs w:val="20"/>
        </w:rPr>
        <w:t>es and directors in our Investment Management and Research business participate in several unfunded long-term incentive compensation plans maintained by AB. Awards under these plans are linked to AB Holding Units.</w:t>
      </w:r>
    </w:p>
    <w:p w:rsidR="00000000" w:rsidRDefault="005B0BC3">
      <w:pPr>
        <w:divId w:val="477386252"/>
        <w:rPr>
          <w:rFonts w:eastAsia="Times New Roman"/>
        </w:rPr>
      </w:pPr>
      <w:r>
        <w:rPr>
          <w:rFonts w:eastAsia="Times New Roman"/>
          <w:color w:val="000000"/>
          <w:sz w:val="20"/>
          <w:szCs w:val="20"/>
        </w:rPr>
        <w:t>Under the AB 2017 Long Term Incentive Plan</w:t>
      </w:r>
      <w:r>
        <w:rPr>
          <w:rFonts w:eastAsia="Times New Roman"/>
          <w:color w:val="000000"/>
          <w:sz w:val="20"/>
          <w:szCs w:val="20"/>
        </w:rPr>
        <w:t xml:space="preserve"> (“2017 Plan”), which was adopted at a special meeting of AB Holding Unit holders held on September 29, 2017, the following forms of awards may be granted to AB employees and Directors: (i) restricted AB Holding Units or phantom restricted AB Holding Units</w:t>
      </w:r>
      <w:r>
        <w:rPr>
          <w:rFonts w:eastAsia="Times New Roman"/>
          <w:color w:val="000000"/>
          <w:sz w:val="20"/>
          <w:szCs w:val="20"/>
        </w:rPr>
        <w:t xml:space="preserve"> (a “phantom” award is a contractual right to receive AB Holding Units at a later date or upon a specified event); (ii) options to buy AB Holding Units; and (iii) other AB Holding Unit-based awards (including, without limitation, AB Holding Unit appreciati</w:t>
      </w:r>
      <w:r>
        <w:rPr>
          <w:rFonts w:eastAsia="Times New Roman"/>
          <w:color w:val="000000"/>
          <w:sz w:val="20"/>
          <w:szCs w:val="20"/>
        </w:rPr>
        <w:t>on rights and performance awards). The 2017 Plan will expire on September 30, 2027, and no awards under the 2017 Plan will be made after that date. Under the 2017 Plan, the aggregate number of AB Holding Units with respect to which awards may be granted is</w:t>
      </w:r>
      <w:r>
        <w:rPr>
          <w:rFonts w:eastAsia="Times New Roman"/>
          <w:color w:val="000000"/>
          <w:sz w:val="20"/>
          <w:szCs w:val="20"/>
        </w:rPr>
        <w:t xml:space="preserve"> 60 million, including no more than 30 million newly-issued AB Holding Units.</w:t>
      </w:r>
    </w:p>
    <w:p w:rsidR="00000000" w:rsidRDefault="005B0BC3">
      <w:pPr>
        <w:divId w:val="1019552904"/>
        <w:rPr>
          <w:rFonts w:eastAsia="Times New Roman"/>
        </w:rPr>
      </w:pPr>
      <w:r>
        <w:rPr>
          <w:rFonts w:eastAsia="Times New Roman"/>
          <w:color w:val="000000"/>
          <w:sz w:val="20"/>
          <w:szCs w:val="20"/>
        </w:rPr>
        <w:t>AB engages in open-market purchases of AB Holding Units to help fund anticipated obligations under its long-term incentive compensation plans and for other corporate purposes. Du</w:t>
      </w:r>
      <w:r>
        <w:rPr>
          <w:rFonts w:eastAsia="Times New Roman"/>
          <w:color w:val="000000"/>
          <w:sz w:val="20"/>
          <w:szCs w:val="20"/>
        </w:rPr>
        <w:t>ring 2021, 2020, and 2019 AB purchased 5.6 million, 5.4 million, and 6.0 million AB Holding Units for $262 million, 149 million and 173 million, respectively. These amounts reflect open-market purchases of 2.6 million, 3.1 million and 2.9 million AB Holdin</w:t>
      </w:r>
      <w:r>
        <w:rPr>
          <w:rFonts w:eastAsia="Times New Roman"/>
          <w:color w:val="000000"/>
          <w:sz w:val="20"/>
          <w:szCs w:val="20"/>
        </w:rPr>
        <w:t xml:space="preserve">g Units for $117.9 million 74.0 million and 82.7 million, respectively, with the remainder relating to purchases of AB Holding Units from AB employees to allow them to fulfill statutory tax withholding requirements at the time of distribution of long-term </w:t>
      </w:r>
      <w:r>
        <w:rPr>
          <w:rFonts w:eastAsia="Times New Roman"/>
          <w:color w:val="000000"/>
          <w:sz w:val="20"/>
          <w:szCs w:val="20"/>
        </w:rPr>
        <w:t>incentive compensation awards, offset by AB Holding Units purchased by AB employees as part of a distribution reinvestment election.</w:t>
      </w:r>
    </w:p>
    <w:p w:rsidR="00000000" w:rsidRDefault="005B0BC3">
      <w:pPr>
        <w:divId w:val="128282084"/>
        <w:rPr>
          <w:rFonts w:eastAsia="Times New Roman"/>
        </w:rPr>
      </w:pPr>
      <w:r>
        <w:rPr>
          <w:rFonts w:eastAsia="Times New Roman"/>
          <w:color w:val="000000"/>
          <w:sz w:val="20"/>
          <w:szCs w:val="20"/>
        </w:rPr>
        <w:t>During 2021, 2020, and 2019 AB granted 7.0 million, 5.7 million, and 7.7 million restricted AB Holding units to AB employee</w:t>
      </w:r>
      <w:r>
        <w:rPr>
          <w:rFonts w:eastAsia="Times New Roman"/>
          <w:color w:val="000000"/>
          <w:sz w:val="20"/>
          <w:szCs w:val="20"/>
        </w:rPr>
        <w:t xml:space="preserve">s and directors, respectively. </w:t>
      </w:r>
    </w:p>
    <w:p w:rsidR="00000000" w:rsidRDefault="005B0BC3">
      <w:pPr>
        <w:divId w:val="2047365585"/>
        <w:rPr>
          <w:rFonts w:eastAsia="Times New Roman"/>
        </w:rPr>
      </w:pPr>
      <w:r>
        <w:rPr>
          <w:rFonts w:eastAsia="Times New Roman"/>
          <w:color w:val="000000"/>
          <w:sz w:val="20"/>
          <w:szCs w:val="20"/>
        </w:rPr>
        <w:t>During 2021, 2020, and 2019 AB Holding issued 100 thousand, 5 thousand, and 500 thousand AB Holding Units, respectively, upon exercise of options to buy AB Holding Units. AB Holding used the proceeds of $3 million, 147 thous</w:t>
      </w:r>
      <w:r>
        <w:rPr>
          <w:rFonts w:eastAsia="Times New Roman"/>
          <w:color w:val="000000"/>
          <w:sz w:val="20"/>
          <w:szCs w:val="20"/>
        </w:rPr>
        <w:t>and and 12 million, respectively, received from employees as payment in cash for the exercise price to purchase the equivalent number of newly-issued AB Holding Units.</w:t>
      </w:r>
    </w:p>
    <w:p w:rsidR="00000000" w:rsidRDefault="005B0BC3">
      <w:pPr>
        <w:divId w:val="1896774027"/>
        <w:rPr>
          <w:rFonts w:eastAsia="Times New Roman"/>
        </w:rPr>
      </w:pPr>
      <w:r>
        <w:rPr>
          <w:rFonts w:eastAsia="Times New Roman"/>
          <w:color w:val="000000"/>
          <w:sz w:val="20"/>
          <w:szCs w:val="20"/>
        </w:rPr>
        <w:t>As of December 31, 2021, no options to buy AB Holding Units had been granted and 28.1 mi</w:t>
      </w:r>
      <w:r>
        <w:rPr>
          <w:rFonts w:eastAsia="Times New Roman"/>
          <w:color w:val="000000"/>
          <w:sz w:val="20"/>
          <w:szCs w:val="20"/>
        </w:rPr>
        <w:t>llion AB Holding Units, net of withholding tax requirements, were subject to other AB Holding Unit awards made under the 2017 Plan or an equity compensation plan with similar terms that was canceled in 2017. AB Holding Unit-based awards (including options)</w:t>
      </w:r>
      <w:r>
        <w:rPr>
          <w:rFonts w:eastAsia="Times New Roman"/>
          <w:color w:val="000000"/>
          <w:sz w:val="20"/>
          <w:szCs w:val="20"/>
        </w:rPr>
        <w:t xml:space="preserve"> in respect of 31.9 million AB Holding Units were available for grant as of December 31, 2021.</w:t>
      </w:r>
    </w:p>
    <w:p w:rsidR="00000000" w:rsidRDefault="005B0BC3">
      <w:pPr>
        <w:divId w:val="115218957"/>
        <w:rPr>
          <w:rFonts w:eastAsia="Times New Roman"/>
        </w:rPr>
      </w:pPr>
      <w:r>
        <w:rPr>
          <w:rFonts w:eastAsia="Times New Roman"/>
          <w:color w:val="000000"/>
          <w:sz w:val="20"/>
          <w:szCs w:val="20"/>
          <w:u w:val="single"/>
        </w:rPr>
        <w:t>Summary of Stock Option Activity</w:t>
      </w:r>
    </w:p>
    <w:p w:rsidR="00000000" w:rsidRDefault="005B0BC3">
      <w:pPr>
        <w:divId w:val="2119593403"/>
        <w:rPr>
          <w:rFonts w:eastAsia="Times New Roman"/>
        </w:rPr>
      </w:pPr>
      <w:r>
        <w:rPr>
          <w:rFonts w:eastAsia="Times New Roman"/>
          <w:color w:val="000000"/>
          <w:sz w:val="20"/>
          <w:szCs w:val="20"/>
        </w:rPr>
        <w:t>A summary of activity in the AXA and Holdings option plans during 2021 as follows:</w:t>
      </w:r>
    </w:p>
    <w:p w:rsidR="00000000" w:rsidRDefault="005B0BC3">
      <w:pPr>
        <w:jc w:val="center"/>
        <w:divId w:val="1320188457"/>
        <w:rPr>
          <w:rFonts w:eastAsia="Times New Roman"/>
        </w:rPr>
      </w:pPr>
      <w:r>
        <w:rPr>
          <w:rFonts w:eastAsia="Times New Roman"/>
          <w:color w:val="000000"/>
          <w:sz w:val="20"/>
          <w:szCs w:val="20"/>
        </w:rPr>
        <w:t>214</w:t>
      </w:r>
    </w:p>
    <w:p w:rsidR="00000000" w:rsidRDefault="005B0BC3">
      <w:pPr>
        <w:rPr>
          <w:rFonts w:eastAsia="Times New Roman"/>
        </w:rPr>
      </w:pPr>
      <w:r>
        <w:rPr>
          <w:rFonts w:eastAsia="Times New Roman"/>
        </w:rPr>
        <w:pict>
          <v:rect id="_x0000_i1252" style="width:0;height:1.5pt" o:hralign="center" o:hrstd="t" o:hr="t" fillcolor="#a0a0a0" stroked="f"/>
        </w:pict>
      </w:r>
    </w:p>
    <w:p w:rsidR="00000000" w:rsidRDefault="005B0BC3">
      <w:pPr>
        <w:jc w:val="center"/>
        <w:divId w:val="1970473758"/>
        <w:rPr>
          <w:rFonts w:eastAsia="Times New Roman"/>
        </w:rPr>
      </w:pPr>
      <w:r>
        <w:rPr>
          <w:rFonts w:eastAsia="Times New Roman"/>
          <w:b/>
          <w:bCs/>
          <w:color w:val="000000"/>
          <w:sz w:val="20"/>
          <w:szCs w:val="20"/>
        </w:rPr>
        <w:t>EQUITABLE HOLDINGS, INC.</w:t>
      </w:r>
    </w:p>
    <w:p w:rsidR="00000000" w:rsidRDefault="005B0BC3">
      <w:pPr>
        <w:jc w:val="center"/>
        <w:divId w:val="1970473758"/>
        <w:rPr>
          <w:rFonts w:eastAsia="Times New Roman"/>
        </w:rPr>
      </w:pPr>
      <w:r>
        <w:rPr>
          <w:rFonts w:eastAsia="Times New Roman"/>
          <w:b/>
          <w:bCs/>
          <w:color w:val="000000"/>
          <w:sz w:val="20"/>
          <w:szCs w:val="20"/>
        </w:rPr>
        <w:t>NOTES TO CONSOLIDATED FINANCIAL STATEMENTS, continued</w:t>
      </w:r>
    </w:p>
    <w:tbl>
      <w:tblPr>
        <w:tblW w:w="5000" w:type="pct"/>
        <w:tblCellMar>
          <w:top w:w="15" w:type="dxa"/>
          <w:left w:w="15" w:type="dxa"/>
          <w:bottom w:w="15" w:type="dxa"/>
          <w:right w:w="15" w:type="dxa"/>
        </w:tblCellMar>
        <w:tblLook w:val="04A0" w:firstRow="1" w:lastRow="0" w:firstColumn="1" w:lastColumn="0" w:noHBand="0" w:noVBand="1"/>
      </w:tblPr>
      <w:tblGrid>
        <w:gridCol w:w="37"/>
        <w:gridCol w:w="2249"/>
        <w:gridCol w:w="36"/>
        <w:gridCol w:w="88"/>
        <w:gridCol w:w="878"/>
        <w:gridCol w:w="36"/>
        <w:gridCol w:w="36"/>
        <w:gridCol w:w="36"/>
        <w:gridCol w:w="36"/>
        <w:gridCol w:w="111"/>
        <w:gridCol w:w="728"/>
        <w:gridCol w:w="36"/>
        <w:gridCol w:w="36"/>
        <w:gridCol w:w="36"/>
        <w:gridCol w:w="36"/>
        <w:gridCol w:w="81"/>
        <w:gridCol w:w="805"/>
        <w:gridCol w:w="36"/>
        <w:gridCol w:w="36"/>
        <w:gridCol w:w="36"/>
        <w:gridCol w:w="36"/>
        <w:gridCol w:w="110"/>
        <w:gridCol w:w="630"/>
        <w:gridCol w:w="36"/>
        <w:gridCol w:w="36"/>
        <w:gridCol w:w="36"/>
        <w:gridCol w:w="36"/>
        <w:gridCol w:w="88"/>
        <w:gridCol w:w="878"/>
        <w:gridCol w:w="36"/>
        <w:gridCol w:w="36"/>
        <w:gridCol w:w="36"/>
        <w:gridCol w:w="36"/>
        <w:gridCol w:w="63"/>
        <w:gridCol w:w="660"/>
        <w:gridCol w:w="36"/>
        <w:gridCol w:w="36"/>
        <w:gridCol w:w="36"/>
        <w:gridCol w:w="36"/>
      </w:tblGrid>
      <w:tr w:rsidR="00000000">
        <w:trPr>
          <w:divId w:val="426969354"/>
        </w:trPr>
        <w:tc>
          <w:tcPr>
            <w:tcW w:w="50" w:type="pct"/>
            <w:vAlign w:val="center"/>
            <w:hideMark/>
          </w:tcPr>
          <w:p w:rsidR="00000000" w:rsidRDefault="005B0BC3">
            <w:pPr>
              <w:jc w:val="center"/>
              <w:rPr>
                <w:rFonts w:eastAsia="Times New Roman"/>
              </w:rPr>
            </w:pPr>
          </w:p>
        </w:tc>
        <w:tc>
          <w:tcPr>
            <w:tcW w:w="139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0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0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0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0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0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0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426969354"/>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gridSpan w:val="36"/>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Options Outstanding</w:t>
            </w:r>
          </w:p>
        </w:tc>
      </w:tr>
      <w:tr w:rsidR="00000000">
        <w:trPr>
          <w:divId w:val="426969354"/>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EQH Shares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AB Holding Units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AXA Ordinary Shares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r>
      <w:tr w:rsidR="00000000">
        <w:trPr>
          <w:divId w:val="426969354"/>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Number</w:t>
            </w:r>
          </w:p>
          <w:p w:rsidR="00000000" w:rsidRDefault="005B0BC3">
            <w:pPr>
              <w:spacing w:after="100"/>
              <w:jc w:val="center"/>
              <w:rPr>
                <w:rFonts w:eastAsia="Times New Roman"/>
              </w:rPr>
            </w:pPr>
            <w:r>
              <w:rPr>
                <w:rFonts w:eastAsia="Times New Roman"/>
                <w:b/>
                <w:bCs/>
                <w:color w:val="000000"/>
                <w:sz w:val="16"/>
                <w:szCs w:val="16"/>
              </w:rPr>
              <w:t>Outstanding  </w:t>
            </w:r>
          </w:p>
          <w:p w:rsidR="00000000" w:rsidRDefault="005B0BC3">
            <w:pPr>
              <w:spacing w:after="100"/>
              <w:jc w:val="center"/>
              <w:rPr>
                <w:rFonts w:eastAsia="Times New Roman"/>
              </w:rPr>
            </w:pPr>
            <w:r>
              <w:rPr>
                <w:rFonts w:eastAsia="Times New Roman"/>
                <w:b/>
                <w:bCs/>
                <w:color w:val="000000"/>
                <w:sz w:val="16"/>
                <w:szCs w:val="16"/>
              </w:rPr>
              <w:t>(in 000’s)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Weighted</w:t>
            </w:r>
          </w:p>
          <w:p w:rsidR="00000000" w:rsidRDefault="005B0BC3">
            <w:pPr>
              <w:spacing w:after="100"/>
              <w:jc w:val="center"/>
              <w:rPr>
                <w:rFonts w:eastAsia="Times New Roman"/>
              </w:rPr>
            </w:pPr>
            <w:r>
              <w:rPr>
                <w:rFonts w:eastAsia="Times New Roman"/>
                <w:b/>
                <w:bCs/>
                <w:color w:val="000000"/>
                <w:sz w:val="16"/>
                <w:szCs w:val="16"/>
              </w:rPr>
              <w:t>Average</w:t>
            </w:r>
          </w:p>
          <w:p w:rsidR="00000000" w:rsidRDefault="005B0BC3">
            <w:pPr>
              <w:spacing w:after="100"/>
              <w:jc w:val="center"/>
              <w:rPr>
                <w:rFonts w:eastAsia="Times New Roman"/>
              </w:rPr>
            </w:pPr>
            <w:r>
              <w:rPr>
                <w:rFonts w:eastAsia="Times New Roman"/>
                <w:b/>
                <w:bCs/>
                <w:color w:val="000000"/>
                <w:sz w:val="16"/>
                <w:szCs w:val="16"/>
              </w:rPr>
              <w:t>Exercise</w:t>
            </w:r>
          </w:p>
          <w:p w:rsidR="00000000" w:rsidRDefault="005B0BC3">
            <w:pPr>
              <w:spacing w:after="100"/>
              <w:jc w:val="center"/>
              <w:rPr>
                <w:rFonts w:eastAsia="Times New Roman"/>
              </w:rPr>
            </w:pPr>
            <w:r>
              <w:rPr>
                <w:rFonts w:eastAsia="Times New Roman"/>
                <w:b/>
                <w:bCs/>
                <w:color w:val="000000"/>
                <w:sz w:val="16"/>
                <w:szCs w:val="16"/>
              </w:rPr>
              <w:t>Price</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Number</w:t>
            </w:r>
          </w:p>
          <w:p w:rsidR="00000000" w:rsidRDefault="005B0BC3">
            <w:pPr>
              <w:spacing w:after="100"/>
              <w:jc w:val="center"/>
              <w:rPr>
                <w:rFonts w:eastAsia="Times New Roman"/>
              </w:rPr>
            </w:pPr>
            <w:r>
              <w:rPr>
                <w:rFonts w:eastAsia="Times New Roman"/>
                <w:b/>
                <w:bCs/>
                <w:color w:val="000000"/>
                <w:sz w:val="16"/>
                <w:szCs w:val="16"/>
              </w:rPr>
              <w:t>Outstanding</w:t>
            </w:r>
          </w:p>
          <w:p w:rsidR="00000000" w:rsidRDefault="005B0BC3">
            <w:pPr>
              <w:spacing w:after="100"/>
              <w:jc w:val="center"/>
              <w:rPr>
                <w:rFonts w:eastAsia="Times New Roman"/>
              </w:rPr>
            </w:pPr>
            <w:r>
              <w:rPr>
                <w:rFonts w:eastAsia="Times New Roman"/>
                <w:b/>
                <w:bCs/>
                <w:color w:val="000000"/>
                <w:sz w:val="16"/>
                <w:szCs w:val="16"/>
              </w:rPr>
              <w:t>(In 000’s)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Weighted</w:t>
            </w:r>
          </w:p>
          <w:p w:rsidR="00000000" w:rsidRDefault="005B0BC3">
            <w:pPr>
              <w:spacing w:after="100"/>
              <w:jc w:val="center"/>
              <w:rPr>
                <w:rFonts w:eastAsia="Times New Roman"/>
              </w:rPr>
            </w:pPr>
            <w:r>
              <w:rPr>
                <w:rFonts w:eastAsia="Times New Roman"/>
                <w:b/>
                <w:bCs/>
                <w:color w:val="000000"/>
                <w:sz w:val="16"/>
                <w:szCs w:val="16"/>
              </w:rPr>
              <w:t>Average</w:t>
            </w:r>
          </w:p>
          <w:p w:rsidR="00000000" w:rsidRDefault="005B0BC3">
            <w:pPr>
              <w:spacing w:after="100"/>
              <w:jc w:val="center"/>
              <w:rPr>
                <w:rFonts w:eastAsia="Times New Roman"/>
              </w:rPr>
            </w:pPr>
            <w:r>
              <w:rPr>
                <w:rFonts w:eastAsia="Times New Roman"/>
                <w:b/>
                <w:bCs/>
                <w:color w:val="000000"/>
                <w:sz w:val="16"/>
                <w:szCs w:val="16"/>
              </w:rPr>
              <w:t>Exercise</w:t>
            </w:r>
          </w:p>
          <w:p w:rsidR="00000000" w:rsidRDefault="005B0BC3">
            <w:pPr>
              <w:spacing w:after="100"/>
              <w:jc w:val="center"/>
              <w:rPr>
                <w:rFonts w:eastAsia="Times New Roman"/>
              </w:rPr>
            </w:pPr>
            <w:r>
              <w:rPr>
                <w:rFonts w:eastAsia="Times New Roman"/>
                <w:b/>
                <w:bCs/>
                <w:color w:val="000000"/>
                <w:sz w:val="16"/>
                <w:szCs w:val="16"/>
              </w:rPr>
              <w:t>Price</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Number</w:t>
            </w:r>
            <w:r>
              <w:rPr>
                <w:rFonts w:eastAsia="Times New Roman"/>
                <w:b/>
                <w:bCs/>
                <w:color w:val="000000"/>
                <w:sz w:val="16"/>
                <w:szCs w:val="16"/>
              </w:rPr>
              <w:br/>
              <w:t>Outstanding  </w:t>
            </w:r>
            <w:r>
              <w:rPr>
                <w:rFonts w:eastAsia="Times New Roman"/>
                <w:b/>
                <w:bCs/>
                <w:color w:val="000000"/>
                <w:sz w:val="16"/>
                <w:szCs w:val="16"/>
              </w:rPr>
              <w:br/>
              <w:t>(in 000’s)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Exercise</w:t>
            </w:r>
            <w:r>
              <w:rPr>
                <w:rFonts w:eastAsia="Times New Roman"/>
                <w:b/>
                <w:bCs/>
                <w:color w:val="000000"/>
                <w:sz w:val="16"/>
                <w:szCs w:val="16"/>
              </w:rPr>
              <w:br/>
              <w:t>Price</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r>
      <w:tr w:rsidR="00000000">
        <w:trPr>
          <w:divId w:val="426969354"/>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18"/>
                <w:szCs w:val="18"/>
              </w:rPr>
              <w:t>Options outstanding at January 1, 2021</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8"/>
                <w:szCs w:val="18"/>
              </w:rPr>
              <w:t>3,428</w:t>
            </w:r>
            <w:r>
              <w:rPr>
                <w:rFonts w:eastAsia="Times New Roman"/>
                <w:color w:val="000000"/>
                <w:sz w:val="18"/>
                <w:szCs w:val="18"/>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18"/>
                <w:szCs w:val="18"/>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8"/>
                <w:szCs w:val="18"/>
              </w:rPr>
              <w:t>21.14</w:t>
            </w:r>
            <w:r>
              <w:rPr>
                <w:rFonts w:eastAsia="Times New Roman"/>
                <w:color w:val="000000"/>
                <w:sz w:val="18"/>
                <w:szCs w:val="18"/>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8"/>
                <w:szCs w:val="18"/>
              </w:rPr>
              <w:t>148,985</w:t>
            </w:r>
            <w:r>
              <w:rPr>
                <w:rFonts w:eastAsia="Times New Roman"/>
                <w:color w:val="000000"/>
                <w:sz w:val="18"/>
                <w:szCs w:val="18"/>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18"/>
                <w:szCs w:val="18"/>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8"/>
                <w:szCs w:val="18"/>
              </w:rPr>
              <w:t>23.61</w:t>
            </w:r>
            <w:r>
              <w:rPr>
                <w:rFonts w:eastAsia="Times New Roman"/>
                <w:color w:val="000000"/>
                <w:sz w:val="18"/>
                <w:szCs w:val="18"/>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8"/>
                <w:szCs w:val="18"/>
              </w:rPr>
              <w:t>1,726</w:t>
            </w:r>
            <w:r>
              <w:rPr>
                <w:rFonts w:eastAsia="Times New Roman"/>
                <w:color w:val="000000"/>
                <w:sz w:val="18"/>
                <w:szCs w:val="18"/>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18"/>
                <w:szCs w:val="18"/>
              </w:rPr>
              <w:t>€ 21.01</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r>
      <w:tr w:rsidR="00000000">
        <w:trPr>
          <w:divId w:val="426969354"/>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18"/>
                <w:szCs w:val="18"/>
              </w:rPr>
              <w:t>Options granted</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r>
      <w:tr w:rsidR="00000000">
        <w:trPr>
          <w:divId w:val="426969354"/>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18"/>
                <w:szCs w:val="18"/>
              </w:rPr>
              <w:t>Options exercised</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8"/>
                <w:szCs w:val="18"/>
              </w:rPr>
              <w:t>(1,204)</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8"/>
                <w:szCs w:val="18"/>
              </w:rPr>
              <w:t>21.20</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8"/>
                <w:szCs w:val="18"/>
              </w:rPr>
              <w:t>(143,211)</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8"/>
                <w:szCs w:val="18"/>
              </w:rPr>
              <w:t>23.75</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8"/>
                <w:szCs w:val="18"/>
              </w:rPr>
              <w:t>(743)</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8"/>
                <w:szCs w:val="18"/>
              </w:rPr>
              <w:t>19.19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r>
      <w:tr w:rsidR="00000000">
        <w:trPr>
          <w:divId w:val="426969354"/>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18"/>
                <w:szCs w:val="18"/>
              </w:rPr>
              <w:t>Options forfeited, net</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8"/>
                <w:szCs w:val="18"/>
              </w:rPr>
              <w:t>(184)</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8"/>
                <w:szCs w:val="18"/>
              </w:rPr>
              <w:t>21.91</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8"/>
                <w:szCs w:val="18"/>
              </w:rPr>
              <w:t>(109)</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8"/>
                <w:szCs w:val="18"/>
              </w:rPr>
              <w:t>22.34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r>
      <w:tr w:rsidR="00000000">
        <w:trPr>
          <w:divId w:val="426969354"/>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18"/>
                <w:szCs w:val="18"/>
              </w:rPr>
              <w:t>Options expired</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8"/>
                <w:szCs w:val="18"/>
              </w:rPr>
              <w:t>—</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r>
      <w:tr w:rsidR="00000000">
        <w:trPr>
          <w:divId w:val="426969354"/>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18"/>
                <w:szCs w:val="18"/>
              </w:rPr>
              <w:t>Options outstanding at December 31, 2021</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8"/>
                <w:szCs w:val="18"/>
              </w:rPr>
              <w:t>2,040</w:t>
            </w:r>
            <w:r>
              <w:rPr>
                <w:rFonts w:eastAsia="Times New Roman"/>
                <w:color w:val="000000"/>
                <w:sz w:val="18"/>
                <w:szCs w:val="18"/>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8"/>
                <w:szCs w:val="18"/>
              </w:rPr>
              <w:t>21.69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8"/>
                <w:szCs w:val="18"/>
              </w:rPr>
              <w:t>5,774</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8"/>
                <w:szCs w:val="18"/>
              </w:rPr>
              <w:t>20.12</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8"/>
                <w:szCs w:val="18"/>
              </w:rPr>
              <w:t>874</w:t>
            </w:r>
            <w:r>
              <w:rPr>
                <w:rFonts w:eastAsia="Times New Roman"/>
                <w:color w:val="000000"/>
                <w:sz w:val="18"/>
                <w:szCs w:val="18"/>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18"/>
                <w:szCs w:val="18"/>
              </w:rPr>
              <w:t>€ 22.39</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r>
      <w:tr w:rsidR="00000000">
        <w:trPr>
          <w:divId w:val="426969354"/>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18"/>
                <w:szCs w:val="18"/>
              </w:rPr>
              <w:t>Aggregate intrinsic value (1)</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8"/>
                <w:szCs w:val="18"/>
              </w:rPr>
              <w:t>6,305</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8"/>
                <w:szCs w:val="18"/>
              </w:rPr>
              <w:t>165,829</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18"/>
                <w:szCs w:val="18"/>
              </w:rPr>
              <w:t>(€ 2,370)</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r>
      <w:tr w:rsidR="00000000">
        <w:trPr>
          <w:divId w:val="426969354"/>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18"/>
                <w:szCs w:val="18"/>
              </w:rPr>
              <w:t>Weighted average remaining contractual term (in years)</w:t>
            </w:r>
          </w:p>
        </w:tc>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18"/>
                <w:szCs w:val="18"/>
              </w:rPr>
              <w:t>7.71</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18"/>
                <w:szCs w:val="18"/>
              </w:rPr>
              <w:t>0.33</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8"/>
                <w:szCs w:val="18"/>
              </w:rPr>
              <w:t>4.69</w:t>
            </w: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426969354"/>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18"/>
                <w:szCs w:val="18"/>
              </w:rPr>
              <w:t>Options exercisable at December 31, 2021</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8"/>
                <w:szCs w:val="18"/>
              </w:rPr>
              <w:t>843</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8"/>
                <w:szCs w:val="18"/>
              </w:rPr>
              <w:t>21.58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8"/>
                <w:szCs w:val="18"/>
              </w:rPr>
              <w:t>5,774</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8"/>
                <w:szCs w:val="18"/>
              </w:rPr>
              <w:t>20.12</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8"/>
                <w:szCs w:val="18"/>
              </w:rPr>
              <w:t>758</w:t>
            </w:r>
            <w:r>
              <w:rPr>
                <w:rFonts w:eastAsia="Times New Roman"/>
                <w:color w:val="000000"/>
                <w:sz w:val="18"/>
                <w:szCs w:val="18"/>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18"/>
                <w:szCs w:val="18"/>
              </w:rPr>
              <w:t>€ 22.38</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r>
      <w:tr w:rsidR="00000000">
        <w:trPr>
          <w:divId w:val="426969354"/>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18"/>
                <w:szCs w:val="18"/>
              </w:rPr>
              <w:t>Aggregate intrinsic value (1)</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8"/>
                <w:szCs w:val="18"/>
              </w:rPr>
              <w:t>2,700</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18"/>
                <w:szCs w:val="18"/>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8"/>
                <w:szCs w:val="18"/>
              </w:rPr>
              <w:t>165,829</w:t>
            </w:r>
            <w:r>
              <w:rPr>
                <w:rFonts w:eastAsia="Times New Roman"/>
                <w:color w:val="000000"/>
                <w:sz w:val="18"/>
                <w:szCs w:val="18"/>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30" w:type="dxa"/>
              <w:left w:w="2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18"/>
                <w:szCs w:val="18"/>
              </w:rPr>
              <w:t>(€ 2,049)</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r>
      <w:tr w:rsidR="00000000">
        <w:trPr>
          <w:divId w:val="426969354"/>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18"/>
                <w:szCs w:val="18"/>
              </w:rPr>
              <w:t>Weighted average remaining contractual term (in years)</w:t>
            </w:r>
          </w:p>
        </w:tc>
        <w:tc>
          <w:tcPr>
            <w:tcW w:w="0" w:type="auto"/>
            <w:gridSpan w:val="3"/>
            <w:tcBorders>
              <w:bottom w:val="double" w:sz="6" w:space="0" w:color="000000"/>
            </w:tcBorders>
            <w:shd w:val="clear" w:color="auto" w:fill="CCEEFF"/>
            <w:tcMar>
              <w:top w:w="30" w:type="dxa"/>
              <w:left w:w="2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18"/>
                <w:szCs w:val="18"/>
              </w:rPr>
              <w:t>7.56</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bottom w:val="double" w:sz="6" w:space="0" w:color="000000"/>
            </w:tcBorders>
            <w:shd w:val="clear" w:color="auto" w:fill="CCEEFF"/>
            <w:tcMar>
              <w:top w:w="30" w:type="dxa"/>
              <w:left w:w="2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18"/>
                <w:szCs w:val="18"/>
              </w:rPr>
              <w:t>0.33</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tcBorders>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18"/>
                <w:szCs w:val="18"/>
              </w:rPr>
              <w:t>4.48</w:t>
            </w:r>
            <w:r>
              <w:rPr>
                <w:rFonts w:eastAsia="Times New Roman"/>
                <w:color w:val="000000"/>
                <w:sz w:val="18"/>
                <w:szCs w:val="18"/>
              </w:rPr>
              <w:t>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bl>
    <w:p w:rsidR="00000000" w:rsidRDefault="005B0BC3">
      <w:pPr>
        <w:ind w:hanging="1440"/>
        <w:divId w:val="1089153677"/>
        <w:rPr>
          <w:rFonts w:eastAsia="Times New Roman"/>
        </w:rPr>
      </w:pPr>
      <w:r>
        <w:rPr>
          <w:rFonts w:eastAsia="Times New Roman"/>
          <w:color w:val="000000"/>
          <w:sz w:val="18"/>
          <w:szCs w:val="18"/>
        </w:rPr>
        <w:t>_______________</w:t>
      </w:r>
    </w:p>
    <w:p w:rsidR="00000000" w:rsidRDefault="005B0BC3">
      <w:pPr>
        <w:ind w:hanging="360"/>
        <w:divId w:val="110319072"/>
        <w:rPr>
          <w:rFonts w:eastAsia="Times New Roman"/>
        </w:rPr>
      </w:pPr>
      <w:r>
        <w:rPr>
          <w:rFonts w:eastAsia="Times New Roman"/>
          <w:color w:val="000000"/>
          <w:sz w:val="18"/>
          <w:szCs w:val="18"/>
        </w:rPr>
        <w:t>(1) Aggregate intrinsic value</w:t>
      </w:r>
      <w:r>
        <w:rPr>
          <w:rFonts w:eastAsia="Times New Roman"/>
          <w:color w:val="000000"/>
          <w:sz w:val="18"/>
          <w:szCs w:val="18"/>
        </w:rPr>
        <w:t>, presented in thousands, is calculated as the excess of the closing market price on December 31, 2021 of the respective underlying shares over the strike prices of the option awards. For awards with strike prices higher than market prices, intrinsic value</w:t>
      </w:r>
      <w:r>
        <w:rPr>
          <w:rFonts w:eastAsia="Times New Roman"/>
          <w:color w:val="000000"/>
          <w:sz w:val="18"/>
          <w:szCs w:val="18"/>
        </w:rPr>
        <w:t xml:space="preserve"> is shown as zero.</w:t>
      </w:r>
    </w:p>
    <w:p w:rsidR="00000000" w:rsidRDefault="005B0BC3">
      <w:pPr>
        <w:divId w:val="308173617"/>
        <w:rPr>
          <w:rFonts w:eastAsia="Times New Roman"/>
        </w:rPr>
      </w:pPr>
    </w:p>
    <w:p w:rsidR="00000000" w:rsidRDefault="005B0BC3">
      <w:pPr>
        <w:divId w:val="56440247"/>
        <w:rPr>
          <w:rFonts w:eastAsia="Times New Roman"/>
        </w:rPr>
      </w:pPr>
      <w:r>
        <w:rPr>
          <w:rFonts w:eastAsia="Times New Roman"/>
          <w:color w:val="000000"/>
          <w:sz w:val="20"/>
          <w:szCs w:val="20"/>
        </w:rPr>
        <w:t>A summary of stock option grant assumptions activity in the AXA and the Company option plans during 2021, 2020, and 2019 follows:</w:t>
      </w:r>
    </w:p>
    <w:tbl>
      <w:tblPr>
        <w:tblW w:w="4831" w:type="pct"/>
        <w:tblCellMar>
          <w:top w:w="15" w:type="dxa"/>
          <w:left w:w="15" w:type="dxa"/>
          <w:bottom w:w="15" w:type="dxa"/>
          <w:right w:w="15" w:type="dxa"/>
        </w:tblCellMar>
        <w:tblLook w:val="04A0" w:firstRow="1" w:lastRow="0" w:firstColumn="1" w:lastColumn="0" w:noHBand="0" w:noVBand="1"/>
      </w:tblPr>
      <w:tblGrid>
        <w:gridCol w:w="37"/>
        <w:gridCol w:w="4305"/>
        <w:gridCol w:w="36"/>
        <w:gridCol w:w="122"/>
        <w:gridCol w:w="983"/>
        <w:gridCol w:w="36"/>
        <w:gridCol w:w="36"/>
        <w:gridCol w:w="36"/>
        <w:gridCol w:w="36"/>
        <w:gridCol w:w="123"/>
        <w:gridCol w:w="931"/>
        <w:gridCol w:w="37"/>
        <w:gridCol w:w="36"/>
        <w:gridCol w:w="36"/>
        <w:gridCol w:w="36"/>
        <w:gridCol w:w="123"/>
        <w:gridCol w:w="931"/>
        <w:gridCol w:w="37"/>
        <w:gridCol w:w="36"/>
        <w:gridCol w:w="36"/>
        <w:gridCol w:w="36"/>
      </w:tblGrid>
      <w:tr w:rsidR="00000000">
        <w:trPr>
          <w:divId w:val="623314755"/>
        </w:trPr>
        <w:tc>
          <w:tcPr>
            <w:tcW w:w="50" w:type="pct"/>
            <w:vAlign w:val="center"/>
            <w:hideMark/>
          </w:tcPr>
          <w:p w:rsidR="00000000" w:rsidRDefault="005B0BC3">
            <w:pPr>
              <w:rPr>
                <w:rFonts w:eastAsia="Times New Roman"/>
              </w:rPr>
            </w:pPr>
          </w:p>
        </w:tc>
        <w:tc>
          <w:tcPr>
            <w:tcW w:w="272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4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4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4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623314755"/>
        </w:trPr>
        <w:tc>
          <w:tcPr>
            <w:tcW w:w="0" w:type="auto"/>
            <w:gridSpan w:val="3"/>
            <w:tcMar>
              <w:top w:w="30" w:type="dxa"/>
              <w:left w:w="20" w:type="dxa"/>
              <w:bottom w:w="30" w:type="dxa"/>
              <w:right w:w="20" w:type="dxa"/>
            </w:tcMar>
            <w:vAlign w:val="bottom"/>
            <w:hideMark/>
          </w:tcPr>
          <w:p w:rsidR="00000000" w:rsidRDefault="005B0BC3">
            <w:pPr>
              <w:spacing w:after="100"/>
              <w:ind w:hanging="360"/>
              <w:divId w:val="1061292768"/>
              <w:rPr>
                <w:rFonts w:eastAsia="Times New Roman"/>
              </w:rPr>
            </w:pPr>
            <w:r>
              <w:rPr>
                <w:rFonts w:eastAsia="Times New Roman"/>
                <w:color w:val="000000"/>
                <w:sz w:val="18"/>
                <w:szCs w:val="18"/>
              </w:rPr>
              <w:t> </w:t>
            </w:r>
          </w:p>
        </w:tc>
        <w:tc>
          <w:tcPr>
            <w:tcW w:w="0" w:type="auto"/>
            <w:gridSpan w:val="15"/>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EQH Shares (1)</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r>
      <w:tr w:rsidR="00000000">
        <w:trPr>
          <w:divId w:val="623314755"/>
        </w:trPr>
        <w:tc>
          <w:tcPr>
            <w:tcW w:w="0" w:type="auto"/>
            <w:gridSpan w:val="3"/>
            <w:tcMar>
              <w:top w:w="30" w:type="dxa"/>
              <w:left w:w="20" w:type="dxa"/>
              <w:bottom w:w="30" w:type="dxa"/>
              <w:right w:w="20" w:type="dxa"/>
            </w:tcMar>
            <w:vAlign w:val="bottom"/>
            <w:hideMark/>
          </w:tcPr>
          <w:p w:rsidR="00000000" w:rsidRDefault="005B0BC3">
            <w:pPr>
              <w:spacing w:after="100"/>
              <w:ind w:hanging="360"/>
              <w:divId w:val="1340158826"/>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 (2)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r>
      <w:tr w:rsidR="00000000">
        <w:trPr>
          <w:divId w:val="623314755"/>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Dividend yield</w:t>
            </w:r>
          </w:p>
        </w:tc>
        <w:tc>
          <w:tcPr>
            <w:tcW w:w="0" w:type="auto"/>
            <w:gridSpan w:val="3"/>
            <w:tcBorders>
              <w:top w:val="single" w:sz="8" w:space="0" w:color="000000"/>
            </w:tcBorders>
            <w:shd w:val="clear" w:color="auto" w:fill="CCEEFF"/>
            <w:tcMar>
              <w:top w:w="30" w:type="dxa"/>
              <w:left w:w="20" w:type="dxa"/>
              <w:bottom w:w="30" w:type="dxa"/>
              <w:right w:w="26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60" w:type="dxa"/>
            </w:tcMar>
            <w:vAlign w:val="bottom"/>
            <w:hideMark/>
          </w:tcPr>
          <w:p w:rsidR="00000000" w:rsidRDefault="005B0BC3">
            <w:pPr>
              <w:spacing w:after="100"/>
              <w:jc w:val="right"/>
              <w:rPr>
                <w:rFonts w:eastAsia="Times New Roman"/>
              </w:rPr>
            </w:pPr>
            <w:r>
              <w:rPr>
                <w:rFonts w:eastAsia="Times New Roman"/>
                <w:color w:val="000000"/>
                <w:sz w:val="20"/>
                <w:szCs w:val="20"/>
              </w:rPr>
              <w:t>2.59%</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60" w:type="dxa"/>
            </w:tcMar>
            <w:vAlign w:val="bottom"/>
            <w:hideMark/>
          </w:tcPr>
          <w:p w:rsidR="00000000" w:rsidRDefault="005B0BC3">
            <w:pPr>
              <w:spacing w:after="100"/>
              <w:jc w:val="right"/>
              <w:rPr>
                <w:rFonts w:eastAsia="Times New Roman"/>
              </w:rPr>
            </w:pPr>
            <w:r>
              <w:rPr>
                <w:rFonts w:eastAsia="Times New Roman"/>
                <w:color w:val="000000"/>
                <w:sz w:val="20"/>
                <w:szCs w:val="20"/>
              </w:rPr>
              <w:t>2.77%</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r>
      <w:tr w:rsidR="00000000">
        <w:trPr>
          <w:divId w:val="623314755"/>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Expected volatility</w:t>
            </w:r>
          </w:p>
        </w:tc>
        <w:tc>
          <w:tcPr>
            <w:tcW w:w="0" w:type="auto"/>
            <w:gridSpan w:val="3"/>
            <w:shd w:val="clear" w:color="auto" w:fill="FFFFFF"/>
            <w:tcMar>
              <w:top w:w="30" w:type="dxa"/>
              <w:left w:w="20" w:type="dxa"/>
              <w:bottom w:w="30" w:type="dxa"/>
              <w:right w:w="26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5B0BC3">
            <w:pPr>
              <w:spacing w:after="100"/>
              <w:jc w:val="right"/>
              <w:rPr>
                <w:rFonts w:eastAsia="Times New Roman"/>
              </w:rPr>
            </w:pPr>
            <w:r>
              <w:rPr>
                <w:rFonts w:eastAsia="Times New Roman"/>
                <w:color w:val="000000"/>
                <w:sz w:val="20"/>
                <w:szCs w:val="20"/>
              </w:rPr>
              <w:t>26.00%</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30" w:type="dxa"/>
              <w:left w:w="20" w:type="dxa"/>
              <w:bottom w:w="30" w:type="dxa"/>
              <w:right w:w="260" w:type="dxa"/>
            </w:tcMar>
            <w:vAlign w:val="bottom"/>
            <w:hideMark/>
          </w:tcPr>
          <w:p w:rsidR="00000000" w:rsidRDefault="005B0BC3">
            <w:pPr>
              <w:spacing w:after="100"/>
              <w:jc w:val="right"/>
              <w:rPr>
                <w:rFonts w:eastAsia="Times New Roman"/>
              </w:rPr>
            </w:pPr>
            <w:r>
              <w:rPr>
                <w:rFonts w:eastAsia="Times New Roman"/>
                <w:color w:val="000000"/>
                <w:sz w:val="20"/>
                <w:szCs w:val="20"/>
              </w:rPr>
              <w:t>25.70%</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r>
      <w:tr w:rsidR="00000000">
        <w:trPr>
          <w:divId w:val="623314755"/>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Risk-free interest rates</w:t>
            </w:r>
          </w:p>
        </w:tc>
        <w:tc>
          <w:tcPr>
            <w:tcW w:w="0" w:type="auto"/>
            <w:gridSpan w:val="3"/>
            <w:shd w:val="clear" w:color="auto" w:fill="CCEEFF"/>
            <w:tcMar>
              <w:top w:w="30" w:type="dxa"/>
              <w:left w:w="20" w:type="dxa"/>
              <w:bottom w:w="30" w:type="dxa"/>
              <w:right w:w="26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5B0BC3">
            <w:pPr>
              <w:spacing w:after="100"/>
              <w:jc w:val="right"/>
              <w:rPr>
                <w:rFonts w:eastAsia="Times New Roman"/>
              </w:rPr>
            </w:pPr>
            <w:r>
              <w:rPr>
                <w:rFonts w:eastAsia="Times New Roman"/>
                <w:color w:val="000000"/>
                <w:sz w:val="20"/>
                <w:szCs w:val="20"/>
              </w:rPr>
              <w:t>1.19%</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CCEEFF"/>
            <w:tcMar>
              <w:top w:w="30" w:type="dxa"/>
              <w:left w:w="20" w:type="dxa"/>
              <w:bottom w:w="30" w:type="dxa"/>
              <w:right w:w="260" w:type="dxa"/>
            </w:tcMar>
            <w:vAlign w:val="bottom"/>
            <w:hideMark/>
          </w:tcPr>
          <w:p w:rsidR="00000000" w:rsidRDefault="005B0BC3">
            <w:pPr>
              <w:spacing w:after="100"/>
              <w:jc w:val="right"/>
              <w:rPr>
                <w:rFonts w:eastAsia="Times New Roman"/>
              </w:rPr>
            </w:pPr>
            <w:r>
              <w:rPr>
                <w:rFonts w:eastAsia="Times New Roman"/>
                <w:color w:val="000000"/>
                <w:sz w:val="20"/>
                <w:szCs w:val="20"/>
              </w:rPr>
              <w:t>2.49%</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r>
      <w:tr w:rsidR="00000000">
        <w:trPr>
          <w:divId w:val="623314755"/>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Expected life in years</w:t>
            </w:r>
          </w:p>
        </w:tc>
        <w:tc>
          <w:tcPr>
            <w:tcW w:w="0" w:type="auto"/>
            <w:gridSpan w:val="3"/>
            <w:shd w:val="clear" w:color="auto" w:fill="FFFFFF"/>
            <w:tcMar>
              <w:top w:w="30" w:type="dxa"/>
              <w:left w:w="20" w:type="dxa"/>
              <w:bottom w:w="30" w:type="dxa"/>
              <w:right w:w="26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30" w:type="dxa"/>
              <w:left w:w="20" w:type="dxa"/>
              <w:bottom w:w="30" w:type="dxa"/>
              <w:right w:w="380" w:type="dxa"/>
            </w:tcMar>
            <w:vAlign w:val="bottom"/>
            <w:hideMark/>
          </w:tcPr>
          <w:p w:rsidR="00000000" w:rsidRDefault="005B0BC3">
            <w:pPr>
              <w:spacing w:after="100"/>
              <w:jc w:val="right"/>
              <w:rPr>
                <w:rFonts w:eastAsia="Times New Roman"/>
              </w:rPr>
            </w:pPr>
            <w:r>
              <w:rPr>
                <w:rFonts w:eastAsia="Times New Roman"/>
                <w:color w:val="000000"/>
                <w:sz w:val="20"/>
                <w:szCs w:val="20"/>
              </w:rPr>
              <w:t>6.0</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shd w:val="clear" w:color="auto" w:fill="FFFFFF"/>
            <w:tcMar>
              <w:top w:w="30" w:type="dxa"/>
              <w:left w:w="20" w:type="dxa"/>
              <w:bottom w:w="30" w:type="dxa"/>
              <w:right w:w="380" w:type="dxa"/>
            </w:tcMar>
            <w:vAlign w:val="bottom"/>
            <w:hideMark/>
          </w:tcPr>
          <w:p w:rsidR="00000000" w:rsidRDefault="005B0BC3">
            <w:pPr>
              <w:spacing w:after="100"/>
              <w:jc w:val="right"/>
              <w:rPr>
                <w:rFonts w:eastAsia="Times New Roman"/>
              </w:rPr>
            </w:pPr>
            <w:r>
              <w:rPr>
                <w:rFonts w:eastAsia="Times New Roman"/>
                <w:color w:val="000000"/>
                <w:sz w:val="20"/>
                <w:szCs w:val="20"/>
              </w:rPr>
              <w:t>5.9</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r>
      <w:tr w:rsidR="00000000">
        <w:trPr>
          <w:divId w:val="623314755"/>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Weighted average fair value per option at grant date</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gridSpan w:val="2"/>
            <w:shd w:val="clear" w:color="auto" w:fill="CCEEFF"/>
            <w:tcMar>
              <w:top w:w="30" w:type="dxa"/>
              <w:left w:w="0" w:type="dxa"/>
              <w:bottom w:w="30" w:type="dxa"/>
              <w:right w:w="26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260" w:type="dxa"/>
            </w:tcMar>
            <w:vAlign w:val="bottom"/>
            <w:hideMark/>
          </w:tcPr>
          <w:p w:rsidR="00000000" w:rsidRDefault="005B0BC3">
            <w:pPr>
              <w:spacing w:after="100"/>
              <w:jc w:val="right"/>
              <w:rPr>
                <w:rFonts w:eastAsia="Times New Roman"/>
              </w:rPr>
            </w:pPr>
            <w:r>
              <w:rPr>
                <w:rFonts w:eastAsia="Times New Roman"/>
                <w:color w:val="000000"/>
                <w:sz w:val="20"/>
                <w:szCs w:val="20"/>
              </w:rPr>
              <w:t>4.37</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260" w:type="dxa"/>
            </w:tcMar>
            <w:vAlign w:val="bottom"/>
            <w:hideMark/>
          </w:tcPr>
          <w:p w:rsidR="00000000" w:rsidRDefault="005B0BC3">
            <w:pPr>
              <w:spacing w:after="100"/>
              <w:jc w:val="right"/>
              <w:rPr>
                <w:rFonts w:eastAsia="Times New Roman"/>
              </w:rPr>
            </w:pPr>
            <w:r>
              <w:rPr>
                <w:rFonts w:eastAsia="Times New Roman"/>
                <w:color w:val="000000"/>
                <w:sz w:val="20"/>
                <w:szCs w:val="20"/>
              </w:rPr>
              <w:t>3.82</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r>
    </w:tbl>
    <w:p w:rsidR="00000000" w:rsidRDefault="005B0BC3">
      <w:pPr>
        <w:ind w:hanging="720"/>
        <w:divId w:val="653727805"/>
        <w:rPr>
          <w:rFonts w:eastAsia="Times New Roman"/>
        </w:rPr>
      </w:pPr>
      <w:r>
        <w:rPr>
          <w:rFonts w:eastAsia="Times New Roman"/>
          <w:color w:val="000000"/>
          <w:sz w:val="18"/>
          <w:szCs w:val="18"/>
        </w:rPr>
        <w:t>__</w:t>
      </w:r>
      <w:r>
        <w:rPr>
          <w:rFonts w:eastAsia="Times New Roman"/>
          <w:color w:val="000000"/>
          <w:sz w:val="18"/>
          <w:szCs w:val="18"/>
        </w:rPr>
        <w:t>_____________</w:t>
      </w:r>
    </w:p>
    <w:p w:rsidR="00000000" w:rsidRDefault="005B0BC3">
      <w:pPr>
        <w:ind w:hanging="360"/>
        <w:divId w:val="2070376985"/>
        <w:rPr>
          <w:rFonts w:eastAsia="Times New Roman"/>
        </w:rPr>
      </w:pPr>
      <w:r>
        <w:rPr>
          <w:rFonts w:eastAsia="Times New Roman"/>
          <w:color w:val="000000"/>
          <w:sz w:val="18"/>
          <w:szCs w:val="18"/>
        </w:rPr>
        <w:t>(1) The expected volatility is based on historical selected peer data, the weighted average expected term is determined by using the simplified method due to lack of sufficient historical data, the expected dividend yield based on Holdings’ e</w:t>
      </w:r>
      <w:r>
        <w:rPr>
          <w:rFonts w:eastAsia="Times New Roman"/>
          <w:color w:val="000000"/>
          <w:sz w:val="18"/>
          <w:szCs w:val="18"/>
        </w:rPr>
        <w:t xml:space="preserve">xpected annualized dividend, and the risk-free interest rate is based on the U.S. Treasury bond yield for the appropriate expected term. </w:t>
      </w:r>
    </w:p>
    <w:p w:rsidR="00000000" w:rsidRDefault="005B0BC3">
      <w:pPr>
        <w:ind w:hanging="360"/>
        <w:divId w:val="1430740158"/>
        <w:rPr>
          <w:rFonts w:eastAsia="Times New Roman"/>
        </w:rPr>
      </w:pPr>
      <w:r>
        <w:rPr>
          <w:rFonts w:eastAsia="Times New Roman"/>
          <w:color w:val="000000"/>
          <w:sz w:val="18"/>
          <w:szCs w:val="18"/>
        </w:rPr>
        <w:t xml:space="preserve">(2) No stock options granted during 2021. </w:t>
      </w:r>
    </w:p>
    <w:p w:rsidR="00000000" w:rsidRDefault="005B0BC3">
      <w:pPr>
        <w:ind w:hanging="360"/>
        <w:divId w:val="309990507"/>
        <w:rPr>
          <w:rFonts w:eastAsia="Times New Roman"/>
        </w:rPr>
      </w:pPr>
    </w:p>
    <w:p w:rsidR="00000000" w:rsidRDefault="005B0BC3">
      <w:pPr>
        <w:divId w:val="1625844390"/>
        <w:rPr>
          <w:rFonts w:eastAsia="Times New Roman"/>
        </w:rPr>
      </w:pPr>
    </w:p>
    <w:p w:rsidR="00000000" w:rsidRDefault="005B0BC3">
      <w:pPr>
        <w:divId w:val="230191862"/>
        <w:rPr>
          <w:rFonts w:eastAsia="Times New Roman"/>
        </w:rPr>
      </w:pPr>
      <w:r>
        <w:rPr>
          <w:rFonts w:eastAsia="Times New Roman"/>
          <w:color w:val="000000"/>
          <w:sz w:val="20"/>
          <w:szCs w:val="20"/>
        </w:rPr>
        <w:t>As of December 31, 2021, approximately $74 </w:t>
      </w:r>
      <w:r>
        <w:rPr>
          <w:rFonts w:eastAsia="Times New Roman"/>
          <w:color w:val="000000"/>
          <w:sz w:val="20"/>
          <w:szCs w:val="20"/>
        </w:rPr>
        <w:t>thousand of unrecognized compensation cost related to AXA unvested stock option awards is expected to be recognized by the Company over a weighted-average period of 0.2 years. Approximately $1 million of unrecognized compensation cost related to Holdings u</w:t>
      </w:r>
      <w:r>
        <w:rPr>
          <w:rFonts w:eastAsia="Times New Roman"/>
          <w:color w:val="000000"/>
          <w:sz w:val="20"/>
          <w:szCs w:val="20"/>
        </w:rPr>
        <w:t>nvested stock option awards is expected to be recognized by the Company over a weighted average period of 1.06 years.</w:t>
      </w:r>
    </w:p>
    <w:p w:rsidR="00000000" w:rsidRDefault="005B0BC3">
      <w:pPr>
        <w:divId w:val="1973251060"/>
        <w:rPr>
          <w:rFonts w:eastAsia="Times New Roman"/>
        </w:rPr>
      </w:pPr>
      <w:r>
        <w:rPr>
          <w:rFonts w:eastAsia="Times New Roman"/>
          <w:color w:val="000000"/>
          <w:sz w:val="20"/>
          <w:szCs w:val="20"/>
          <w:u w:val="single"/>
        </w:rPr>
        <w:t>Summary of Restricted Stock Unit Award Activity</w:t>
      </w:r>
    </w:p>
    <w:p w:rsidR="00000000" w:rsidRDefault="005B0BC3">
      <w:pPr>
        <w:divId w:val="287787683"/>
        <w:rPr>
          <w:rFonts w:eastAsia="Times New Roman"/>
        </w:rPr>
      </w:pPr>
      <w:r>
        <w:rPr>
          <w:rFonts w:eastAsia="Times New Roman"/>
          <w:color w:val="000000"/>
          <w:sz w:val="20"/>
          <w:szCs w:val="20"/>
        </w:rPr>
        <w:t xml:space="preserve">The market price of a Holdings share is used as the basis for the fair value measure of a </w:t>
      </w:r>
      <w:r>
        <w:rPr>
          <w:rFonts w:eastAsia="Times New Roman"/>
          <w:color w:val="000000"/>
          <w:sz w:val="20"/>
          <w:szCs w:val="20"/>
        </w:rPr>
        <w:t>Holdings RSU. For purposes of determining compensation cost for stock-settled Holdings RSUs, fair value is fixed at the grant date until settlement, absent modification to the terms of the award. For liability-classified cash-settled Holdings and AXA RSUs,</w:t>
      </w:r>
      <w:r>
        <w:rPr>
          <w:rFonts w:eastAsia="Times New Roman"/>
          <w:color w:val="000000"/>
          <w:sz w:val="20"/>
          <w:szCs w:val="20"/>
        </w:rPr>
        <w:t xml:space="preserve"> fair value is remeasured at the end of each reporting period. </w:t>
      </w:r>
    </w:p>
    <w:p w:rsidR="00000000" w:rsidRDefault="005B0BC3">
      <w:pPr>
        <w:divId w:val="1723871115"/>
        <w:rPr>
          <w:rFonts w:eastAsia="Times New Roman"/>
        </w:rPr>
      </w:pPr>
      <w:r>
        <w:rPr>
          <w:rFonts w:eastAsia="Times New Roman"/>
          <w:color w:val="000000"/>
          <w:sz w:val="20"/>
          <w:szCs w:val="20"/>
        </w:rPr>
        <w:t>As of December 31, 2021, approximately $3 million Holdings RSUs and AXA ordinary share unit awards remain unvested. Unrecognized compensation cost related to these awards totaled approximately</w:t>
      </w:r>
      <w:r>
        <w:rPr>
          <w:rFonts w:eastAsia="Times New Roman"/>
          <w:color w:val="000000"/>
          <w:sz w:val="20"/>
          <w:szCs w:val="20"/>
        </w:rPr>
        <w:t xml:space="preserve"> $41 million and is expected to be recognized over a weighted-average period of 1.9 years. </w:t>
      </w:r>
    </w:p>
    <w:p w:rsidR="00000000" w:rsidRDefault="005B0BC3">
      <w:pPr>
        <w:jc w:val="center"/>
        <w:divId w:val="184832909"/>
        <w:rPr>
          <w:rFonts w:eastAsia="Times New Roman"/>
        </w:rPr>
      </w:pPr>
      <w:r>
        <w:rPr>
          <w:rFonts w:eastAsia="Times New Roman"/>
          <w:color w:val="000000"/>
          <w:sz w:val="20"/>
          <w:szCs w:val="20"/>
        </w:rPr>
        <w:t>215</w:t>
      </w:r>
    </w:p>
    <w:p w:rsidR="00000000" w:rsidRDefault="005B0BC3">
      <w:pPr>
        <w:rPr>
          <w:rFonts w:eastAsia="Times New Roman"/>
        </w:rPr>
      </w:pPr>
      <w:r>
        <w:rPr>
          <w:rFonts w:eastAsia="Times New Roman"/>
        </w:rPr>
        <w:pict>
          <v:rect id="_x0000_i1253" style="width:0;height:1.5pt" o:hralign="center" o:hrstd="t" o:hr="t" fillcolor="#a0a0a0" stroked="f"/>
        </w:pict>
      </w:r>
    </w:p>
    <w:p w:rsidR="00000000" w:rsidRDefault="005B0BC3">
      <w:pPr>
        <w:jc w:val="center"/>
        <w:divId w:val="1782148011"/>
        <w:rPr>
          <w:rFonts w:eastAsia="Times New Roman"/>
        </w:rPr>
      </w:pPr>
      <w:r>
        <w:rPr>
          <w:rFonts w:eastAsia="Times New Roman"/>
          <w:b/>
          <w:bCs/>
          <w:color w:val="000000"/>
          <w:sz w:val="20"/>
          <w:szCs w:val="20"/>
        </w:rPr>
        <w:t>EQUITABLE HOLDINGS, INC.</w:t>
      </w:r>
    </w:p>
    <w:p w:rsidR="00000000" w:rsidRDefault="005B0BC3">
      <w:pPr>
        <w:jc w:val="center"/>
        <w:divId w:val="1782148011"/>
        <w:rPr>
          <w:rFonts w:eastAsia="Times New Roman"/>
        </w:rPr>
      </w:pPr>
      <w:r>
        <w:rPr>
          <w:rFonts w:eastAsia="Times New Roman"/>
          <w:b/>
          <w:bCs/>
          <w:color w:val="000000"/>
          <w:sz w:val="20"/>
          <w:szCs w:val="20"/>
        </w:rPr>
        <w:t>NOTES TO CONSOLIDATED FINANCIAL STATEMENTS, continued</w:t>
      </w:r>
    </w:p>
    <w:p w:rsidR="00000000" w:rsidRDefault="005B0BC3">
      <w:pPr>
        <w:divId w:val="363989681"/>
        <w:rPr>
          <w:rFonts w:eastAsia="Times New Roman"/>
        </w:rPr>
      </w:pPr>
      <w:r>
        <w:rPr>
          <w:rFonts w:eastAsia="Times New Roman"/>
          <w:color w:val="000000"/>
          <w:sz w:val="20"/>
          <w:szCs w:val="20"/>
        </w:rPr>
        <w:t>As of December </w:t>
      </w:r>
      <w:r>
        <w:rPr>
          <w:rFonts w:eastAsia="Times New Roman"/>
          <w:color w:val="000000"/>
          <w:sz w:val="20"/>
          <w:szCs w:val="20"/>
        </w:rPr>
        <w:t>31, 2021, approximately $18 million AB Holding Unit awards remain unvested. Unrecognized compensation cost related to these awards totaled approximately $137 million is expected to be recognized over a weighted-average period of 6.2 years</w:t>
      </w:r>
    </w:p>
    <w:p w:rsidR="00000000" w:rsidRDefault="005B0BC3">
      <w:pPr>
        <w:divId w:val="615412626"/>
        <w:rPr>
          <w:rFonts w:eastAsia="Times New Roman"/>
        </w:rPr>
      </w:pPr>
      <w:r>
        <w:rPr>
          <w:rFonts w:eastAsia="Times New Roman"/>
          <w:color w:val="000000"/>
          <w:sz w:val="20"/>
          <w:szCs w:val="20"/>
        </w:rPr>
        <w:t>The following tab</w:t>
      </w:r>
      <w:r>
        <w:rPr>
          <w:rFonts w:eastAsia="Times New Roman"/>
          <w:color w:val="000000"/>
          <w:sz w:val="20"/>
          <w:szCs w:val="20"/>
        </w:rPr>
        <w:t xml:space="preserve">le summarizes Holdings restricted share units and AXA ordinary share unit activity for 2021. </w:t>
      </w:r>
    </w:p>
    <w:tbl>
      <w:tblPr>
        <w:tblW w:w="4685" w:type="pct"/>
        <w:tblCellMar>
          <w:top w:w="15" w:type="dxa"/>
          <w:left w:w="15" w:type="dxa"/>
          <w:bottom w:w="15" w:type="dxa"/>
          <w:right w:w="15" w:type="dxa"/>
        </w:tblCellMar>
        <w:tblLook w:val="04A0" w:firstRow="1" w:lastRow="0" w:firstColumn="1" w:lastColumn="0" w:noHBand="0" w:noVBand="1"/>
      </w:tblPr>
      <w:tblGrid>
        <w:gridCol w:w="38"/>
        <w:gridCol w:w="5009"/>
        <w:gridCol w:w="37"/>
        <w:gridCol w:w="61"/>
        <w:gridCol w:w="1063"/>
        <w:gridCol w:w="36"/>
        <w:gridCol w:w="36"/>
        <w:gridCol w:w="36"/>
        <w:gridCol w:w="36"/>
        <w:gridCol w:w="121"/>
        <w:gridCol w:w="1058"/>
        <w:gridCol w:w="36"/>
        <w:gridCol w:w="36"/>
        <w:gridCol w:w="36"/>
        <w:gridCol w:w="36"/>
        <w:gridCol w:w="36"/>
        <w:gridCol w:w="36"/>
        <w:gridCol w:w="36"/>
      </w:tblGrid>
      <w:tr w:rsidR="00000000">
        <w:trPr>
          <w:divId w:val="795954572"/>
        </w:trPr>
        <w:tc>
          <w:tcPr>
            <w:tcW w:w="50" w:type="pct"/>
            <w:vAlign w:val="center"/>
            <w:hideMark/>
          </w:tcPr>
          <w:p w:rsidR="00000000" w:rsidRDefault="005B0BC3">
            <w:pPr>
              <w:rPr>
                <w:rFonts w:eastAsia="Times New Roman"/>
              </w:rPr>
            </w:pPr>
          </w:p>
        </w:tc>
        <w:tc>
          <w:tcPr>
            <w:tcW w:w="329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73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73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795954572"/>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Shares of Holdings Restricted Stock Units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Weighted-Average Grant Date</w:t>
            </w:r>
          </w:p>
          <w:p w:rsidR="00000000" w:rsidRDefault="005B0BC3">
            <w:pPr>
              <w:spacing w:after="100"/>
              <w:jc w:val="center"/>
              <w:rPr>
                <w:rFonts w:eastAsia="Times New Roman"/>
              </w:rPr>
            </w:pPr>
            <w:r>
              <w:rPr>
                <w:rFonts w:eastAsia="Times New Roman"/>
                <w:b/>
                <w:bCs/>
                <w:color w:val="000000"/>
                <w:sz w:val="16"/>
                <w:szCs w:val="16"/>
              </w:rPr>
              <w:t> Fair Value</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795954572"/>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Unvested as of January 1, 2021</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3,666,611 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21.15 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795954572"/>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Granted</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1,630,277 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28.01 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795954572"/>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Forfeited</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(194,262)</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24.43 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795954572"/>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Vested</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(1,873,893)</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20.81 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795954572"/>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Unvested as of December 31, 2021</w:t>
            </w:r>
          </w:p>
        </w:tc>
        <w:tc>
          <w:tcPr>
            <w:tcW w:w="0" w:type="auto"/>
            <w:gridSpan w:val="2"/>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3,228,733 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24.61 </w:t>
            </w:r>
          </w:p>
        </w:tc>
        <w:tc>
          <w:tcPr>
            <w:tcW w:w="0" w:type="auto"/>
            <w:tcBorders>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bl>
    <w:p w:rsidR="00000000" w:rsidRDefault="005B0BC3">
      <w:pPr>
        <w:divId w:val="155994931"/>
        <w:rPr>
          <w:rFonts w:eastAsia="Times New Roman"/>
        </w:rPr>
      </w:pPr>
      <w:r>
        <w:rPr>
          <w:rFonts w:eastAsia="Times New Roman"/>
          <w:color w:val="000000"/>
          <w:sz w:val="20"/>
          <w:szCs w:val="20"/>
          <w:u w:val="single"/>
        </w:rPr>
        <w:t>Summary of Performance Award Activity</w:t>
      </w:r>
    </w:p>
    <w:p w:rsidR="00000000" w:rsidRDefault="005B0BC3">
      <w:pPr>
        <w:divId w:val="1981305580"/>
        <w:rPr>
          <w:rFonts w:eastAsia="Times New Roman"/>
        </w:rPr>
      </w:pPr>
      <w:r>
        <w:rPr>
          <w:rFonts w:eastAsia="Times New Roman"/>
          <w:color w:val="000000"/>
          <w:sz w:val="20"/>
          <w:szCs w:val="20"/>
        </w:rPr>
        <w:t xml:space="preserve">As of December 31, 2021, approximately 2 </w:t>
      </w:r>
      <w:r>
        <w:rPr>
          <w:rFonts w:eastAsia="Times New Roman"/>
          <w:color w:val="000000"/>
          <w:sz w:val="20"/>
          <w:szCs w:val="20"/>
        </w:rPr>
        <w:t>million Holdings and AXA performance awards remain unvested. Unrecognized compensation cost related to these awards totaled approximately $19 million and is expected to be recognized over a weighted-average period of 1.5 years.</w:t>
      </w:r>
    </w:p>
    <w:p w:rsidR="00000000" w:rsidRDefault="005B0BC3">
      <w:pPr>
        <w:divId w:val="1470129877"/>
        <w:rPr>
          <w:rFonts w:eastAsia="Times New Roman"/>
        </w:rPr>
      </w:pPr>
      <w:r>
        <w:rPr>
          <w:rFonts w:eastAsia="Times New Roman"/>
          <w:color w:val="000000"/>
          <w:sz w:val="20"/>
          <w:szCs w:val="20"/>
        </w:rPr>
        <w:t>The following table summarizes Holdings and AXA performance awards activity for 2021.</w:t>
      </w:r>
    </w:p>
    <w:tbl>
      <w:tblPr>
        <w:tblW w:w="4671" w:type="pct"/>
        <w:tblCellMar>
          <w:top w:w="15" w:type="dxa"/>
          <w:left w:w="15" w:type="dxa"/>
          <w:bottom w:w="15" w:type="dxa"/>
          <w:right w:w="15" w:type="dxa"/>
        </w:tblCellMar>
        <w:tblLook w:val="04A0" w:firstRow="1" w:lastRow="0" w:firstColumn="1" w:lastColumn="0" w:noHBand="0" w:noVBand="1"/>
      </w:tblPr>
      <w:tblGrid>
        <w:gridCol w:w="41"/>
        <w:gridCol w:w="2550"/>
        <w:gridCol w:w="37"/>
        <w:gridCol w:w="59"/>
        <w:gridCol w:w="1086"/>
        <w:gridCol w:w="36"/>
        <w:gridCol w:w="36"/>
        <w:gridCol w:w="36"/>
        <w:gridCol w:w="36"/>
        <w:gridCol w:w="121"/>
        <w:gridCol w:w="1078"/>
        <w:gridCol w:w="36"/>
        <w:gridCol w:w="36"/>
        <w:gridCol w:w="36"/>
        <w:gridCol w:w="36"/>
        <w:gridCol w:w="61"/>
        <w:gridCol w:w="1059"/>
        <w:gridCol w:w="36"/>
        <w:gridCol w:w="36"/>
        <w:gridCol w:w="36"/>
        <w:gridCol w:w="36"/>
        <w:gridCol w:w="121"/>
        <w:gridCol w:w="1078"/>
        <w:gridCol w:w="36"/>
      </w:tblGrid>
      <w:tr w:rsidR="00000000">
        <w:trPr>
          <w:divId w:val="742726288"/>
        </w:trPr>
        <w:tc>
          <w:tcPr>
            <w:tcW w:w="50" w:type="pct"/>
            <w:vAlign w:val="center"/>
            <w:hideMark/>
          </w:tcPr>
          <w:p w:rsidR="00000000" w:rsidRDefault="005B0BC3">
            <w:pPr>
              <w:rPr>
                <w:rFonts w:eastAsia="Times New Roman"/>
              </w:rPr>
            </w:pPr>
          </w:p>
        </w:tc>
        <w:tc>
          <w:tcPr>
            <w:tcW w:w="166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73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73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73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73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742726288"/>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Shares of Holdings Performance Awards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Weighted-Average Grant Date</w:t>
            </w:r>
            <w:r>
              <w:rPr>
                <w:rFonts w:eastAsia="Times New Roman"/>
                <w:b/>
                <w:bCs/>
                <w:color w:val="000000"/>
                <w:sz w:val="16"/>
                <w:szCs w:val="16"/>
              </w:rPr>
              <w:br/>
              <w:t> Fair Value</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Shares of AXA Performance Awards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Weighted-Average Grant Date</w:t>
            </w:r>
            <w:r>
              <w:rPr>
                <w:rFonts w:eastAsia="Times New Roman"/>
                <w:b/>
                <w:bCs/>
                <w:color w:val="000000"/>
                <w:sz w:val="16"/>
                <w:szCs w:val="16"/>
              </w:rPr>
              <w:br/>
              <w:t>Fair Value</w:t>
            </w:r>
          </w:p>
        </w:tc>
      </w:tr>
      <w:tr w:rsidR="00000000">
        <w:trPr>
          <w:divId w:val="742726288"/>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Unvested as of January 1, 2021</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676,688 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22.14 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2,806,126 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21.86 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742726288"/>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Granted</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1,153,932 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29.91 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742726288"/>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Forfeited</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(200,814)</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28.28 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(7,939)</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27.18 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742726288"/>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Vested</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(168,132)</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23.17 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(1,410,020)</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23.94 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742726288"/>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Other (1)</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(1,325,420)</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19.64 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742726288"/>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Unvested as of December 31, 2021</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1,461,674 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28.58 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62,747 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21.28 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ind w:hanging="720"/>
        <w:divId w:val="539518557"/>
        <w:rPr>
          <w:rFonts w:eastAsia="Times New Roman"/>
        </w:rPr>
      </w:pPr>
      <w:r>
        <w:rPr>
          <w:rFonts w:eastAsia="Times New Roman"/>
          <w:color w:val="000000"/>
          <w:sz w:val="18"/>
          <w:szCs w:val="18"/>
        </w:rPr>
        <w:t>_______________</w:t>
      </w:r>
    </w:p>
    <w:p w:rsidR="00000000" w:rsidRDefault="005B0BC3">
      <w:pPr>
        <w:ind w:hanging="360"/>
        <w:divId w:val="372075619"/>
        <w:rPr>
          <w:rFonts w:eastAsia="Times New Roman"/>
        </w:rPr>
      </w:pPr>
      <w:r>
        <w:rPr>
          <w:rFonts w:eastAsia="Times New Roman"/>
          <w:color w:val="000000"/>
          <w:sz w:val="18"/>
          <w:szCs w:val="18"/>
        </w:rPr>
        <w:t xml:space="preserve">(1) One time true-up of AXA Performance Awards related to the transition to third party administrator. </w:t>
      </w:r>
    </w:p>
    <w:p w:rsidR="00000000" w:rsidRDefault="005B0BC3">
      <w:pPr>
        <w:divId w:val="1283802103"/>
        <w:rPr>
          <w:rFonts w:eastAsia="Times New Roman"/>
        </w:rPr>
      </w:pPr>
    </w:p>
    <w:p w:rsidR="00000000" w:rsidRDefault="005B0BC3">
      <w:pPr>
        <w:divId w:val="1708487974"/>
        <w:rPr>
          <w:rFonts w:eastAsia="Times New Roman"/>
        </w:rPr>
      </w:pPr>
    </w:p>
    <w:p w:rsidR="00000000" w:rsidRDefault="005B0BC3">
      <w:pPr>
        <w:jc w:val="center"/>
        <w:divId w:val="1756589285"/>
        <w:rPr>
          <w:rFonts w:eastAsia="Times New Roman"/>
        </w:rPr>
      </w:pPr>
      <w:r>
        <w:rPr>
          <w:rFonts w:eastAsia="Times New Roman"/>
          <w:color w:val="000000"/>
          <w:sz w:val="20"/>
          <w:szCs w:val="20"/>
        </w:rPr>
        <w:t>216</w:t>
      </w:r>
    </w:p>
    <w:p w:rsidR="00000000" w:rsidRDefault="005B0BC3">
      <w:pPr>
        <w:rPr>
          <w:rFonts w:eastAsia="Times New Roman"/>
        </w:rPr>
      </w:pPr>
      <w:r>
        <w:rPr>
          <w:rFonts w:eastAsia="Times New Roman"/>
        </w:rPr>
        <w:pict>
          <v:rect id="_x0000_i1254" style="width:0;height:1.5pt" o:hralign="center" o:hrstd="t" o:hr="t" fillcolor="#a0a0a0" stroked="f"/>
        </w:pict>
      </w:r>
    </w:p>
    <w:p w:rsidR="00000000" w:rsidRDefault="005B0BC3">
      <w:pPr>
        <w:jc w:val="center"/>
        <w:divId w:val="902910313"/>
        <w:rPr>
          <w:rFonts w:eastAsia="Times New Roman"/>
        </w:rPr>
      </w:pPr>
      <w:r>
        <w:rPr>
          <w:rFonts w:eastAsia="Times New Roman"/>
          <w:b/>
          <w:bCs/>
          <w:color w:val="000000"/>
          <w:sz w:val="20"/>
          <w:szCs w:val="20"/>
        </w:rPr>
        <w:t>EQUITABLE HOLDINGS, INC.</w:t>
      </w:r>
    </w:p>
    <w:p w:rsidR="00000000" w:rsidRDefault="005B0BC3">
      <w:pPr>
        <w:jc w:val="center"/>
        <w:divId w:val="902910313"/>
        <w:rPr>
          <w:rFonts w:eastAsia="Times New Roman"/>
        </w:rPr>
      </w:pPr>
      <w:r>
        <w:rPr>
          <w:rFonts w:eastAsia="Times New Roman"/>
          <w:b/>
          <w:bCs/>
          <w:color w:val="000000"/>
          <w:sz w:val="20"/>
          <w:szCs w:val="20"/>
        </w:rPr>
        <w:t>NOTES TO CONSOLIDATED FINANCIAL STATEMENTS, continued</w:t>
      </w:r>
    </w:p>
    <w:p w:rsidR="00000000" w:rsidRDefault="005B0BC3">
      <w:pPr>
        <w:divId w:val="1257252438"/>
        <w:rPr>
          <w:rFonts w:eastAsia="Times New Roman"/>
        </w:rPr>
      </w:pPr>
      <w:r>
        <w:rPr>
          <w:rFonts w:eastAsia="Times New Roman"/>
          <w:b/>
          <w:bCs/>
          <w:color w:val="000000"/>
          <w:sz w:val="20"/>
          <w:szCs w:val="20"/>
        </w:rPr>
        <w:t xml:space="preserve">16)    INCOME TAXES </w:t>
      </w:r>
    </w:p>
    <w:p w:rsidR="00000000" w:rsidRDefault="005B0BC3">
      <w:pPr>
        <w:divId w:val="904146049"/>
        <w:rPr>
          <w:rFonts w:eastAsia="Times New Roman"/>
        </w:rPr>
      </w:pPr>
      <w:r>
        <w:rPr>
          <w:rFonts w:eastAsia="Times New Roman"/>
          <w:color w:val="000000"/>
          <w:sz w:val="20"/>
          <w:szCs w:val="20"/>
        </w:rPr>
        <w:t>Income from operations before income taxes included income (loss) from domestic operations of $(392) million, $(1.3) bil</w:t>
      </w:r>
      <w:r>
        <w:rPr>
          <w:rFonts w:eastAsia="Times New Roman"/>
          <w:color w:val="000000"/>
          <w:sz w:val="20"/>
          <w:szCs w:val="20"/>
        </w:rPr>
        <w:t>lion and $(2.2) billion for the years ended December 31, 2021, 2020 and 2019, and income from foreign operations of $223 million, $169 million and $131 million for the years ended December 31, 2021, 2020 and 2019. Approximately $59 million, $45 million and</w:t>
      </w:r>
      <w:r>
        <w:rPr>
          <w:rFonts w:eastAsia="Times New Roman"/>
          <w:color w:val="000000"/>
          <w:sz w:val="20"/>
          <w:szCs w:val="20"/>
        </w:rPr>
        <w:t xml:space="preserve"> $34 million of the Company’s income tax expense is attributed to foreign jurisdictions for the years ended December 31, 2021, 2020 and 2019.</w:t>
      </w:r>
    </w:p>
    <w:p w:rsidR="00000000" w:rsidRDefault="005B0BC3">
      <w:pPr>
        <w:divId w:val="1410344794"/>
        <w:rPr>
          <w:rFonts w:eastAsia="Times New Roman"/>
        </w:rPr>
      </w:pPr>
      <w:r>
        <w:rPr>
          <w:rFonts w:eastAsia="Times New Roman"/>
          <w:color w:val="000000"/>
          <w:sz w:val="20"/>
          <w:szCs w:val="20"/>
        </w:rPr>
        <w:t>A summary of the income tax (expense) benefit in the consolidated statements of income (loss)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4657"/>
        <w:gridCol w:w="37"/>
        <w:gridCol w:w="120"/>
        <w:gridCol w:w="989"/>
        <w:gridCol w:w="36"/>
        <w:gridCol w:w="36"/>
        <w:gridCol w:w="36"/>
        <w:gridCol w:w="36"/>
        <w:gridCol w:w="120"/>
        <w:gridCol w:w="950"/>
        <w:gridCol w:w="36"/>
        <w:gridCol w:w="36"/>
        <w:gridCol w:w="36"/>
        <w:gridCol w:w="36"/>
        <w:gridCol w:w="120"/>
        <w:gridCol w:w="951"/>
        <w:gridCol w:w="36"/>
      </w:tblGrid>
      <w:tr w:rsidR="00000000">
        <w:trPr>
          <w:divId w:val="1323586918"/>
        </w:trPr>
        <w:tc>
          <w:tcPr>
            <w:tcW w:w="50" w:type="pct"/>
            <w:vAlign w:val="center"/>
            <w:hideMark/>
          </w:tcPr>
          <w:p w:rsidR="00000000" w:rsidRDefault="005B0BC3">
            <w:pPr>
              <w:rPr>
                <w:rFonts w:eastAsia="Times New Roman"/>
              </w:rPr>
            </w:pPr>
          </w:p>
        </w:tc>
        <w:tc>
          <w:tcPr>
            <w:tcW w:w="283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323586918"/>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r>
      <w:tr w:rsidR="00000000">
        <w:trPr>
          <w:divId w:val="1323586918"/>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1323586918"/>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1323586918"/>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Income tax (expense) benefit:</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323586918"/>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Current (expense) benefit</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(129)</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(71)</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23586918"/>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Deferred (expense) benefit</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749 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664 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23586918"/>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Total</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145</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744 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593 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divId w:val="1205632492"/>
        <w:rPr>
          <w:rFonts w:eastAsia="Times New Roman"/>
        </w:rPr>
      </w:pPr>
    </w:p>
    <w:p w:rsidR="00000000" w:rsidRDefault="005B0BC3">
      <w:pPr>
        <w:divId w:val="1704087471"/>
        <w:rPr>
          <w:rFonts w:eastAsia="Times New Roman"/>
        </w:rPr>
      </w:pPr>
      <w:r>
        <w:rPr>
          <w:rFonts w:eastAsia="Times New Roman"/>
          <w:color w:val="000000"/>
          <w:sz w:val="20"/>
          <w:szCs w:val="20"/>
        </w:rPr>
        <w:t>The Federal income taxes attributable to consolidated operations are different from the amounts determined by multiplying the earnings before income taxes and noncontrolling interest by the expected Federal income tax rate of 21%. The sources of the differ</w:t>
      </w:r>
      <w:r>
        <w:rPr>
          <w:rFonts w:eastAsia="Times New Roman"/>
          <w:color w:val="000000"/>
          <w:sz w:val="20"/>
          <w:szCs w:val="20"/>
        </w:rPr>
        <w:t>ence and their tax effects are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4656"/>
        <w:gridCol w:w="38"/>
        <w:gridCol w:w="120"/>
        <w:gridCol w:w="989"/>
        <w:gridCol w:w="36"/>
        <w:gridCol w:w="36"/>
        <w:gridCol w:w="36"/>
        <w:gridCol w:w="36"/>
        <w:gridCol w:w="120"/>
        <w:gridCol w:w="949"/>
        <w:gridCol w:w="36"/>
        <w:gridCol w:w="36"/>
        <w:gridCol w:w="36"/>
        <w:gridCol w:w="36"/>
        <w:gridCol w:w="120"/>
        <w:gridCol w:w="951"/>
        <w:gridCol w:w="36"/>
      </w:tblGrid>
      <w:tr w:rsidR="00000000">
        <w:trPr>
          <w:divId w:val="84301750"/>
        </w:trPr>
        <w:tc>
          <w:tcPr>
            <w:tcW w:w="50" w:type="pct"/>
            <w:vAlign w:val="center"/>
            <w:hideMark/>
          </w:tcPr>
          <w:p w:rsidR="00000000" w:rsidRDefault="005B0BC3">
            <w:pPr>
              <w:rPr>
                <w:rFonts w:eastAsia="Times New Roman"/>
              </w:rPr>
            </w:pPr>
          </w:p>
        </w:tc>
        <w:tc>
          <w:tcPr>
            <w:tcW w:w="283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84301750"/>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r>
      <w:tr w:rsidR="00000000">
        <w:trPr>
          <w:divId w:val="84301750"/>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84301750"/>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84301750"/>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Expected income tax (expense) benefit</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229 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433 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84301750"/>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Noncontrolling interest</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84301750"/>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Non-taxable investment income</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84301750"/>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Tax audit interest</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(24)</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84301750"/>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State income taxes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(47)</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(38)</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84301750"/>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Tax settlements/uncertain tax position release</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398 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84301750"/>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Tax credits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84301750"/>
        </w:trPr>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84301750"/>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84301750"/>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84301750"/>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Income tax (expense) benefit</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145</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744 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593 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divId w:val="173081392"/>
        <w:rPr>
          <w:rFonts w:eastAsia="Times New Roman"/>
        </w:rPr>
      </w:pPr>
    </w:p>
    <w:p w:rsidR="00000000" w:rsidRDefault="005B0BC3">
      <w:pPr>
        <w:divId w:val="1425302122"/>
        <w:rPr>
          <w:rFonts w:eastAsia="Times New Roman"/>
        </w:rPr>
      </w:pPr>
      <w:r>
        <w:rPr>
          <w:rFonts w:eastAsia="Times New Roman"/>
          <w:color w:val="000000"/>
          <w:sz w:val="20"/>
          <w:szCs w:val="20"/>
        </w:rPr>
        <w:t>During the fourth quarter of 2020, the Company agreed to the Internal Revenue Service’s Revenue Agent’</w:t>
      </w:r>
      <w:r>
        <w:rPr>
          <w:rFonts w:eastAsia="Times New Roman"/>
          <w:color w:val="000000"/>
          <w:sz w:val="20"/>
          <w:szCs w:val="20"/>
        </w:rPr>
        <w:t>s Report for its consolidated 2010 through 2013 Federal corporate income tax returns. The impact on the Company’s financial statements and unrecognized tax benefits was a tax benefit of $398 million.</w:t>
      </w:r>
    </w:p>
    <w:p w:rsidR="00000000" w:rsidRDefault="005B0BC3">
      <w:pPr>
        <w:divId w:val="803499600"/>
        <w:rPr>
          <w:rFonts w:eastAsia="Times New Roman"/>
        </w:rPr>
      </w:pPr>
      <w:r>
        <w:rPr>
          <w:rFonts w:eastAsia="Times New Roman"/>
          <w:color w:val="000000"/>
          <w:sz w:val="20"/>
          <w:szCs w:val="20"/>
        </w:rPr>
        <w:t xml:space="preserve">During the second quarter of 2019, the Company released </w:t>
      </w:r>
      <w:r>
        <w:rPr>
          <w:rFonts w:eastAsia="Times New Roman"/>
          <w:color w:val="000000"/>
          <w:sz w:val="20"/>
          <w:szCs w:val="20"/>
        </w:rPr>
        <w:t>a state income tax liability due to recently drafted regulations. The benefit recorded in the Company’s financial statements was $63 million.</w:t>
      </w:r>
    </w:p>
    <w:p w:rsidR="00000000" w:rsidRDefault="005B0BC3">
      <w:pPr>
        <w:divId w:val="670332148"/>
        <w:rPr>
          <w:rFonts w:eastAsia="Times New Roman"/>
        </w:rPr>
      </w:pPr>
      <w:r>
        <w:rPr>
          <w:rFonts w:eastAsia="Times New Roman"/>
          <w:color w:val="000000"/>
          <w:sz w:val="20"/>
          <w:szCs w:val="20"/>
        </w:rPr>
        <w:t>The components of the net deferred income taxes are as follows:</w:t>
      </w:r>
    </w:p>
    <w:p w:rsidR="00000000" w:rsidRDefault="005B0BC3">
      <w:pPr>
        <w:jc w:val="center"/>
        <w:divId w:val="1847016292"/>
        <w:rPr>
          <w:rFonts w:eastAsia="Times New Roman"/>
        </w:rPr>
      </w:pPr>
      <w:r>
        <w:rPr>
          <w:rFonts w:eastAsia="Times New Roman"/>
          <w:color w:val="000000"/>
          <w:sz w:val="20"/>
          <w:szCs w:val="20"/>
        </w:rPr>
        <w:t>217</w:t>
      </w:r>
    </w:p>
    <w:p w:rsidR="00000000" w:rsidRDefault="005B0BC3">
      <w:pPr>
        <w:rPr>
          <w:rFonts w:eastAsia="Times New Roman"/>
        </w:rPr>
      </w:pPr>
      <w:r>
        <w:rPr>
          <w:rFonts w:eastAsia="Times New Roman"/>
        </w:rPr>
        <w:pict>
          <v:rect id="_x0000_i1255" style="width:0;height:1.5pt" o:hralign="center" o:hrstd="t" o:hr="t" fillcolor="#a0a0a0" stroked="f"/>
        </w:pict>
      </w:r>
    </w:p>
    <w:p w:rsidR="00000000" w:rsidRDefault="005B0BC3">
      <w:pPr>
        <w:jc w:val="center"/>
        <w:divId w:val="576012452"/>
        <w:rPr>
          <w:rFonts w:eastAsia="Times New Roman"/>
        </w:rPr>
      </w:pPr>
      <w:r>
        <w:rPr>
          <w:rFonts w:eastAsia="Times New Roman"/>
          <w:b/>
          <w:bCs/>
          <w:color w:val="000000"/>
          <w:sz w:val="20"/>
          <w:szCs w:val="20"/>
        </w:rPr>
        <w:t xml:space="preserve">EQUITABLE </w:t>
      </w:r>
      <w:r>
        <w:rPr>
          <w:rFonts w:eastAsia="Times New Roman"/>
          <w:b/>
          <w:bCs/>
          <w:color w:val="000000"/>
          <w:sz w:val="20"/>
          <w:szCs w:val="20"/>
        </w:rPr>
        <w:t>HOLDINGS, INC.</w:t>
      </w:r>
    </w:p>
    <w:p w:rsidR="00000000" w:rsidRDefault="005B0BC3">
      <w:pPr>
        <w:jc w:val="center"/>
        <w:divId w:val="576012452"/>
        <w:rPr>
          <w:rFonts w:eastAsia="Times New Roman"/>
        </w:rPr>
      </w:pPr>
      <w:r>
        <w:rPr>
          <w:rFonts w:eastAsia="Times New Roman"/>
          <w:b/>
          <w:bCs/>
          <w:color w:val="000000"/>
          <w:sz w:val="20"/>
          <w:szCs w:val="20"/>
        </w:rPr>
        <w:t>NOTES TO CONSOLIDATED FINANCIAL STATEMENTS, continued</w:t>
      </w:r>
    </w:p>
    <w:tbl>
      <w:tblPr>
        <w:tblW w:w="5000" w:type="pct"/>
        <w:tblCellMar>
          <w:top w:w="15" w:type="dxa"/>
          <w:left w:w="15" w:type="dxa"/>
          <w:bottom w:w="15" w:type="dxa"/>
          <w:right w:w="15" w:type="dxa"/>
        </w:tblCellMar>
        <w:tblLook w:val="04A0" w:firstRow="1" w:lastRow="0" w:firstColumn="1" w:lastColumn="0" w:noHBand="0" w:noVBand="1"/>
      </w:tblPr>
      <w:tblGrid>
        <w:gridCol w:w="37"/>
        <w:gridCol w:w="3898"/>
        <w:gridCol w:w="36"/>
        <w:gridCol w:w="120"/>
        <w:gridCol w:w="878"/>
        <w:gridCol w:w="36"/>
        <w:gridCol w:w="36"/>
        <w:gridCol w:w="36"/>
        <w:gridCol w:w="36"/>
        <w:gridCol w:w="121"/>
        <w:gridCol w:w="835"/>
        <w:gridCol w:w="36"/>
        <w:gridCol w:w="36"/>
        <w:gridCol w:w="36"/>
        <w:gridCol w:w="36"/>
        <w:gridCol w:w="120"/>
        <w:gridCol w:w="836"/>
        <w:gridCol w:w="36"/>
        <w:gridCol w:w="36"/>
        <w:gridCol w:w="36"/>
        <w:gridCol w:w="36"/>
        <w:gridCol w:w="121"/>
        <w:gridCol w:w="836"/>
        <w:gridCol w:w="36"/>
      </w:tblGrid>
      <w:tr w:rsidR="00000000">
        <w:trPr>
          <w:divId w:val="984432788"/>
        </w:trPr>
        <w:tc>
          <w:tcPr>
            <w:tcW w:w="50" w:type="pct"/>
            <w:vAlign w:val="center"/>
            <w:hideMark/>
          </w:tcPr>
          <w:p w:rsidR="00000000" w:rsidRDefault="005B0BC3">
            <w:pPr>
              <w:jc w:val="center"/>
              <w:rPr>
                <w:rFonts w:eastAsia="Times New Roman"/>
              </w:rPr>
            </w:pPr>
          </w:p>
        </w:tc>
        <w:tc>
          <w:tcPr>
            <w:tcW w:w="237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984432788"/>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1"/>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December 31,</w:t>
            </w:r>
          </w:p>
        </w:tc>
      </w:tr>
      <w:tr w:rsidR="00000000">
        <w:trPr>
          <w:divId w:val="984432788"/>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r>
      <w:tr w:rsidR="00000000">
        <w:trPr>
          <w:divId w:val="984432788"/>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 xml:space="preserve">Assets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 xml:space="preserve">Liabilities </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 xml:space="preserve">Assets </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 xml:space="preserve">Liabilities </w:t>
            </w:r>
          </w:p>
        </w:tc>
      </w:tr>
      <w:tr w:rsidR="00000000">
        <w:trPr>
          <w:divId w:val="984432788"/>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21"/>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984432788"/>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Compensation and related benefits</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297 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984432788"/>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Net operating loss and credits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699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984432788"/>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Reserves and reinsurance</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2,281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1,528 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984432788"/>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DAC</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638 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984432788"/>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Unrealized investment gains/losses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965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1,790 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984432788"/>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Investments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461 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984432788"/>
        </w:trPr>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984432788"/>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984432788"/>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Total</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3,253</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2,709</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2,374 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2,598 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divId w:val="2077581622"/>
        <w:rPr>
          <w:rFonts w:eastAsia="Times New Roman"/>
        </w:rPr>
      </w:pPr>
    </w:p>
    <w:p w:rsidR="00000000" w:rsidRDefault="005B0BC3">
      <w:pPr>
        <w:divId w:val="2019193733"/>
        <w:rPr>
          <w:rFonts w:eastAsia="Times New Roman"/>
        </w:rPr>
      </w:pPr>
      <w:r>
        <w:rPr>
          <w:rFonts w:eastAsia="Times New Roman"/>
          <w:color w:val="000000"/>
          <w:sz w:val="20"/>
          <w:szCs w:val="20"/>
        </w:rPr>
        <w:t>The Company has Federal net operating loss carryforwards of $2.7 billion and $13 million, for the years ending December </w:t>
      </w:r>
      <w:r>
        <w:rPr>
          <w:rFonts w:eastAsia="Times New Roman"/>
          <w:color w:val="000000"/>
          <w:sz w:val="20"/>
          <w:szCs w:val="20"/>
        </w:rPr>
        <w:t xml:space="preserve">31, 2021 and 2020, respectively, which do not expire. </w:t>
      </w:r>
    </w:p>
    <w:p w:rsidR="00000000" w:rsidRDefault="005B0BC3">
      <w:pPr>
        <w:divId w:val="1783376142"/>
        <w:rPr>
          <w:rFonts w:eastAsia="Times New Roman"/>
        </w:rPr>
      </w:pPr>
    </w:p>
    <w:p w:rsidR="00000000" w:rsidRDefault="005B0BC3">
      <w:pPr>
        <w:divId w:val="511070398"/>
        <w:rPr>
          <w:rFonts w:eastAsia="Times New Roman"/>
        </w:rPr>
      </w:pPr>
      <w:r>
        <w:rPr>
          <w:rFonts w:eastAsia="Times New Roman"/>
          <w:color w:val="000000"/>
          <w:sz w:val="20"/>
          <w:szCs w:val="20"/>
        </w:rPr>
        <w:t>The Company provides income taxes on the unremitted earnings of non-U.S. corporate subsidiaries except to the extent that such earnings are indefinitely reinvested outside the United States. As of De</w:t>
      </w:r>
      <w:r>
        <w:rPr>
          <w:rFonts w:eastAsia="Times New Roman"/>
          <w:color w:val="000000"/>
          <w:sz w:val="20"/>
          <w:szCs w:val="20"/>
        </w:rPr>
        <w:t>cember 31, 2021, $30 million of undistributed earnings of non-U.S. corporate subsidiaries were permanently invested outside the United States. At existing applicable income tax rates, additional taxes of approximately $8 million would need to be provided i</w:t>
      </w:r>
      <w:r>
        <w:rPr>
          <w:rFonts w:eastAsia="Times New Roman"/>
          <w:color w:val="000000"/>
          <w:sz w:val="20"/>
          <w:szCs w:val="20"/>
        </w:rPr>
        <w:t xml:space="preserve">f such earnings are remitted. </w:t>
      </w:r>
    </w:p>
    <w:p w:rsidR="00000000" w:rsidRDefault="005B0BC3">
      <w:pPr>
        <w:divId w:val="752892123"/>
        <w:rPr>
          <w:rFonts w:eastAsia="Times New Roman"/>
        </w:rPr>
      </w:pPr>
      <w:r>
        <w:rPr>
          <w:rFonts w:eastAsia="Times New Roman"/>
          <w:color w:val="000000"/>
          <w:sz w:val="20"/>
          <w:szCs w:val="20"/>
        </w:rPr>
        <w:t>A reconciliation of unrecognized tax benefits (excluding interest and penalties)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4655"/>
        <w:gridCol w:w="39"/>
        <w:gridCol w:w="120"/>
        <w:gridCol w:w="989"/>
        <w:gridCol w:w="36"/>
        <w:gridCol w:w="36"/>
        <w:gridCol w:w="36"/>
        <w:gridCol w:w="36"/>
        <w:gridCol w:w="120"/>
        <w:gridCol w:w="948"/>
        <w:gridCol w:w="36"/>
        <w:gridCol w:w="36"/>
        <w:gridCol w:w="36"/>
        <w:gridCol w:w="36"/>
        <w:gridCol w:w="120"/>
        <w:gridCol w:w="951"/>
        <w:gridCol w:w="36"/>
      </w:tblGrid>
      <w:tr w:rsidR="00000000">
        <w:trPr>
          <w:divId w:val="2006089386"/>
        </w:trPr>
        <w:tc>
          <w:tcPr>
            <w:tcW w:w="50" w:type="pct"/>
            <w:vAlign w:val="center"/>
            <w:hideMark/>
          </w:tcPr>
          <w:p w:rsidR="00000000" w:rsidRDefault="005B0BC3">
            <w:pPr>
              <w:rPr>
                <w:rFonts w:eastAsia="Times New Roman"/>
              </w:rPr>
            </w:pPr>
          </w:p>
        </w:tc>
        <w:tc>
          <w:tcPr>
            <w:tcW w:w="283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2006089386"/>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2006089386"/>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2006089386"/>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Balance at January 1,</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316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501 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539 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006089386"/>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Additions for tax positions of prior years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241 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006089386"/>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Reductions for tax positions of prior years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(382)</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(63)</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006089386"/>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Additions for tax positions of current year</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006089386"/>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Settlements with tax authorities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(44)</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006089386"/>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 xml:space="preserve">Balance at December 31, </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323</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316 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501 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006089386"/>
          <w:trHeight w:val="280"/>
        </w:trPr>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2006089386"/>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Unrecognized tax benefits that, if recognized, would impact the effective rate</w:t>
            </w: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67</w:t>
            </w:r>
            <w:r>
              <w:rPr>
                <w:rFonts w:eastAsia="Times New Roman"/>
                <w:color w:val="000000"/>
                <w:sz w:val="20"/>
                <w:szCs w:val="20"/>
              </w:rPr>
              <w:t>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77 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369 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divId w:val="2002998253"/>
        <w:rPr>
          <w:rFonts w:eastAsia="Times New Roman"/>
        </w:rPr>
      </w:pPr>
    </w:p>
    <w:p w:rsidR="00000000" w:rsidRDefault="005B0BC3">
      <w:pPr>
        <w:divId w:val="1457330328"/>
        <w:rPr>
          <w:rFonts w:eastAsia="Times New Roman"/>
        </w:rPr>
      </w:pPr>
      <w:r>
        <w:rPr>
          <w:rFonts w:eastAsia="Times New Roman"/>
          <w:color w:val="000000"/>
          <w:sz w:val="20"/>
          <w:szCs w:val="20"/>
        </w:rPr>
        <w:t>The Company recognizes accrued interest and penalties related to unrecognized tax benefits in tax expense. Interest and penalties included in the amounts of unrecognized tax benefits as of December 31, 20</w:t>
      </w:r>
      <w:r>
        <w:rPr>
          <w:rFonts w:eastAsia="Times New Roman"/>
          <w:color w:val="000000"/>
          <w:sz w:val="20"/>
          <w:szCs w:val="20"/>
        </w:rPr>
        <w:t>21 and 2020 were $50 million and $36 million, respectively. For 2021, 2020 and 2019, respectively, there were $14 million, $(60) million and $21 million in interest expense (benefit) related to unrecognized tax benefits.</w:t>
      </w:r>
    </w:p>
    <w:p w:rsidR="00000000" w:rsidRDefault="005B0BC3">
      <w:pPr>
        <w:divId w:val="172114182"/>
        <w:rPr>
          <w:rFonts w:eastAsia="Times New Roman"/>
        </w:rPr>
      </w:pPr>
      <w:r>
        <w:rPr>
          <w:rFonts w:eastAsia="Times New Roman"/>
          <w:color w:val="000000"/>
          <w:sz w:val="20"/>
          <w:szCs w:val="20"/>
        </w:rPr>
        <w:t xml:space="preserve">It is reasonably possible that the </w:t>
      </w:r>
      <w:r>
        <w:rPr>
          <w:rFonts w:eastAsia="Times New Roman"/>
          <w:color w:val="000000"/>
          <w:sz w:val="20"/>
          <w:szCs w:val="20"/>
        </w:rPr>
        <w:t>total amount of unrecognized tax benefits will change within the next 12 months due to the conclusion of IRS proceedings and the addition of new issues for open tax years. The possible change in the amount of unrecognized tax benefits cannot be estimated a</w:t>
      </w:r>
      <w:r>
        <w:rPr>
          <w:rFonts w:eastAsia="Times New Roman"/>
          <w:color w:val="000000"/>
          <w:sz w:val="20"/>
          <w:szCs w:val="20"/>
        </w:rPr>
        <w:t>t this time.</w:t>
      </w:r>
    </w:p>
    <w:p w:rsidR="00000000" w:rsidRDefault="005B0BC3">
      <w:pPr>
        <w:divId w:val="364407654"/>
        <w:rPr>
          <w:rFonts w:eastAsia="Times New Roman"/>
        </w:rPr>
      </w:pPr>
      <w:r>
        <w:rPr>
          <w:rFonts w:eastAsia="Times New Roman"/>
          <w:color w:val="000000"/>
          <w:sz w:val="20"/>
          <w:szCs w:val="20"/>
        </w:rPr>
        <w:t>As of December 31, 2021, tax years 2014 and subsequent remain subject to examination by the IRS.</w:t>
      </w:r>
    </w:p>
    <w:p w:rsidR="00000000" w:rsidRDefault="005B0BC3">
      <w:pPr>
        <w:jc w:val="center"/>
        <w:divId w:val="1624068799"/>
        <w:rPr>
          <w:rFonts w:eastAsia="Times New Roman"/>
        </w:rPr>
      </w:pPr>
      <w:r>
        <w:rPr>
          <w:rFonts w:eastAsia="Times New Roman"/>
          <w:color w:val="000000"/>
          <w:sz w:val="20"/>
          <w:szCs w:val="20"/>
        </w:rPr>
        <w:t>218</w:t>
      </w:r>
    </w:p>
    <w:p w:rsidR="00000000" w:rsidRDefault="005B0BC3">
      <w:pPr>
        <w:rPr>
          <w:rFonts w:eastAsia="Times New Roman"/>
        </w:rPr>
      </w:pPr>
      <w:r>
        <w:rPr>
          <w:rFonts w:eastAsia="Times New Roman"/>
        </w:rPr>
        <w:pict>
          <v:rect id="_x0000_i1256" style="width:0;height:1.5pt" o:hralign="center" o:hrstd="t" o:hr="t" fillcolor="#a0a0a0" stroked="f"/>
        </w:pict>
      </w:r>
    </w:p>
    <w:p w:rsidR="00000000" w:rsidRDefault="005B0BC3">
      <w:pPr>
        <w:jc w:val="center"/>
        <w:divId w:val="1550340324"/>
        <w:rPr>
          <w:rFonts w:eastAsia="Times New Roman"/>
        </w:rPr>
      </w:pPr>
      <w:r>
        <w:rPr>
          <w:rFonts w:eastAsia="Times New Roman"/>
          <w:b/>
          <w:bCs/>
          <w:color w:val="000000"/>
          <w:sz w:val="20"/>
          <w:szCs w:val="20"/>
        </w:rPr>
        <w:t>EQUITABLE HOLDINGS, INC.</w:t>
      </w:r>
    </w:p>
    <w:p w:rsidR="00000000" w:rsidRDefault="005B0BC3">
      <w:pPr>
        <w:jc w:val="center"/>
        <w:divId w:val="1550340324"/>
        <w:rPr>
          <w:rFonts w:eastAsia="Times New Roman"/>
        </w:rPr>
      </w:pPr>
      <w:r>
        <w:rPr>
          <w:rFonts w:eastAsia="Times New Roman"/>
          <w:b/>
          <w:bCs/>
          <w:color w:val="000000"/>
          <w:sz w:val="20"/>
          <w:szCs w:val="20"/>
        </w:rPr>
        <w:t>NOTES TO CONSOLIDATED FINANCIAL STATEMENTS, continued</w:t>
      </w:r>
    </w:p>
    <w:p w:rsidR="00000000" w:rsidRDefault="005B0BC3">
      <w:pPr>
        <w:divId w:val="1451245800"/>
        <w:rPr>
          <w:rFonts w:eastAsia="Times New Roman"/>
        </w:rPr>
      </w:pPr>
      <w:r>
        <w:rPr>
          <w:rFonts w:eastAsia="Times New Roman"/>
          <w:b/>
          <w:bCs/>
          <w:color w:val="000000"/>
          <w:sz w:val="20"/>
          <w:szCs w:val="20"/>
        </w:rPr>
        <w:t>17)    COMMITMENTS AND CONT</w:t>
      </w:r>
      <w:r>
        <w:rPr>
          <w:rFonts w:eastAsia="Times New Roman"/>
          <w:b/>
          <w:bCs/>
          <w:color w:val="000000"/>
          <w:sz w:val="20"/>
          <w:szCs w:val="20"/>
        </w:rPr>
        <w:t>INGENT LIABILITIES</w:t>
      </w:r>
    </w:p>
    <w:p w:rsidR="00000000" w:rsidRDefault="005B0BC3">
      <w:pPr>
        <w:divId w:val="830756499"/>
        <w:rPr>
          <w:rFonts w:eastAsia="Times New Roman"/>
        </w:rPr>
      </w:pPr>
      <w:r>
        <w:rPr>
          <w:rFonts w:eastAsia="Times New Roman"/>
          <w:color w:val="000000"/>
          <w:sz w:val="20"/>
          <w:szCs w:val="20"/>
          <w:u w:val="single"/>
        </w:rPr>
        <w:t>Litigation and Regulatory Matters</w:t>
      </w:r>
    </w:p>
    <w:p w:rsidR="00000000" w:rsidRDefault="005B0BC3">
      <w:pPr>
        <w:divId w:val="1614551853"/>
        <w:rPr>
          <w:rFonts w:eastAsia="Times New Roman"/>
        </w:rPr>
      </w:pPr>
      <w:r>
        <w:rPr>
          <w:rFonts w:eastAsia="Times New Roman"/>
          <w:color w:val="000000"/>
          <w:sz w:val="20"/>
          <w:szCs w:val="20"/>
        </w:rPr>
        <w:t>Litigation, regulatory and other loss contingencies arise in the ordinary course of the Company’</w:t>
      </w:r>
      <w:r>
        <w:rPr>
          <w:rFonts w:eastAsia="Times New Roman"/>
          <w:color w:val="000000"/>
          <w:sz w:val="20"/>
          <w:szCs w:val="20"/>
        </w:rPr>
        <w:t>s activities as a diversified financial services firm. The Company is a defendant in a number of litigation matters arising from the conduct of its business. In some of these matters, claimants seek to recover very large or indeterminate amounts, including</w:t>
      </w:r>
      <w:r>
        <w:rPr>
          <w:rFonts w:eastAsia="Times New Roman"/>
          <w:color w:val="000000"/>
          <w:sz w:val="20"/>
          <w:szCs w:val="20"/>
        </w:rPr>
        <w:t xml:space="preserve"> compensatory, punitive, treble and exemplary damages. Modern pleading practice permits considerable variation in the assertion of monetary damages and other relief. Claimants are not always required to specify the monetary damages they seek, or they may b</w:t>
      </w:r>
      <w:r>
        <w:rPr>
          <w:rFonts w:eastAsia="Times New Roman"/>
          <w:color w:val="000000"/>
          <w:sz w:val="20"/>
          <w:szCs w:val="20"/>
        </w:rPr>
        <w:t>e required only to state an amount sufficient to meet a court’s jurisdictional requirements. Moreover, some jurisdictions allow claimants to allege monetary damages that far exceed any reasonably possible verdict. The variability in pleading requirements a</w:t>
      </w:r>
      <w:r>
        <w:rPr>
          <w:rFonts w:eastAsia="Times New Roman"/>
          <w:color w:val="000000"/>
          <w:sz w:val="20"/>
          <w:szCs w:val="20"/>
        </w:rPr>
        <w:t xml:space="preserve">nd past experience demonstrates that the monetary and other relief that may be requested in a lawsuit or claim often bears little relevance to the merits or potential value of a claim. Litigation against the Company includes a variety of claims including, </w:t>
      </w:r>
      <w:r>
        <w:rPr>
          <w:rFonts w:eastAsia="Times New Roman"/>
          <w:color w:val="000000"/>
          <w:sz w:val="20"/>
          <w:szCs w:val="20"/>
        </w:rPr>
        <w:t>among other things, insurers’ sales practices, alleged agent misconduct, alleged failure to properly supervise agents, contract administration, product design, features and accompanying disclosure, cost of insurance increases, payments of death benefits an</w:t>
      </w:r>
      <w:r>
        <w:rPr>
          <w:rFonts w:eastAsia="Times New Roman"/>
          <w:color w:val="000000"/>
          <w:sz w:val="20"/>
          <w:szCs w:val="20"/>
        </w:rPr>
        <w:t>d the reporting and escheatment of unclaimed property, alleged breach of fiduciary duties, alleged mismanagement of client funds and other matters.</w:t>
      </w:r>
    </w:p>
    <w:p w:rsidR="00000000" w:rsidRDefault="005B0BC3">
      <w:pPr>
        <w:divId w:val="741563881"/>
        <w:rPr>
          <w:rFonts w:eastAsia="Times New Roman"/>
        </w:rPr>
      </w:pPr>
      <w:r>
        <w:rPr>
          <w:rFonts w:eastAsia="Times New Roman"/>
          <w:color w:val="000000"/>
          <w:sz w:val="20"/>
          <w:szCs w:val="20"/>
        </w:rPr>
        <w:t>The outcome of a litigation or regulatory matter is difficult to predict, and the amount or range of potential losses associated with these or other loss contingencies requires significant management judgment. It is not possible to predict the ultimate out</w:t>
      </w:r>
      <w:r>
        <w:rPr>
          <w:rFonts w:eastAsia="Times New Roman"/>
          <w:color w:val="000000"/>
          <w:sz w:val="20"/>
          <w:szCs w:val="20"/>
        </w:rPr>
        <w:t>come or to provide reasonably possible losses or ranges of losses for all pending regulatory matters, litigation and other loss contingencies. While it is possible that an adverse outcome in certain cases could have a material adverse effect upon the Compa</w:t>
      </w:r>
      <w:r>
        <w:rPr>
          <w:rFonts w:eastAsia="Times New Roman"/>
          <w:color w:val="000000"/>
          <w:sz w:val="20"/>
          <w:szCs w:val="20"/>
        </w:rPr>
        <w:t>ny’s financial position, based on information currently known, management believes that neither the outcome of pending litigation and regulatory matters, nor potential liabilities associated with other loss contingencies, are likely to have such an effect.</w:t>
      </w:r>
      <w:r>
        <w:rPr>
          <w:rFonts w:eastAsia="Times New Roman"/>
          <w:color w:val="000000"/>
          <w:sz w:val="20"/>
          <w:szCs w:val="20"/>
        </w:rPr>
        <w:t xml:space="preserve"> However, given the large and indeterminate amounts sought in certain litigation and the inherent unpredictability of all such matters, it is possible that an adverse outcome in certain of the Company’s litigation or regulatory matters, or liabilities aris</w:t>
      </w:r>
      <w:r>
        <w:rPr>
          <w:rFonts w:eastAsia="Times New Roman"/>
          <w:color w:val="000000"/>
          <w:sz w:val="20"/>
          <w:szCs w:val="20"/>
        </w:rPr>
        <w:t>ing from other loss contingencies, could, from time to time, have a material adverse effect upon the Company’s results of operations or cash flows in a particular quarterly or annual period.</w:t>
      </w:r>
    </w:p>
    <w:p w:rsidR="00000000" w:rsidRDefault="005B0BC3">
      <w:pPr>
        <w:divId w:val="1191383094"/>
        <w:rPr>
          <w:rFonts w:eastAsia="Times New Roman"/>
        </w:rPr>
      </w:pPr>
      <w:r>
        <w:rPr>
          <w:rFonts w:eastAsia="Times New Roman"/>
          <w:color w:val="000000"/>
          <w:sz w:val="20"/>
          <w:szCs w:val="20"/>
        </w:rPr>
        <w:t>For some matters, the Company is able to estimate a range of loss</w:t>
      </w:r>
      <w:r>
        <w:rPr>
          <w:rFonts w:eastAsia="Times New Roman"/>
          <w:color w:val="000000"/>
          <w:sz w:val="20"/>
          <w:szCs w:val="20"/>
        </w:rPr>
        <w:t>. For such matters in which a loss is probable, an accrual has been made. For matters where the Company believes a loss is reasonably possible, but not probable, no accrual is required. For matters for which an accrual has been made, but there remains a re</w:t>
      </w:r>
      <w:r>
        <w:rPr>
          <w:rFonts w:eastAsia="Times New Roman"/>
          <w:color w:val="000000"/>
          <w:sz w:val="20"/>
          <w:szCs w:val="20"/>
        </w:rPr>
        <w:t>asonably possible range of loss in excess of the amounts accrued or for matters where no accrual is required, the Company develops an estimate of the unaccrued amounts of the reasonably possible range of losses. As of December 31, 2021, the Company estimat</w:t>
      </w:r>
      <w:r>
        <w:rPr>
          <w:rFonts w:eastAsia="Times New Roman"/>
          <w:color w:val="000000"/>
          <w:sz w:val="20"/>
          <w:szCs w:val="20"/>
        </w:rPr>
        <w:t>es the aggregate range of reasonably possible losses, in excess of any amounts accrued for these matters as of such date, to be up to approximately $250 million.</w:t>
      </w:r>
    </w:p>
    <w:p w:rsidR="00000000" w:rsidRDefault="005B0BC3">
      <w:pPr>
        <w:divId w:val="72434687"/>
        <w:rPr>
          <w:rFonts w:eastAsia="Times New Roman"/>
        </w:rPr>
      </w:pPr>
      <w:r>
        <w:rPr>
          <w:rFonts w:eastAsia="Times New Roman"/>
          <w:color w:val="000000"/>
          <w:sz w:val="20"/>
          <w:szCs w:val="20"/>
        </w:rPr>
        <w:t xml:space="preserve">For other matters, the Company is currently not able to estimate the reasonably possible loss </w:t>
      </w:r>
      <w:r>
        <w:rPr>
          <w:rFonts w:eastAsia="Times New Roman"/>
          <w:color w:val="000000"/>
          <w:sz w:val="20"/>
          <w:szCs w:val="20"/>
        </w:rPr>
        <w:t xml:space="preserve">or range of loss. The Company is often unable to estimate the possible loss or range of loss until developments in such matters have provided sufficient information to support an assessment of the range of possible loss, such as quantification of a damage </w:t>
      </w:r>
      <w:r>
        <w:rPr>
          <w:rFonts w:eastAsia="Times New Roman"/>
          <w:color w:val="000000"/>
          <w:sz w:val="20"/>
          <w:szCs w:val="20"/>
        </w:rPr>
        <w:t>demand from plaintiffs, discovery from plaintiffs and other parties, investigation of factual allegations, rulings by a court on motions or appeals, analysis by experts and the progress of settlement discussions. On a quarterly and annual basis, the Compan</w:t>
      </w:r>
      <w:r>
        <w:rPr>
          <w:rFonts w:eastAsia="Times New Roman"/>
          <w:color w:val="000000"/>
          <w:sz w:val="20"/>
          <w:szCs w:val="20"/>
        </w:rPr>
        <w:t>y reviews relevant information with respect to litigation and regulatory contingencies and updates the Company’s accruals, disclosures and reasonably possible losses or ranges of loss based on such reviews.</w:t>
      </w:r>
    </w:p>
    <w:p w:rsidR="00000000" w:rsidRDefault="005B0BC3">
      <w:pPr>
        <w:divId w:val="733821007"/>
        <w:rPr>
          <w:rFonts w:eastAsia="Times New Roman"/>
        </w:rPr>
      </w:pPr>
      <w:r>
        <w:rPr>
          <w:rFonts w:eastAsia="Times New Roman"/>
          <w:color w:val="000000"/>
          <w:sz w:val="20"/>
          <w:szCs w:val="20"/>
        </w:rPr>
        <w:t>In August 2015, a lawsuit was filed in Connecticu</w:t>
      </w:r>
      <w:r>
        <w:rPr>
          <w:rFonts w:eastAsia="Times New Roman"/>
          <w:color w:val="000000"/>
          <w:sz w:val="20"/>
          <w:szCs w:val="20"/>
        </w:rPr>
        <w:t>t Superior Court entitled Richard T. O’Donnell, on behalf of himself and all others similarly situated v. AXA Equitable Life Insurance Company. This lawsuit is a putative class action on behalf of all persons who purchased variable annuities from Equitable</w:t>
      </w:r>
      <w:r>
        <w:rPr>
          <w:rFonts w:eastAsia="Times New Roman"/>
          <w:color w:val="000000"/>
          <w:sz w:val="20"/>
          <w:szCs w:val="20"/>
        </w:rPr>
        <w:t xml:space="preserve"> Financial, which were subsequently subjected to the volatility management strategy and who suffered injury as a result thereof. Plaintiff asserts a claim for breach of contract alleging that Equitable Financial implemented the volatility management strate</w:t>
      </w:r>
      <w:r>
        <w:rPr>
          <w:rFonts w:eastAsia="Times New Roman"/>
          <w:color w:val="000000"/>
          <w:sz w:val="20"/>
          <w:szCs w:val="20"/>
        </w:rPr>
        <w:t>gy in violation of applicable law. Plaintiff seeks an award of damages individually and on a classwide basis, and costs and disbursements, including attorneys’ fees, expert witness fees and other costs. In 2015, the case was transferred to the Southern Dis</w:t>
      </w:r>
      <w:r>
        <w:rPr>
          <w:rFonts w:eastAsia="Times New Roman"/>
          <w:color w:val="000000"/>
          <w:sz w:val="20"/>
          <w:szCs w:val="20"/>
        </w:rPr>
        <w:t>trict of New York and, in 2018, transferred back to Connecticut Superior Court. In August 2019, the court granted Equitable Financial’s motion to strike, which sought dismissal of the complaint, and in September 2019, Plaintiff filed an Amended Class Actio</w:t>
      </w:r>
      <w:r>
        <w:rPr>
          <w:rFonts w:eastAsia="Times New Roman"/>
          <w:color w:val="000000"/>
          <w:sz w:val="20"/>
          <w:szCs w:val="20"/>
        </w:rPr>
        <w:t xml:space="preserve">n Complaint. Equitable Financial filed renewed motions to strike and to dismiss and for an entry of judgment in October 2019. In August 2020, the court granted Equitable Financial’s motion for entry of judgment. </w:t>
      </w:r>
    </w:p>
    <w:p w:rsidR="00000000" w:rsidRDefault="005B0BC3">
      <w:pPr>
        <w:jc w:val="center"/>
        <w:divId w:val="1252740263"/>
        <w:rPr>
          <w:rFonts w:eastAsia="Times New Roman"/>
        </w:rPr>
      </w:pPr>
      <w:r>
        <w:rPr>
          <w:rFonts w:eastAsia="Times New Roman"/>
          <w:color w:val="000000"/>
          <w:sz w:val="20"/>
          <w:szCs w:val="20"/>
        </w:rPr>
        <w:t>219</w:t>
      </w:r>
    </w:p>
    <w:p w:rsidR="00000000" w:rsidRDefault="005B0BC3">
      <w:pPr>
        <w:rPr>
          <w:rFonts w:eastAsia="Times New Roman"/>
        </w:rPr>
      </w:pPr>
      <w:r>
        <w:rPr>
          <w:rFonts w:eastAsia="Times New Roman"/>
        </w:rPr>
        <w:pict>
          <v:rect id="_x0000_i1257" style="width:0;height:1.5pt" o:hralign="center" o:hrstd="t" o:hr="t" fillcolor="#a0a0a0" stroked="f"/>
        </w:pict>
      </w:r>
    </w:p>
    <w:p w:rsidR="00000000" w:rsidRDefault="005B0BC3">
      <w:pPr>
        <w:jc w:val="center"/>
        <w:divId w:val="58286405"/>
        <w:rPr>
          <w:rFonts w:eastAsia="Times New Roman"/>
        </w:rPr>
      </w:pPr>
      <w:r>
        <w:rPr>
          <w:rFonts w:eastAsia="Times New Roman"/>
          <w:b/>
          <w:bCs/>
          <w:color w:val="000000"/>
          <w:sz w:val="20"/>
          <w:szCs w:val="20"/>
        </w:rPr>
        <w:t>EQ</w:t>
      </w:r>
      <w:r>
        <w:rPr>
          <w:rFonts w:eastAsia="Times New Roman"/>
          <w:b/>
          <w:bCs/>
          <w:color w:val="000000"/>
          <w:sz w:val="20"/>
          <w:szCs w:val="20"/>
        </w:rPr>
        <w:t>UITABLE HOLDINGS, INC.</w:t>
      </w:r>
    </w:p>
    <w:p w:rsidR="00000000" w:rsidRDefault="005B0BC3">
      <w:pPr>
        <w:jc w:val="center"/>
        <w:divId w:val="58286405"/>
        <w:rPr>
          <w:rFonts w:eastAsia="Times New Roman"/>
        </w:rPr>
      </w:pPr>
      <w:r>
        <w:rPr>
          <w:rFonts w:eastAsia="Times New Roman"/>
          <w:b/>
          <w:bCs/>
          <w:color w:val="000000"/>
          <w:sz w:val="20"/>
          <w:szCs w:val="20"/>
        </w:rPr>
        <w:t>NOTES TO CONSOLIDATED FINANCIAL STATEMENTS, continued</w:t>
      </w:r>
    </w:p>
    <w:p w:rsidR="00000000" w:rsidRDefault="005B0BC3">
      <w:pPr>
        <w:divId w:val="1192501256"/>
        <w:rPr>
          <w:rFonts w:eastAsia="Times New Roman"/>
        </w:rPr>
      </w:pPr>
      <w:r>
        <w:rPr>
          <w:rFonts w:eastAsia="Times New Roman"/>
          <w:color w:val="000000"/>
          <w:sz w:val="20"/>
          <w:szCs w:val="20"/>
        </w:rPr>
        <w:t>Plaintiff filed a notice of appeal and in February 2021, the appellate court reversed the entry of judgement and remanded the case to Connecticut Superior Court. We are vigorously</w:t>
      </w:r>
      <w:r>
        <w:rPr>
          <w:rFonts w:eastAsia="Times New Roman"/>
          <w:color w:val="000000"/>
          <w:sz w:val="20"/>
          <w:szCs w:val="20"/>
        </w:rPr>
        <w:t xml:space="preserve"> defending this matter.</w:t>
      </w:r>
    </w:p>
    <w:p w:rsidR="00000000" w:rsidRDefault="005B0BC3">
      <w:pPr>
        <w:divId w:val="1903251820"/>
        <w:rPr>
          <w:rFonts w:eastAsia="Times New Roman"/>
        </w:rPr>
      </w:pPr>
      <w:r>
        <w:rPr>
          <w:rFonts w:eastAsia="Times New Roman"/>
          <w:color w:val="000000"/>
          <w:sz w:val="20"/>
          <w:szCs w:val="20"/>
        </w:rPr>
        <w:t>In February 2016, a lawsuit was filed in the Southern District of New York entitled Brach Family Foundation, Inc. v. AXA Equitable Life Insurance Company. This lawsuit is a putative class action brought on behalf of all owners of UL</w:t>
      </w:r>
      <w:r>
        <w:rPr>
          <w:rFonts w:eastAsia="Times New Roman"/>
          <w:color w:val="000000"/>
          <w:sz w:val="20"/>
          <w:szCs w:val="20"/>
        </w:rPr>
        <w:t xml:space="preserve"> policies subject to Equitable Financial’s COI rate increase. In early 2016, Equitable Financial raised COI rates for certain UL policies issued between 2004 and 2008, which had both issue ages 70 and above and a current face value amount of $1 million and</w:t>
      </w:r>
      <w:r>
        <w:rPr>
          <w:rFonts w:eastAsia="Times New Roman"/>
          <w:color w:val="000000"/>
          <w:sz w:val="20"/>
          <w:szCs w:val="20"/>
        </w:rPr>
        <w:t xml:space="preserve"> above. A second putative class action was filed in Arizona in 2017 and consolidated with the Brach matter. The consolidated amended class action complaint alleges the following claims: breach of contract; misrepresentations in violation of Section 4226 of</w:t>
      </w:r>
      <w:r>
        <w:rPr>
          <w:rFonts w:eastAsia="Times New Roman"/>
          <w:color w:val="000000"/>
          <w:sz w:val="20"/>
          <w:szCs w:val="20"/>
        </w:rPr>
        <w:t xml:space="preserve"> the New York Insurance Law; violations of New York General Business Law Section 349; and violations of the California Unfair Competition Law, and the California Elder Abuse Statute. Plaintiffs seek: (a) compensatory damages, costs, and, pre- and post-judg</w:t>
      </w:r>
      <w:r>
        <w:rPr>
          <w:rFonts w:eastAsia="Times New Roman"/>
          <w:color w:val="000000"/>
          <w:sz w:val="20"/>
          <w:szCs w:val="20"/>
        </w:rPr>
        <w:t>ment interest; (b) with respect to their claim concerning Section 4226, a penalty in the amount of premiums paid by the plaintiffs and the putative class; and (c) injunctive relief and attorneys’ fees in connection with their statutory claims. In August 20</w:t>
      </w:r>
      <w:r>
        <w:rPr>
          <w:rFonts w:eastAsia="Times New Roman"/>
          <w:color w:val="000000"/>
          <w:sz w:val="20"/>
          <w:szCs w:val="20"/>
        </w:rPr>
        <w:t>20, the federal district court issued a decision certifying nationwide breach of contract and Section 4226 classes, and a New York State Section 349 class. Equitable Financial has commenced settlement discussions with the Brach class action plaintiffs thro</w:t>
      </w:r>
      <w:r>
        <w:rPr>
          <w:rFonts w:eastAsia="Times New Roman"/>
          <w:color w:val="000000"/>
          <w:sz w:val="20"/>
          <w:szCs w:val="20"/>
        </w:rPr>
        <w:t>ugh a non-binding mediation process. No assurances can be given about the outcome of that mediation process. Separately, a substantial number of policy owners have opted out of the Brach class action and are not participating in that mediation process. Mos</w:t>
      </w:r>
      <w:r>
        <w:rPr>
          <w:rFonts w:eastAsia="Times New Roman"/>
          <w:color w:val="000000"/>
          <w:sz w:val="20"/>
          <w:szCs w:val="20"/>
        </w:rPr>
        <w:t>t have not yet filed suit. Others filed suit previously. They include five other federal actions challenging the COI rate increase that are also pending against Equitable Financial and have been coordinated with the Brach action for the purposes of pre-tri</w:t>
      </w:r>
      <w:r>
        <w:rPr>
          <w:rFonts w:eastAsia="Times New Roman"/>
          <w:color w:val="000000"/>
          <w:sz w:val="20"/>
          <w:szCs w:val="20"/>
        </w:rPr>
        <w:t xml:space="preserve">al activities. They contain allegations similar to those in the Brach action as well as additional allegations for violations of various states’ consumer protection statutes and common law fraud. Two actions are also pending against Equitable Financial in </w:t>
      </w:r>
      <w:r>
        <w:rPr>
          <w:rFonts w:eastAsia="Times New Roman"/>
          <w:color w:val="000000"/>
          <w:sz w:val="20"/>
          <w:szCs w:val="20"/>
        </w:rPr>
        <w:t>New York state court. Equitable Financial is vigorously defending each of these matters.</w:t>
      </w:r>
    </w:p>
    <w:p w:rsidR="00000000" w:rsidRDefault="005B0BC3">
      <w:pPr>
        <w:divId w:val="1266110387"/>
        <w:rPr>
          <w:rFonts w:eastAsia="Times New Roman"/>
        </w:rPr>
      </w:pPr>
      <w:r>
        <w:rPr>
          <w:rFonts w:eastAsia="Times New Roman"/>
          <w:color w:val="000000"/>
          <w:sz w:val="20"/>
          <w:szCs w:val="20"/>
        </w:rPr>
        <w:t xml:space="preserve">As with other financial services companies, the Company periodically receives informal and formal requests for information from various state and federal governmental </w:t>
      </w:r>
      <w:r>
        <w:rPr>
          <w:rFonts w:eastAsia="Times New Roman"/>
          <w:color w:val="000000"/>
          <w:sz w:val="20"/>
          <w:szCs w:val="20"/>
        </w:rPr>
        <w:t xml:space="preserve">agencies and self-regulatory organizations in connection with inquiries and investigations of the products and practices of the Company or the financial services industry. It is the practice of the Company to cooperate fully in these matters. For example, </w:t>
      </w:r>
      <w:r>
        <w:rPr>
          <w:rFonts w:eastAsia="Times New Roman"/>
          <w:color w:val="000000"/>
          <w:sz w:val="20"/>
          <w:szCs w:val="20"/>
        </w:rPr>
        <w:t>among other matters, the Company has been cooperating with the U.S. Securities and Exchange Commission (the “SEC”) concerning the SEC’s investigation into the Company’s non-ERISA K-12 403(b) and 457 sales and disclosure practices.The Company has reached an</w:t>
      </w:r>
      <w:r>
        <w:rPr>
          <w:rFonts w:eastAsia="Times New Roman"/>
          <w:color w:val="000000"/>
          <w:sz w:val="20"/>
          <w:szCs w:val="20"/>
        </w:rPr>
        <w:t xml:space="preserve"> agreement in principle, subject to agreement on documentation and approval by the SEC, to resolve that investigation, including the allegation that daily separate account and portfolio operating expenses disclosed in customer prospectuses and incorporated</w:t>
      </w:r>
      <w:r>
        <w:rPr>
          <w:rFonts w:eastAsia="Times New Roman"/>
          <w:color w:val="000000"/>
          <w:sz w:val="20"/>
          <w:szCs w:val="20"/>
        </w:rPr>
        <w:t xml:space="preserve"> in the calculation of net investment portfolio results in quarterly account statements were not properly presented or referenced in those account statements. If approved, under the settlement, the Company would neither admit nor deny the allegations, pros</w:t>
      </w:r>
      <w:r>
        <w:rPr>
          <w:rFonts w:eastAsia="Times New Roman"/>
          <w:color w:val="000000"/>
          <w:sz w:val="20"/>
          <w:szCs w:val="20"/>
        </w:rPr>
        <w:t>pectively modify the relevant account statements and cross-reference the relevant prospectus disclosures, and pay a civil monetary penalty of $50 million, to be distributed to plan participants. The Company has fully accrued for the cost of the settlement.</w:t>
      </w:r>
    </w:p>
    <w:p w:rsidR="00000000" w:rsidRDefault="005B0BC3">
      <w:pPr>
        <w:divId w:val="820392501"/>
        <w:rPr>
          <w:rFonts w:eastAsia="Times New Roman"/>
        </w:rPr>
      </w:pPr>
      <w:r>
        <w:rPr>
          <w:rFonts w:eastAsia="Times New Roman"/>
          <w:color w:val="000000"/>
          <w:sz w:val="20"/>
          <w:szCs w:val="20"/>
          <w:u w:val="single"/>
        </w:rPr>
        <w:t>Obligations under Funding Agreements</w:t>
      </w:r>
    </w:p>
    <w:p w:rsidR="00000000" w:rsidRDefault="005B0BC3">
      <w:pPr>
        <w:divId w:val="711661452"/>
        <w:rPr>
          <w:rFonts w:eastAsia="Times New Roman"/>
        </w:rPr>
      </w:pPr>
      <w:r>
        <w:rPr>
          <w:rFonts w:eastAsia="Times New Roman"/>
          <w:b/>
          <w:bCs/>
          <w:i/>
          <w:iCs/>
          <w:color w:val="000000"/>
          <w:sz w:val="20"/>
          <w:szCs w:val="20"/>
        </w:rPr>
        <w:t>Pre-Capitalized Trust Securities (“P-Caps”)</w:t>
      </w:r>
    </w:p>
    <w:p w:rsidR="00000000" w:rsidRDefault="005B0BC3">
      <w:pPr>
        <w:divId w:val="1787389743"/>
        <w:rPr>
          <w:rFonts w:eastAsia="Times New Roman"/>
        </w:rPr>
      </w:pPr>
      <w:r>
        <w:rPr>
          <w:rFonts w:eastAsia="Times New Roman"/>
          <w:color w:val="000000"/>
          <w:sz w:val="20"/>
          <w:szCs w:val="20"/>
        </w:rPr>
        <w:t>In April 2019, pursuant to separate Purchase Agreements among Holdings, Credit Suisse Securities (USA) LLC, as representative of the several initial purchasers, and the Trust</w:t>
      </w:r>
      <w:r>
        <w:rPr>
          <w:rFonts w:eastAsia="Times New Roman"/>
          <w:color w:val="000000"/>
          <w:sz w:val="20"/>
          <w:szCs w:val="20"/>
        </w:rPr>
        <w:t>s (as defined below), Pine Street Trust I, a Delaware statutory trust (the “2029 Trust”), completed the issuance and sale of 600,000 of its Pre-Capitalized Trust Securities redeemable February 15, 2029 (the “2029 P-Caps”) for an aggregate purchase price of</w:t>
      </w:r>
      <w:r>
        <w:rPr>
          <w:rFonts w:eastAsia="Times New Roman"/>
          <w:color w:val="000000"/>
          <w:sz w:val="20"/>
          <w:szCs w:val="20"/>
        </w:rPr>
        <w:t xml:space="preserve"> $600 million and Pine Street Trust II, a Delaware statutory trust (the “2049 Trust” and, together with the 2029 Trust, the “Trusts”), completed the issuance and sale of 400,000 of its Pre-Capitalized Trust Securities redeemable February 15, 2049 (the “204</w:t>
      </w:r>
      <w:r>
        <w:rPr>
          <w:rFonts w:eastAsia="Times New Roman"/>
          <w:color w:val="000000"/>
          <w:sz w:val="20"/>
          <w:szCs w:val="20"/>
        </w:rPr>
        <w:t xml:space="preserve">9 P-Caps” and, together with the 2029 P-Caps, the “P-Caps”) for an aggregate purchase price of $400 million in each case to qualified institutional buyers in reliance on Rule 144A that are also “qualified purchasers” for purposes of Section 3(c)(7) of the </w:t>
      </w:r>
      <w:r>
        <w:rPr>
          <w:rFonts w:eastAsia="Times New Roman"/>
          <w:color w:val="000000"/>
          <w:sz w:val="20"/>
          <w:szCs w:val="20"/>
        </w:rPr>
        <w:t xml:space="preserve">Investment Company Act of 1940, as amended. </w:t>
      </w:r>
    </w:p>
    <w:p w:rsidR="00000000" w:rsidRDefault="005B0BC3">
      <w:pPr>
        <w:divId w:val="577861687"/>
        <w:rPr>
          <w:rFonts w:eastAsia="Times New Roman"/>
        </w:rPr>
      </w:pPr>
      <w:r>
        <w:rPr>
          <w:rFonts w:eastAsia="Times New Roman"/>
          <w:color w:val="000000"/>
          <w:sz w:val="20"/>
          <w:szCs w:val="20"/>
        </w:rPr>
        <w:t xml:space="preserve">The P-Caps are an off-balance sheet contingent funding arrangement that, upon Holdings’ election, gives Holdings the right over a ten-year period (in the case of the 2029 Trust) or over a thirty-year period (in </w:t>
      </w:r>
      <w:r>
        <w:rPr>
          <w:rFonts w:eastAsia="Times New Roman"/>
          <w:color w:val="000000"/>
          <w:sz w:val="20"/>
          <w:szCs w:val="20"/>
        </w:rPr>
        <w:t>the case of the 2049 Trust) to issue senior notes to these Trusts. The Trusts each invested the proceeds from the sale of their P-Caps in separate portfolios of principal and/or interest strips of U.S. Treasury securities. In return, Holdings will pay a se</w:t>
      </w:r>
      <w:r>
        <w:rPr>
          <w:rFonts w:eastAsia="Times New Roman"/>
          <w:color w:val="000000"/>
          <w:sz w:val="20"/>
          <w:szCs w:val="20"/>
        </w:rPr>
        <w:t xml:space="preserve">mi-annual facility fee to the 2029 Trust and 2049 Trust calculated at a rate of 2.125% and 2.715% per annum, respectively, which will be applied to the unexercised portion of the contingent funding arrangement and Holdings will reimburse the </w:t>
      </w:r>
    </w:p>
    <w:p w:rsidR="00000000" w:rsidRDefault="005B0BC3">
      <w:pPr>
        <w:jc w:val="center"/>
        <w:divId w:val="1973946266"/>
        <w:rPr>
          <w:rFonts w:eastAsia="Times New Roman"/>
        </w:rPr>
      </w:pPr>
      <w:r>
        <w:rPr>
          <w:rFonts w:eastAsia="Times New Roman"/>
          <w:color w:val="000000"/>
          <w:sz w:val="20"/>
          <w:szCs w:val="20"/>
        </w:rPr>
        <w:t>220</w:t>
      </w:r>
    </w:p>
    <w:p w:rsidR="00000000" w:rsidRDefault="005B0BC3">
      <w:pPr>
        <w:rPr>
          <w:rFonts w:eastAsia="Times New Roman"/>
        </w:rPr>
      </w:pPr>
      <w:r>
        <w:rPr>
          <w:rFonts w:eastAsia="Times New Roman"/>
        </w:rPr>
        <w:pict>
          <v:rect id="_x0000_i1258" style="width:0;height:1.5pt" o:hralign="center" o:hrstd="t" o:hr="t" fillcolor="#a0a0a0" stroked="f"/>
        </w:pict>
      </w:r>
    </w:p>
    <w:p w:rsidR="00000000" w:rsidRDefault="005B0BC3">
      <w:pPr>
        <w:jc w:val="center"/>
        <w:divId w:val="1553611087"/>
        <w:rPr>
          <w:rFonts w:eastAsia="Times New Roman"/>
        </w:rPr>
      </w:pPr>
      <w:r>
        <w:rPr>
          <w:rFonts w:eastAsia="Times New Roman"/>
          <w:b/>
          <w:bCs/>
          <w:color w:val="000000"/>
          <w:sz w:val="20"/>
          <w:szCs w:val="20"/>
        </w:rPr>
        <w:t>EQUITABLE HOLDINGS, INC.</w:t>
      </w:r>
    </w:p>
    <w:p w:rsidR="00000000" w:rsidRDefault="005B0BC3">
      <w:pPr>
        <w:jc w:val="center"/>
        <w:divId w:val="1553611087"/>
        <w:rPr>
          <w:rFonts w:eastAsia="Times New Roman"/>
        </w:rPr>
      </w:pPr>
      <w:r>
        <w:rPr>
          <w:rFonts w:eastAsia="Times New Roman"/>
          <w:b/>
          <w:bCs/>
          <w:color w:val="000000"/>
          <w:sz w:val="20"/>
          <w:szCs w:val="20"/>
        </w:rPr>
        <w:t>NOTES TO CONSOLIDATED FINANCIAL STATEMENTS, continued</w:t>
      </w:r>
    </w:p>
    <w:p w:rsidR="00000000" w:rsidRDefault="005B0BC3">
      <w:pPr>
        <w:divId w:val="391077466"/>
        <w:rPr>
          <w:rFonts w:eastAsia="Times New Roman"/>
        </w:rPr>
      </w:pPr>
      <w:r>
        <w:rPr>
          <w:rFonts w:eastAsia="Times New Roman"/>
          <w:color w:val="000000"/>
          <w:sz w:val="20"/>
          <w:szCs w:val="20"/>
        </w:rPr>
        <w:t>Trusts for certain expenses. The facility fees are recorded in Other operating costs and expenses in the Consolidated Statements of Income (Loss).</w:t>
      </w:r>
    </w:p>
    <w:p w:rsidR="00000000" w:rsidRDefault="005B0BC3">
      <w:pPr>
        <w:jc w:val="both"/>
        <w:divId w:val="1473785978"/>
        <w:rPr>
          <w:rFonts w:eastAsia="Times New Roman"/>
        </w:rPr>
      </w:pPr>
      <w:r>
        <w:rPr>
          <w:rFonts w:eastAsia="Times New Roman"/>
          <w:b/>
          <w:bCs/>
          <w:i/>
          <w:iCs/>
          <w:color w:val="000000"/>
          <w:sz w:val="20"/>
          <w:szCs w:val="20"/>
        </w:rPr>
        <w:t>Fe</w:t>
      </w:r>
      <w:r>
        <w:rPr>
          <w:rFonts w:eastAsia="Times New Roman"/>
          <w:b/>
          <w:bCs/>
          <w:i/>
          <w:iCs/>
          <w:color w:val="000000"/>
          <w:sz w:val="20"/>
          <w:szCs w:val="20"/>
        </w:rPr>
        <w:t>deral Home Loan Bank</w:t>
      </w:r>
    </w:p>
    <w:p w:rsidR="00000000" w:rsidRDefault="005B0BC3">
      <w:pPr>
        <w:divId w:val="1225146357"/>
        <w:rPr>
          <w:rFonts w:eastAsia="Times New Roman"/>
        </w:rPr>
      </w:pPr>
      <w:r>
        <w:rPr>
          <w:rFonts w:eastAsia="Times New Roman"/>
          <w:color w:val="000000"/>
          <w:sz w:val="20"/>
          <w:szCs w:val="20"/>
        </w:rPr>
        <w:t>As a member of the FHLB, Equitable Financial has access to collateralized borrowings. It also may issue funding agreements to the FHLB. Both the collateralized borrowings and funding agreements would require Equitable Financial to pled</w:t>
      </w:r>
      <w:r>
        <w:rPr>
          <w:rFonts w:eastAsia="Times New Roman"/>
          <w:color w:val="000000"/>
          <w:sz w:val="20"/>
          <w:szCs w:val="20"/>
        </w:rPr>
        <w:t>ge qualified mortgage-backed assets and/or government securities as collateral. Equitable Financial issues short-term funding agreements to the FHLB and uses the funds for asset, liability, and cash management purposes. Equitable Financial issues long-term</w:t>
      </w:r>
      <w:r>
        <w:rPr>
          <w:rFonts w:eastAsia="Times New Roman"/>
          <w:color w:val="000000"/>
          <w:sz w:val="20"/>
          <w:szCs w:val="20"/>
        </w:rPr>
        <w:t xml:space="preserve"> funding agreements to the FHLB and uses the funds for spread lending purposes. </w:t>
      </w:r>
    </w:p>
    <w:p w:rsidR="00000000" w:rsidRDefault="005B0BC3">
      <w:pPr>
        <w:divId w:val="682435702"/>
        <w:rPr>
          <w:rFonts w:eastAsia="Times New Roman"/>
        </w:rPr>
      </w:pPr>
      <w:r>
        <w:rPr>
          <w:rFonts w:eastAsia="Times New Roman"/>
          <w:color w:val="000000"/>
          <w:sz w:val="20"/>
          <w:szCs w:val="20"/>
        </w:rPr>
        <w:t>Entering into FHLB membership, borrowings and funding agreements requires the ownership of FHLB stock and the pledge of assets as collateral. Equitable Financial has purchased</w:t>
      </w:r>
      <w:r>
        <w:rPr>
          <w:rFonts w:eastAsia="Times New Roman"/>
          <w:color w:val="000000"/>
          <w:sz w:val="20"/>
          <w:szCs w:val="20"/>
        </w:rPr>
        <w:t xml:space="preserve"> FHLB stock of $311 million and pledged collateral with a carrying value of </w:t>
      </w:r>
      <w:r>
        <w:rPr>
          <w:rFonts w:eastAsia="Times New Roman"/>
          <w:color w:val="000000"/>
          <w:sz w:val="20"/>
          <w:szCs w:val="20"/>
          <w:shd w:val="clear" w:color="auto" w:fill="FFFFFF"/>
        </w:rPr>
        <w:t>$12.5 billion</w:t>
      </w:r>
      <w:r>
        <w:rPr>
          <w:rFonts w:eastAsia="Times New Roman"/>
          <w:color w:val="000000"/>
          <w:sz w:val="20"/>
          <w:szCs w:val="20"/>
        </w:rPr>
        <w:t xml:space="preserve"> as of December 31, 2021.  </w:t>
      </w:r>
    </w:p>
    <w:p w:rsidR="00000000" w:rsidRDefault="005B0BC3">
      <w:pPr>
        <w:divId w:val="1329097807"/>
        <w:rPr>
          <w:rFonts w:eastAsia="Times New Roman"/>
        </w:rPr>
      </w:pPr>
      <w:r>
        <w:rPr>
          <w:rFonts w:eastAsia="Times New Roman"/>
          <w:color w:val="000000"/>
          <w:sz w:val="20"/>
          <w:szCs w:val="20"/>
        </w:rPr>
        <w:t>Funding agreements are reported in policyholders’ account balances in the consolidated balance sheets. For other instruments used for asset</w:t>
      </w:r>
      <w:r>
        <w:rPr>
          <w:rFonts w:eastAsia="Times New Roman"/>
          <w:color w:val="000000"/>
          <w:sz w:val="20"/>
          <w:szCs w:val="20"/>
        </w:rPr>
        <w:t>/liability and cash management purposes, see “Derivative and offsetting assets and liabilities” included in Note 4 of the Notes to these Consolidated Financial Statements. The table below summarizes the Company’s activity of funding agreements with the FHL</w:t>
      </w:r>
      <w:r>
        <w:rPr>
          <w:rFonts w:eastAsia="Times New Roman"/>
          <w:color w:val="000000"/>
          <w:sz w:val="20"/>
          <w:szCs w:val="20"/>
        </w:rPr>
        <w:t>B.</w:t>
      </w:r>
    </w:p>
    <w:p w:rsidR="00000000" w:rsidRDefault="005B0BC3">
      <w:pPr>
        <w:jc w:val="center"/>
        <w:rPr>
          <w:rFonts w:eastAsia="Times New Roman"/>
        </w:rPr>
      </w:pPr>
      <w:r>
        <w:rPr>
          <w:rFonts w:eastAsia="Times New Roman"/>
          <w:b/>
          <w:bCs/>
          <w:color w:val="000000"/>
          <w:sz w:val="20"/>
          <w:szCs w:val="20"/>
        </w:rPr>
        <w:t xml:space="preserve">Change in FHLB Funding Agreements during the Year Ended December 31, 2021 </w:t>
      </w:r>
    </w:p>
    <w:tbl>
      <w:tblPr>
        <w:tblW w:w="5000" w:type="pct"/>
        <w:jc w:val="right"/>
        <w:tblCellMar>
          <w:top w:w="15" w:type="dxa"/>
          <w:left w:w="15" w:type="dxa"/>
          <w:bottom w:w="15" w:type="dxa"/>
          <w:right w:w="15" w:type="dxa"/>
        </w:tblCellMar>
        <w:tblLook w:val="04A0" w:firstRow="1" w:lastRow="0" w:firstColumn="1" w:lastColumn="0" w:noHBand="0" w:noVBand="1"/>
      </w:tblPr>
      <w:tblGrid>
        <w:gridCol w:w="39"/>
        <w:gridCol w:w="2333"/>
        <w:gridCol w:w="37"/>
        <w:gridCol w:w="121"/>
        <w:gridCol w:w="807"/>
        <w:gridCol w:w="36"/>
        <w:gridCol w:w="36"/>
        <w:gridCol w:w="36"/>
        <w:gridCol w:w="36"/>
        <w:gridCol w:w="120"/>
        <w:gridCol w:w="600"/>
        <w:gridCol w:w="36"/>
        <w:gridCol w:w="36"/>
        <w:gridCol w:w="36"/>
        <w:gridCol w:w="36"/>
        <w:gridCol w:w="120"/>
        <w:gridCol w:w="600"/>
        <w:gridCol w:w="36"/>
        <w:gridCol w:w="36"/>
        <w:gridCol w:w="36"/>
        <w:gridCol w:w="36"/>
        <w:gridCol w:w="121"/>
        <w:gridCol w:w="827"/>
        <w:gridCol w:w="36"/>
        <w:gridCol w:w="36"/>
        <w:gridCol w:w="36"/>
        <w:gridCol w:w="36"/>
        <w:gridCol w:w="121"/>
        <w:gridCol w:w="779"/>
        <w:gridCol w:w="36"/>
        <w:gridCol w:w="36"/>
        <w:gridCol w:w="36"/>
        <w:gridCol w:w="36"/>
        <w:gridCol w:w="121"/>
        <w:gridCol w:w="804"/>
        <w:gridCol w:w="36"/>
      </w:tblGrid>
      <w:tr w:rsidR="00000000">
        <w:trPr>
          <w:jc w:val="right"/>
        </w:trPr>
        <w:tc>
          <w:tcPr>
            <w:tcW w:w="50" w:type="pct"/>
            <w:vAlign w:val="center"/>
            <w:hideMark/>
          </w:tcPr>
          <w:p w:rsidR="00000000" w:rsidRDefault="005B0BC3">
            <w:pPr>
              <w:jc w:val="center"/>
              <w:rPr>
                <w:rFonts w:eastAsia="Times New Roman"/>
              </w:rPr>
            </w:pPr>
          </w:p>
        </w:tc>
        <w:tc>
          <w:tcPr>
            <w:tcW w:w="145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0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8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3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1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4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9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jc w:val="right"/>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Outstanding Balance at December 31, 2020</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Issued During the Period</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Repaid During the Period</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Long-term Agreements Maturing Within One Year</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Long-term Agreements Maturing Within Five Years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Outstanding Balance at December 31, 2021</w:t>
            </w:r>
          </w:p>
        </w:tc>
      </w:tr>
      <w:tr w:rsidR="00000000">
        <w:trPr>
          <w:jc w:val="right"/>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3"/>
            <w:tcBorders>
              <w:top w:val="single" w:sz="4" w:space="0" w:color="000000"/>
            </w:tcBorders>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jc w:val="right"/>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Short-term funding agreements:</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right"/>
        </w:trPr>
        <w:tc>
          <w:tcPr>
            <w:tcW w:w="0" w:type="auto"/>
            <w:gridSpan w:val="3"/>
            <w:shd w:val="clear" w:color="auto" w:fill="CCEE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Due in one year or less</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5,634 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59,846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60,504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377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5,353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right"/>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Long-term funding agreements:</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right"/>
        </w:trPr>
        <w:tc>
          <w:tcPr>
            <w:tcW w:w="0" w:type="auto"/>
            <w:gridSpan w:val="3"/>
            <w:shd w:val="clear" w:color="auto" w:fill="CCEE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Due in years two through five</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722 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411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(377)</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1,290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right"/>
        </w:trPr>
        <w:tc>
          <w:tcPr>
            <w:tcW w:w="0" w:type="auto"/>
            <w:gridSpan w:val="3"/>
            <w:shd w:val="clear" w:color="auto" w:fill="FFFF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Due in more than five years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534 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(534)</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right"/>
        </w:trPr>
        <w:tc>
          <w:tcPr>
            <w:tcW w:w="0" w:type="auto"/>
            <w:gridSpan w:val="3"/>
            <w:shd w:val="clear" w:color="auto" w:fill="CCEE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long-term funding agreements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411</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(377)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1,290</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right"/>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funding agreements (1)</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6,890 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60,257</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60,504</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6,643</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jc w:val="right"/>
        </w:trPr>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jc w:val="right"/>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jc w:val="right"/>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jc w:val="right"/>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jc w:val="right"/>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jc w:val="right"/>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jc w:val="right"/>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jc w:val="right"/>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jc w:val="right"/>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jc w:val="right"/>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bl>
    <w:p w:rsidR="00000000" w:rsidRDefault="005B0BC3">
      <w:pPr>
        <w:ind w:hanging="720"/>
        <w:divId w:val="194999567"/>
        <w:rPr>
          <w:rFonts w:eastAsia="Times New Roman"/>
        </w:rPr>
      </w:pPr>
      <w:r>
        <w:rPr>
          <w:rFonts w:eastAsia="Times New Roman"/>
          <w:color w:val="000000"/>
          <w:sz w:val="18"/>
          <w:szCs w:val="18"/>
        </w:rPr>
        <w:t>_____________</w:t>
      </w:r>
    </w:p>
    <w:p w:rsidR="00000000" w:rsidRDefault="005B0BC3">
      <w:pPr>
        <w:ind w:hanging="360"/>
        <w:divId w:val="1541087741"/>
        <w:rPr>
          <w:rFonts w:eastAsia="Times New Roman"/>
        </w:rPr>
      </w:pPr>
      <w:r>
        <w:rPr>
          <w:rFonts w:eastAsia="Times New Roman"/>
          <w:color w:val="000000"/>
          <w:sz w:val="18"/>
          <w:szCs w:val="18"/>
        </w:rPr>
        <w:t>(1)</w:t>
      </w:r>
      <w:r>
        <w:rPr>
          <w:rFonts w:eastAsia="Times New Roman"/>
          <w:color w:val="000000"/>
          <w:sz w:val="18"/>
          <w:szCs w:val="18"/>
        </w:rPr>
        <w:t xml:space="preserve">The $4 million and $7 million difference between the funding agreements carrying value shown in fair value table for December 31, 2021 and December 31, 2020, respectively, reflects the remaining amortization of a hedge implemented and closed, which locked </w:t>
      </w:r>
      <w:r>
        <w:rPr>
          <w:rFonts w:eastAsia="Times New Roman"/>
          <w:color w:val="000000"/>
          <w:sz w:val="18"/>
          <w:szCs w:val="18"/>
        </w:rPr>
        <w:t>in the funding agreements borrowing rates.</w:t>
      </w:r>
    </w:p>
    <w:p w:rsidR="00000000" w:rsidRDefault="005B0BC3">
      <w:pPr>
        <w:jc w:val="both"/>
        <w:divId w:val="78524204"/>
        <w:rPr>
          <w:rFonts w:eastAsia="Times New Roman"/>
        </w:rPr>
      </w:pPr>
      <w:r>
        <w:rPr>
          <w:rFonts w:eastAsia="Times New Roman"/>
          <w:b/>
          <w:bCs/>
          <w:i/>
          <w:iCs/>
          <w:color w:val="000000"/>
          <w:sz w:val="20"/>
          <w:szCs w:val="20"/>
        </w:rPr>
        <w:t>Funding Agreement-Backed Notes Program</w:t>
      </w:r>
    </w:p>
    <w:p w:rsidR="00000000" w:rsidRDefault="005B0BC3">
      <w:pPr>
        <w:divId w:val="1248467238"/>
        <w:rPr>
          <w:rFonts w:eastAsia="Times New Roman"/>
        </w:rPr>
      </w:pPr>
      <w:r>
        <w:rPr>
          <w:rFonts w:eastAsia="Times New Roman"/>
          <w:color w:val="000000"/>
          <w:sz w:val="20"/>
          <w:szCs w:val="20"/>
        </w:rPr>
        <w:t>Under the FABN program, Equitable Financial may issue funding agreements in U.S. dollar or other foreign currencies to a Delaware special purpose statutory trust (the “Trust”</w:t>
      </w:r>
      <w:r>
        <w:rPr>
          <w:rFonts w:eastAsia="Times New Roman"/>
          <w:color w:val="000000"/>
          <w:sz w:val="20"/>
          <w:szCs w:val="20"/>
        </w:rPr>
        <w:t>) in exchange for the proceeds from issuances of fixed and floating rate medium-term marketable notes issued by the Trust from time to time (the “Trust Notes”). The funding agreements have matching interest, maturity and currency payment terms to the appli</w:t>
      </w:r>
      <w:r>
        <w:rPr>
          <w:rFonts w:eastAsia="Times New Roman"/>
          <w:color w:val="000000"/>
          <w:sz w:val="20"/>
          <w:szCs w:val="20"/>
        </w:rPr>
        <w:t>cable Trust notes. The Company hedges the foreign currency exposure of foreign currency denominated funding agreements using cross currency swaps as discussed in Note 4 of the Notes to these Consolidated Financial Statements. As of May 2021, the maximum ag</w:t>
      </w:r>
      <w:r>
        <w:rPr>
          <w:rFonts w:eastAsia="Times New Roman"/>
          <w:color w:val="000000"/>
          <w:sz w:val="20"/>
          <w:szCs w:val="20"/>
        </w:rPr>
        <w:t>gregate principal amount of Trust notes permitted to be outstanding at any one time is $10 billion. Funding agreements issued to the Trust, including any foreign currency transaction adjustments, are reported in policyholders’ account balances in the conso</w:t>
      </w:r>
      <w:r>
        <w:rPr>
          <w:rFonts w:eastAsia="Times New Roman"/>
          <w:color w:val="000000"/>
          <w:sz w:val="20"/>
          <w:szCs w:val="20"/>
        </w:rPr>
        <w:t>lidated balance sheets. Foreign currency transaction adjustments to policyholder’s account balances are recognized in net income (loss) as an adjustment to interest credited to policyholders’ account balances and are offset in interest credited to policyho</w:t>
      </w:r>
      <w:r>
        <w:rPr>
          <w:rFonts w:eastAsia="Times New Roman"/>
          <w:color w:val="000000"/>
          <w:sz w:val="20"/>
          <w:szCs w:val="20"/>
        </w:rPr>
        <w:t xml:space="preserve">lders’ account balances by a release of AOCI from deferred changes in fair value of designated and qualifying cross currency swap cash flow hedges. The table below summarizes the Equitable Financial’s activity of funding agreements under the FABN. </w:t>
      </w:r>
    </w:p>
    <w:p w:rsidR="00000000" w:rsidRDefault="005B0BC3">
      <w:pPr>
        <w:jc w:val="center"/>
        <w:divId w:val="1195189632"/>
        <w:rPr>
          <w:rFonts w:eastAsia="Times New Roman"/>
        </w:rPr>
      </w:pPr>
      <w:r>
        <w:rPr>
          <w:rFonts w:eastAsia="Times New Roman"/>
          <w:color w:val="000000"/>
          <w:sz w:val="20"/>
          <w:szCs w:val="20"/>
        </w:rPr>
        <w:t>221</w:t>
      </w:r>
    </w:p>
    <w:p w:rsidR="00000000" w:rsidRDefault="005B0BC3">
      <w:pPr>
        <w:rPr>
          <w:rFonts w:eastAsia="Times New Roman"/>
        </w:rPr>
      </w:pPr>
      <w:r>
        <w:rPr>
          <w:rFonts w:eastAsia="Times New Roman"/>
        </w:rPr>
        <w:pict>
          <v:rect id="_x0000_i1259" style="width:0;height:1.5pt" o:hralign="center" o:hrstd="t" o:hr="t" fillcolor="#a0a0a0" stroked="f"/>
        </w:pict>
      </w:r>
    </w:p>
    <w:p w:rsidR="00000000" w:rsidRDefault="005B0BC3">
      <w:pPr>
        <w:jc w:val="center"/>
        <w:divId w:val="865555726"/>
        <w:rPr>
          <w:rFonts w:eastAsia="Times New Roman"/>
        </w:rPr>
      </w:pPr>
      <w:r>
        <w:rPr>
          <w:rFonts w:eastAsia="Times New Roman"/>
          <w:b/>
          <w:bCs/>
          <w:color w:val="000000"/>
          <w:sz w:val="20"/>
          <w:szCs w:val="20"/>
        </w:rPr>
        <w:t>EQUITABLE HOLDINGS, INC.</w:t>
      </w:r>
    </w:p>
    <w:p w:rsidR="00000000" w:rsidRDefault="005B0BC3">
      <w:pPr>
        <w:jc w:val="center"/>
        <w:divId w:val="865555726"/>
        <w:rPr>
          <w:rFonts w:eastAsia="Times New Roman"/>
        </w:rPr>
      </w:pPr>
      <w:r>
        <w:rPr>
          <w:rFonts w:eastAsia="Times New Roman"/>
          <w:b/>
          <w:bCs/>
          <w:color w:val="000000"/>
          <w:sz w:val="20"/>
          <w:szCs w:val="20"/>
        </w:rPr>
        <w:t>NOTES TO CONSOLIDATED FINANCIAL STATEMENTS, continued</w:t>
      </w:r>
    </w:p>
    <w:p w:rsidR="00000000" w:rsidRDefault="005B0BC3">
      <w:pPr>
        <w:jc w:val="center"/>
        <w:rPr>
          <w:rFonts w:eastAsia="Times New Roman"/>
        </w:rPr>
      </w:pPr>
      <w:r>
        <w:rPr>
          <w:rFonts w:eastAsia="Times New Roman"/>
          <w:b/>
          <w:bCs/>
          <w:color w:val="000000"/>
          <w:sz w:val="20"/>
          <w:szCs w:val="20"/>
        </w:rPr>
        <w:t>Change in FABN Funding Agreements during the Year Ended December 31, 2021</w:t>
      </w:r>
    </w:p>
    <w:tbl>
      <w:tblPr>
        <w:tblW w:w="4656" w:type="pct"/>
        <w:tblCellMar>
          <w:top w:w="15" w:type="dxa"/>
          <w:left w:w="15" w:type="dxa"/>
          <w:bottom w:w="15" w:type="dxa"/>
          <w:right w:w="15" w:type="dxa"/>
        </w:tblCellMar>
        <w:tblLook w:val="04A0" w:firstRow="1" w:lastRow="0" w:firstColumn="1" w:lastColumn="0" w:noHBand="0" w:noVBand="1"/>
      </w:tblPr>
      <w:tblGrid>
        <w:gridCol w:w="39"/>
        <w:gridCol w:w="1135"/>
        <w:gridCol w:w="37"/>
        <w:gridCol w:w="121"/>
        <w:gridCol w:w="796"/>
        <w:gridCol w:w="36"/>
        <w:gridCol w:w="36"/>
        <w:gridCol w:w="36"/>
        <w:gridCol w:w="36"/>
        <w:gridCol w:w="120"/>
        <w:gridCol w:w="500"/>
        <w:gridCol w:w="36"/>
        <w:gridCol w:w="36"/>
        <w:gridCol w:w="36"/>
        <w:gridCol w:w="36"/>
        <w:gridCol w:w="121"/>
        <w:gridCol w:w="456"/>
        <w:gridCol w:w="36"/>
        <w:gridCol w:w="36"/>
        <w:gridCol w:w="36"/>
        <w:gridCol w:w="36"/>
        <w:gridCol w:w="121"/>
        <w:gridCol w:w="757"/>
        <w:gridCol w:w="36"/>
        <w:gridCol w:w="36"/>
        <w:gridCol w:w="36"/>
        <w:gridCol w:w="36"/>
        <w:gridCol w:w="121"/>
        <w:gridCol w:w="756"/>
        <w:gridCol w:w="36"/>
        <w:gridCol w:w="36"/>
        <w:gridCol w:w="36"/>
        <w:gridCol w:w="36"/>
        <w:gridCol w:w="36"/>
        <w:gridCol w:w="36"/>
        <w:gridCol w:w="36"/>
        <w:gridCol w:w="36"/>
        <w:gridCol w:w="36"/>
        <w:gridCol w:w="36"/>
        <w:gridCol w:w="121"/>
        <w:gridCol w:w="765"/>
        <w:gridCol w:w="36"/>
        <w:gridCol w:w="36"/>
        <w:gridCol w:w="36"/>
        <w:gridCol w:w="36"/>
        <w:gridCol w:w="121"/>
        <w:gridCol w:w="796"/>
        <w:gridCol w:w="36"/>
      </w:tblGrid>
      <w:tr w:rsidR="00000000">
        <w:trPr>
          <w:divId w:val="509952395"/>
        </w:trPr>
        <w:tc>
          <w:tcPr>
            <w:tcW w:w="50" w:type="pct"/>
            <w:vAlign w:val="center"/>
            <w:hideMark/>
          </w:tcPr>
          <w:p w:rsidR="00000000" w:rsidRDefault="005B0BC3">
            <w:pPr>
              <w:jc w:val="center"/>
              <w:rPr>
                <w:rFonts w:eastAsia="Times New Roman"/>
              </w:rPr>
            </w:pPr>
          </w:p>
        </w:tc>
        <w:tc>
          <w:tcPr>
            <w:tcW w:w="149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4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6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4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1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0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1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4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509952395"/>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Outstanding Balance at December 31, 2020</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Issued During the Period</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Repaid During the Period</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Long-term Agreements Maturing Within One Year</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Long-term Agreements Maturing Within Five Years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Foreign Currency Transaction Adjustment</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8" w:space="0" w:color="000000"/>
            </w:tcBorders>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Outstanding Balance at December 31,</w:t>
            </w:r>
            <w:r>
              <w:rPr>
                <w:rFonts w:eastAsia="Times New Roman"/>
                <w:b/>
                <w:bCs/>
                <w:color w:val="000000"/>
                <w:sz w:val="16"/>
                <w:szCs w:val="16"/>
              </w:rPr>
              <w:br/>
              <w:t>2021</w:t>
            </w:r>
          </w:p>
        </w:tc>
      </w:tr>
      <w:tr w:rsidR="00000000">
        <w:trPr>
          <w:divId w:val="509952395"/>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9"/>
            <w:tcBorders>
              <w:top w:val="single" w:sz="8" w:space="0" w:color="000000"/>
            </w:tcBorders>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509952395"/>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Short-term funding agreements:</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5B0BC3">
        <w:trPr>
          <w:divId w:val="509952395"/>
        </w:trPr>
        <w:tc>
          <w:tcPr>
            <w:tcW w:w="0" w:type="auto"/>
            <w:gridSpan w:val="3"/>
            <w:shd w:val="clear" w:color="auto" w:fill="CCEE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Due in one year or less</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509952395"/>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Long-term funding agreements:</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509952395"/>
        </w:trPr>
        <w:tc>
          <w:tcPr>
            <w:tcW w:w="0" w:type="auto"/>
            <w:gridSpan w:val="3"/>
            <w:shd w:val="clear" w:color="auto" w:fill="CCEE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Due in years two through five</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1,150 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3,450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4,600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509952395"/>
        </w:trPr>
        <w:tc>
          <w:tcPr>
            <w:tcW w:w="0" w:type="auto"/>
            <w:gridSpan w:val="3"/>
            <w:shd w:val="clear" w:color="auto" w:fill="FFFF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Due in more than five years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800 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1,359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(40)</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2,119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509952395"/>
        </w:trPr>
        <w:tc>
          <w:tcPr>
            <w:tcW w:w="0" w:type="auto"/>
            <w:gridSpan w:val="3"/>
            <w:shd w:val="clear" w:color="auto" w:fill="CCEE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long-term funding agreements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1,950 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4,809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6,719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5B0BC3">
        <w:trPr>
          <w:divId w:val="509952395"/>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funding agreements (1)</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1,950 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4,809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(40)</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6,719</w:t>
            </w:r>
            <w:r>
              <w:rPr>
                <w:rFonts w:eastAsia="Times New Roman"/>
                <w:color w:val="000000"/>
                <w:sz w:val="20"/>
                <w:szCs w:val="20"/>
              </w:rPr>
              <w:t>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509952395"/>
        </w:trPr>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509952395"/>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509952395"/>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509952395"/>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509952395"/>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509952395"/>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509952395"/>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509952395"/>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509952395"/>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509952395"/>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bl>
    <w:p w:rsidR="00000000" w:rsidRDefault="005B0BC3">
      <w:pPr>
        <w:ind w:hanging="360"/>
        <w:divId w:val="467167091"/>
        <w:rPr>
          <w:rFonts w:eastAsia="Times New Roman"/>
        </w:rPr>
      </w:pPr>
      <w:r>
        <w:rPr>
          <w:rFonts w:eastAsia="Times New Roman"/>
          <w:color w:val="000000"/>
          <w:sz w:val="18"/>
          <w:szCs w:val="18"/>
        </w:rPr>
        <w:t>_____________</w:t>
      </w:r>
    </w:p>
    <w:p w:rsidR="00000000" w:rsidRDefault="005B0BC3">
      <w:pPr>
        <w:ind w:hanging="360"/>
        <w:divId w:val="1328747118"/>
        <w:rPr>
          <w:rFonts w:eastAsia="Times New Roman"/>
        </w:rPr>
      </w:pPr>
      <w:r>
        <w:rPr>
          <w:rFonts w:eastAsia="Times New Roman"/>
          <w:color w:val="000000"/>
          <w:sz w:val="18"/>
          <w:szCs w:val="18"/>
        </w:rPr>
        <w:t xml:space="preserve">(1)The $70 million and $11 </w:t>
      </w:r>
      <w:r>
        <w:rPr>
          <w:rFonts w:eastAsia="Times New Roman"/>
          <w:color w:val="000000"/>
          <w:sz w:val="18"/>
          <w:szCs w:val="18"/>
        </w:rPr>
        <w:t xml:space="preserve">million difference between the funding agreements notional value shown and carrying value table as of December 31, 2021 and December 31, 2020, respectively, reflects the remaining amortization of the issuance cost of the funding agreements and the foreign </w:t>
      </w:r>
      <w:r>
        <w:rPr>
          <w:rFonts w:eastAsia="Times New Roman"/>
          <w:color w:val="000000"/>
          <w:sz w:val="18"/>
          <w:szCs w:val="18"/>
        </w:rPr>
        <w:t xml:space="preserve">currency transaction adjustment. </w:t>
      </w:r>
    </w:p>
    <w:p w:rsidR="00000000" w:rsidRDefault="005B0BC3">
      <w:pPr>
        <w:divId w:val="536357488"/>
        <w:rPr>
          <w:rFonts w:eastAsia="Times New Roman"/>
        </w:rPr>
      </w:pPr>
      <w:r>
        <w:rPr>
          <w:rFonts w:eastAsia="Times New Roman"/>
          <w:color w:val="000000"/>
          <w:sz w:val="20"/>
          <w:szCs w:val="20"/>
          <w:u w:val="single"/>
        </w:rPr>
        <w:t>Credit Facilities</w:t>
      </w:r>
    </w:p>
    <w:p w:rsidR="00000000" w:rsidRDefault="005B0BC3">
      <w:pPr>
        <w:divId w:val="334382462"/>
        <w:rPr>
          <w:rFonts w:eastAsia="Times New Roman"/>
        </w:rPr>
      </w:pPr>
      <w:r>
        <w:rPr>
          <w:rFonts w:eastAsia="Times New Roman"/>
          <w:color w:val="000000"/>
          <w:sz w:val="20"/>
          <w:szCs w:val="20"/>
        </w:rPr>
        <w:t>For information regarding activity pertaining to our credit facilities arrangements, see “</w:t>
      </w:r>
      <w:r>
        <w:rPr>
          <w:rFonts w:eastAsia="Times New Roman"/>
          <w:color w:val="000000"/>
          <w:sz w:val="20"/>
          <w:szCs w:val="20"/>
        </w:rPr>
        <w:t>Note 12 of the Notes to these Consolidated Financial Statements.</w:t>
      </w:r>
    </w:p>
    <w:p w:rsidR="00000000" w:rsidRDefault="005B0BC3">
      <w:pPr>
        <w:divId w:val="23798946"/>
        <w:rPr>
          <w:rFonts w:eastAsia="Times New Roman"/>
        </w:rPr>
      </w:pPr>
      <w:r>
        <w:rPr>
          <w:rFonts w:eastAsia="Times New Roman"/>
          <w:color w:val="000000"/>
          <w:sz w:val="20"/>
          <w:szCs w:val="20"/>
          <w:u w:val="single"/>
        </w:rPr>
        <w:t>Guarantees and Other Commitments</w:t>
      </w:r>
    </w:p>
    <w:p w:rsidR="00000000" w:rsidRDefault="005B0BC3">
      <w:pPr>
        <w:divId w:val="1908757494"/>
        <w:rPr>
          <w:rFonts w:eastAsia="Times New Roman"/>
        </w:rPr>
      </w:pPr>
      <w:r>
        <w:rPr>
          <w:rFonts w:eastAsia="Times New Roman"/>
          <w:color w:val="000000"/>
          <w:sz w:val="20"/>
          <w:szCs w:val="20"/>
        </w:rPr>
        <w:t>The Company provides certain guarantees or commitments to affiliates and others. As of December 31, 2021, these arrangements include commitments by the Compan</w:t>
      </w:r>
      <w:r>
        <w:rPr>
          <w:rFonts w:eastAsia="Times New Roman"/>
          <w:color w:val="000000"/>
          <w:sz w:val="20"/>
          <w:szCs w:val="20"/>
        </w:rPr>
        <w:t>y to provide equity financing of $1.3 billion to certain limited partnerships and real estate joint ventures under certain conditions. Management believes the Company will not incur material losses as a result of these commitments.</w:t>
      </w:r>
    </w:p>
    <w:p w:rsidR="00000000" w:rsidRDefault="005B0BC3">
      <w:pPr>
        <w:divId w:val="469636494"/>
        <w:rPr>
          <w:rFonts w:eastAsia="Times New Roman"/>
        </w:rPr>
      </w:pPr>
      <w:r>
        <w:rPr>
          <w:rFonts w:eastAsia="Times New Roman"/>
          <w:color w:val="000000"/>
          <w:sz w:val="20"/>
          <w:szCs w:val="20"/>
        </w:rPr>
        <w:t>The Company had $17 mill</w:t>
      </w:r>
      <w:r>
        <w:rPr>
          <w:rFonts w:eastAsia="Times New Roman"/>
          <w:color w:val="000000"/>
          <w:sz w:val="20"/>
          <w:szCs w:val="20"/>
        </w:rPr>
        <w:t>ion of undrawn letters of credit related to reinsurance as of December 31, 2021. The Company had $863 million of commitments under existing mortgage loan agreements as of December 31, 2021.</w:t>
      </w:r>
    </w:p>
    <w:p w:rsidR="00000000" w:rsidRDefault="005B0BC3">
      <w:pPr>
        <w:divId w:val="116141457"/>
        <w:rPr>
          <w:rFonts w:eastAsia="Times New Roman"/>
        </w:rPr>
      </w:pPr>
      <w:r>
        <w:rPr>
          <w:rFonts w:eastAsia="Times New Roman"/>
          <w:color w:val="000000"/>
          <w:sz w:val="20"/>
          <w:szCs w:val="20"/>
        </w:rPr>
        <w:t>The Company is the obligor under certain structured settlement agr</w:t>
      </w:r>
      <w:r>
        <w:rPr>
          <w:rFonts w:eastAsia="Times New Roman"/>
          <w:color w:val="000000"/>
          <w:sz w:val="20"/>
          <w:szCs w:val="20"/>
        </w:rPr>
        <w:t>eements it had entered into with unaffiliated insurance companies and beneficiaries. To satisfy its obligations under these agreements, the Company owns single premium annuities issued by previously wholly-owned life insurance subsidiaries. The Company has</w:t>
      </w:r>
      <w:r>
        <w:rPr>
          <w:rFonts w:eastAsia="Times New Roman"/>
          <w:color w:val="000000"/>
          <w:sz w:val="20"/>
          <w:szCs w:val="20"/>
        </w:rPr>
        <w:t xml:space="preserve"> directed payment under these annuities to be made directly to the beneficiaries under the structured settlement agreements. A contingent liability exists with respect to these agreements should the previously wholly-owned subsidiaries be unable to meet th</w:t>
      </w:r>
      <w:r>
        <w:rPr>
          <w:rFonts w:eastAsia="Times New Roman"/>
          <w:color w:val="000000"/>
          <w:sz w:val="20"/>
          <w:szCs w:val="20"/>
        </w:rPr>
        <w:t>eir obligations. Management believes the need for the Company to satisfy those obligations is remote.</w:t>
      </w:r>
    </w:p>
    <w:p w:rsidR="00000000" w:rsidRDefault="005B0BC3">
      <w:pPr>
        <w:divId w:val="459419134"/>
        <w:rPr>
          <w:rFonts w:eastAsia="Times New Roman"/>
        </w:rPr>
      </w:pPr>
      <w:r>
        <w:rPr>
          <w:rFonts w:eastAsia="Times New Roman"/>
          <w:b/>
          <w:bCs/>
          <w:color w:val="000000"/>
          <w:sz w:val="20"/>
          <w:szCs w:val="20"/>
        </w:rPr>
        <w:t>18)    INSURANCE GROUP STATUTORY FINANCIAL INFORMATION</w:t>
      </w:r>
    </w:p>
    <w:p w:rsidR="00000000" w:rsidRDefault="005B0BC3">
      <w:pPr>
        <w:divId w:val="282661645"/>
        <w:rPr>
          <w:rFonts w:eastAsia="Times New Roman"/>
        </w:rPr>
      </w:pPr>
      <w:r>
        <w:rPr>
          <w:rFonts w:eastAsia="Times New Roman"/>
          <w:color w:val="000000"/>
          <w:sz w:val="20"/>
          <w:szCs w:val="20"/>
        </w:rPr>
        <w:t>In accordance with statutory accounting practices, the following table presents the combined statut</w:t>
      </w:r>
      <w:r>
        <w:rPr>
          <w:rFonts w:eastAsia="Times New Roman"/>
          <w:color w:val="000000"/>
          <w:sz w:val="20"/>
          <w:szCs w:val="20"/>
        </w:rPr>
        <w:t>ory net income (loss), surplus, capital stock &amp; AVR, and securities on deposits for Equitable Financial, Equitable America, USFL, Equitable L&amp;A and CS Life.</w:t>
      </w:r>
    </w:p>
    <w:p w:rsidR="00000000" w:rsidRDefault="005B0BC3">
      <w:pPr>
        <w:jc w:val="center"/>
        <w:divId w:val="1791515343"/>
        <w:rPr>
          <w:rFonts w:eastAsia="Times New Roman"/>
        </w:rPr>
      </w:pPr>
      <w:r>
        <w:rPr>
          <w:rFonts w:eastAsia="Times New Roman"/>
          <w:color w:val="000000"/>
          <w:sz w:val="20"/>
          <w:szCs w:val="20"/>
        </w:rPr>
        <w:t>222</w:t>
      </w:r>
    </w:p>
    <w:p w:rsidR="00000000" w:rsidRDefault="005B0BC3">
      <w:pPr>
        <w:rPr>
          <w:rFonts w:eastAsia="Times New Roman"/>
        </w:rPr>
      </w:pPr>
      <w:r>
        <w:rPr>
          <w:rFonts w:eastAsia="Times New Roman"/>
        </w:rPr>
        <w:pict>
          <v:rect id="_x0000_i1260" style="width:0;height:1.5pt" o:hralign="center" o:hrstd="t" o:hr="t" fillcolor="#a0a0a0" stroked="f"/>
        </w:pict>
      </w:r>
    </w:p>
    <w:p w:rsidR="00000000" w:rsidRDefault="005B0BC3">
      <w:pPr>
        <w:jc w:val="center"/>
        <w:divId w:val="594435053"/>
        <w:rPr>
          <w:rFonts w:eastAsia="Times New Roman"/>
        </w:rPr>
      </w:pPr>
      <w:r>
        <w:rPr>
          <w:rFonts w:eastAsia="Times New Roman"/>
          <w:b/>
          <w:bCs/>
          <w:color w:val="000000"/>
          <w:sz w:val="20"/>
          <w:szCs w:val="20"/>
        </w:rPr>
        <w:t>EQUITABLE HOLDINGS, INC.</w:t>
      </w:r>
    </w:p>
    <w:p w:rsidR="00000000" w:rsidRDefault="005B0BC3">
      <w:pPr>
        <w:jc w:val="center"/>
        <w:divId w:val="594435053"/>
        <w:rPr>
          <w:rFonts w:eastAsia="Times New Roman"/>
        </w:rPr>
      </w:pPr>
      <w:r>
        <w:rPr>
          <w:rFonts w:eastAsia="Times New Roman"/>
          <w:b/>
          <w:bCs/>
          <w:color w:val="000000"/>
          <w:sz w:val="20"/>
          <w:szCs w:val="20"/>
        </w:rPr>
        <w:t>NOTES TO CONSOLIDATED FINANCIAL STATEMENTS, continued</w:t>
      </w:r>
    </w:p>
    <w:p w:rsidR="00000000" w:rsidRDefault="005B0BC3">
      <w:pPr>
        <w:divId w:val="72020623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4961"/>
        <w:gridCol w:w="37"/>
        <w:gridCol w:w="120"/>
        <w:gridCol w:w="877"/>
        <w:gridCol w:w="36"/>
        <w:gridCol w:w="36"/>
        <w:gridCol w:w="36"/>
        <w:gridCol w:w="36"/>
        <w:gridCol w:w="120"/>
        <w:gridCol w:w="836"/>
        <w:gridCol w:w="36"/>
        <w:gridCol w:w="36"/>
        <w:gridCol w:w="36"/>
        <w:gridCol w:w="36"/>
        <w:gridCol w:w="120"/>
        <w:gridCol w:w="837"/>
        <w:gridCol w:w="36"/>
        <w:gridCol w:w="36"/>
      </w:tblGrid>
      <w:tr w:rsidR="00000000">
        <w:trPr>
          <w:divId w:val="627399923"/>
        </w:trPr>
        <w:tc>
          <w:tcPr>
            <w:tcW w:w="50" w:type="pct"/>
            <w:vAlign w:val="center"/>
            <w:hideMark/>
          </w:tcPr>
          <w:p w:rsidR="00000000" w:rsidRDefault="005B0BC3">
            <w:pPr>
              <w:rPr>
                <w:rFonts w:eastAsia="Times New Roman"/>
              </w:rPr>
            </w:pPr>
          </w:p>
        </w:tc>
        <w:tc>
          <w:tcPr>
            <w:tcW w:w="302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627399923"/>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c>
          <w:tcPr>
            <w:tcW w:w="0" w:type="auto"/>
            <w:vAlign w:val="center"/>
            <w:hideMark/>
          </w:tcPr>
          <w:p w:rsidR="00000000" w:rsidRDefault="005B0BC3">
            <w:pPr>
              <w:spacing w:after="100"/>
              <w:jc w:val="center"/>
              <w:rPr>
                <w:rFonts w:eastAsia="Times New Roman"/>
              </w:rPr>
            </w:pPr>
          </w:p>
        </w:tc>
      </w:tr>
      <w:tr w:rsidR="00000000">
        <w:trPr>
          <w:divId w:val="627399923"/>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15"/>
            <w:tcBorders>
              <w:top w:val="single" w:sz="4" w:space="0" w:color="000000"/>
            </w:tcBorders>
            <w:tcMar>
              <w:top w:w="30" w:type="dxa"/>
              <w:left w:w="87" w:type="dxa"/>
              <w:bottom w:w="30" w:type="dxa"/>
              <w:right w:w="87"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B0BC3">
            <w:pPr>
              <w:spacing w:after="100"/>
              <w:jc w:val="center"/>
              <w:rPr>
                <w:rFonts w:eastAsia="Times New Roman"/>
              </w:rPr>
            </w:pPr>
          </w:p>
        </w:tc>
      </w:tr>
      <w:tr w:rsidR="00000000">
        <w:trPr>
          <w:divId w:val="627399923"/>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Years Ended December 31,</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627399923"/>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divId w:val="899169975"/>
              <w:rPr>
                <w:rFonts w:eastAsia="Times New Roman"/>
              </w:rPr>
            </w:pPr>
            <w:r>
              <w:rPr>
                <w:rFonts w:eastAsia="Times New Roman"/>
                <w:color w:val="000000"/>
                <w:sz w:val="20"/>
                <w:szCs w:val="20"/>
              </w:rPr>
              <w:t>Combined statutory net income (loss) (1) (2)</w:t>
            </w: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(936)</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396 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3,821 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vAlign w:val="center"/>
            <w:hideMark/>
          </w:tcPr>
          <w:p w:rsidR="00000000" w:rsidRDefault="005B0BC3">
            <w:pPr>
              <w:spacing w:after="100"/>
              <w:jc w:val="right"/>
              <w:rPr>
                <w:rFonts w:eastAsia="Times New Roman"/>
                <w:sz w:val="20"/>
                <w:szCs w:val="20"/>
              </w:rPr>
            </w:pPr>
          </w:p>
        </w:tc>
      </w:tr>
      <w:tr w:rsidR="00000000">
        <w:trPr>
          <w:divId w:val="627399923"/>
          <w:trHeight w:val="280"/>
        </w:trPr>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627399923"/>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As of December 31,</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627399923"/>
        </w:trPr>
        <w:tc>
          <w:tcPr>
            <w:tcW w:w="0" w:type="auto"/>
            <w:gridSpan w:val="3"/>
            <w:shd w:val="clear" w:color="auto" w:fill="CCEE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Combined surplus, capital stock and AVR</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6,864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7,475 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627399923"/>
        </w:trPr>
        <w:tc>
          <w:tcPr>
            <w:tcW w:w="0" w:type="auto"/>
            <w:gridSpan w:val="3"/>
            <w:tcMar>
              <w:top w:w="30" w:type="dxa"/>
              <w:left w:w="20" w:type="dxa"/>
              <w:bottom w:w="30" w:type="dxa"/>
              <w:right w:w="20" w:type="dxa"/>
            </w:tcMar>
            <w:vAlign w:val="bottom"/>
            <w:hideMark/>
          </w:tcPr>
          <w:p w:rsidR="00000000" w:rsidRDefault="005B0BC3">
            <w:pPr>
              <w:spacing w:after="100"/>
              <w:divId w:val="2065181108"/>
              <w:rPr>
                <w:rFonts w:eastAsia="Times New Roman"/>
              </w:rPr>
            </w:pPr>
            <w:r>
              <w:rPr>
                <w:rFonts w:eastAsia="Times New Roman"/>
                <w:color w:val="000000"/>
                <w:sz w:val="20"/>
                <w:szCs w:val="20"/>
              </w:rPr>
              <w:t>Combined securities on deposits n accordance with various government and state regulations</w:t>
            </w:r>
          </w:p>
        </w:tc>
        <w:tc>
          <w:tcPr>
            <w:tcW w:w="0" w:type="auto"/>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65</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75 </w:t>
            </w:r>
          </w:p>
        </w:tc>
        <w:tc>
          <w:tcPr>
            <w:tcW w:w="0" w:type="auto"/>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bl>
    <w:p w:rsidR="00000000" w:rsidRDefault="005B0BC3">
      <w:pPr>
        <w:divId w:val="4597635"/>
        <w:rPr>
          <w:rFonts w:eastAsia="Times New Roman"/>
        </w:rPr>
      </w:pPr>
      <w:r>
        <w:rPr>
          <w:rFonts w:eastAsia="Times New Roman"/>
          <w:color w:val="000000"/>
          <w:sz w:val="18"/>
          <w:szCs w:val="18"/>
        </w:rPr>
        <w:t>_____________</w:t>
      </w:r>
    </w:p>
    <w:p w:rsidR="00000000" w:rsidRDefault="005B0BC3">
      <w:pPr>
        <w:divId w:val="1837501091"/>
        <w:rPr>
          <w:rFonts w:eastAsia="Times New Roman"/>
        </w:rPr>
      </w:pPr>
      <w:r>
        <w:rPr>
          <w:rFonts w:eastAsia="Times New Roman"/>
          <w:color w:val="000000"/>
          <w:sz w:val="18"/>
          <w:szCs w:val="18"/>
        </w:rPr>
        <w:t>(1) For 2021, excludes CS Life which was sold June 1, 2021.</w:t>
      </w:r>
    </w:p>
    <w:p w:rsidR="00000000" w:rsidRDefault="005B0BC3">
      <w:pPr>
        <w:divId w:val="696195000"/>
        <w:rPr>
          <w:rFonts w:eastAsia="Times New Roman"/>
        </w:rPr>
      </w:pPr>
      <w:r>
        <w:rPr>
          <w:rFonts w:eastAsia="Times New Roman"/>
          <w:color w:val="000000"/>
          <w:sz w:val="18"/>
          <w:szCs w:val="18"/>
        </w:rPr>
        <w:t>(2) For 2020, excludes USFL which was sold April 1, 2020.</w:t>
      </w:r>
    </w:p>
    <w:p w:rsidR="00000000" w:rsidRDefault="005B0BC3">
      <w:pPr>
        <w:divId w:val="1772314762"/>
        <w:rPr>
          <w:rFonts w:eastAsia="Times New Roman"/>
        </w:rPr>
      </w:pPr>
    </w:p>
    <w:p w:rsidR="00000000" w:rsidRDefault="005B0BC3">
      <w:pPr>
        <w:divId w:val="1154637206"/>
        <w:rPr>
          <w:rFonts w:eastAsia="Times New Roman"/>
        </w:rPr>
      </w:pPr>
      <w:r>
        <w:rPr>
          <w:rFonts w:eastAsia="Times New Roman"/>
          <w:color w:val="000000"/>
          <w:sz w:val="20"/>
          <w:szCs w:val="20"/>
        </w:rPr>
        <w:t>Equitable Financial did no</w:t>
      </w:r>
      <w:r>
        <w:rPr>
          <w:rFonts w:eastAsia="Times New Roman"/>
          <w:color w:val="000000"/>
          <w:sz w:val="20"/>
          <w:szCs w:val="20"/>
        </w:rPr>
        <w:t>t pay ordinary dividends during 2021 due to operating losses. In 2020 and 2019, Equitable Financial paid to its direct parent, which subsequently distributed such amount to Holdings, an ordinary shareholder dividend of $2.1 billion and $1.0 billion, respec</w:t>
      </w:r>
      <w:r>
        <w:rPr>
          <w:rFonts w:eastAsia="Times New Roman"/>
          <w:color w:val="000000"/>
          <w:sz w:val="20"/>
          <w:szCs w:val="20"/>
        </w:rPr>
        <w:t>tively.</w:t>
      </w:r>
    </w:p>
    <w:p w:rsidR="00000000" w:rsidRDefault="005B0BC3">
      <w:pPr>
        <w:divId w:val="1550804076"/>
        <w:rPr>
          <w:rFonts w:eastAsia="Times New Roman"/>
        </w:rPr>
      </w:pPr>
      <w:r>
        <w:rPr>
          <w:rFonts w:eastAsia="Times New Roman"/>
          <w:color w:val="000000"/>
          <w:sz w:val="20"/>
          <w:szCs w:val="20"/>
          <w:u w:val="single"/>
        </w:rPr>
        <w:t>Dividend Restrictions</w:t>
      </w:r>
    </w:p>
    <w:p w:rsidR="00000000" w:rsidRDefault="005B0BC3">
      <w:pPr>
        <w:divId w:val="825823019"/>
        <w:rPr>
          <w:rFonts w:eastAsia="Times New Roman"/>
        </w:rPr>
      </w:pPr>
      <w:r>
        <w:rPr>
          <w:rFonts w:eastAsia="Times New Roman"/>
          <w:color w:val="000000"/>
          <w:sz w:val="20"/>
          <w:szCs w:val="20"/>
        </w:rPr>
        <w:t>As domestic insurance subsidiaries regulated by insurance laws of their respective domiciliary states, Equitable Financial and Equitable America are subject to restrictions as to the amounts they may pay as dividends and amoun</w:t>
      </w:r>
      <w:r>
        <w:rPr>
          <w:rFonts w:eastAsia="Times New Roman"/>
          <w:color w:val="000000"/>
          <w:sz w:val="20"/>
          <w:szCs w:val="20"/>
        </w:rPr>
        <w:t>ts they may repay of surplus notes to Holdings.</w:t>
      </w:r>
    </w:p>
    <w:p w:rsidR="00000000" w:rsidRDefault="005B0BC3">
      <w:pPr>
        <w:divId w:val="2115782836"/>
        <w:rPr>
          <w:rFonts w:eastAsia="Times New Roman"/>
        </w:rPr>
      </w:pPr>
      <w:r>
        <w:rPr>
          <w:rFonts w:eastAsia="Times New Roman"/>
          <w:color w:val="000000"/>
          <w:sz w:val="20"/>
          <w:szCs w:val="20"/>
        </w:rPr>
        <w:t xml:space="preserve">State insurance statutes also typically place restrictions and limitations on the amount of dividends or other distributions payable by insurance company subsidiaries to their parent companies, as well as on </w:t>
      </w:r>
      <w:r>
        <w:rPr>
          <w:rFonts w:eastAsia="Times New Roman"/>
          <w:color w:val="000000"/>
          <w:sz w:val="20"/>
          <w:szCs w:val="20"/>
        </w:rPr>
        <w:t>transactions between an insurer and its affiliates. Under the New York insurance laws, which are applicable to Equitable Financial, a domestic stock life insurer may not, without prior approval of the NYDFS, pay an ordinary dividend to its stockholders exc</w:t>
      </w:r>
      <w:r>
        <w:rPr>
          <w:rFonts w:eastAsia="Times New Roman"/>
          <w:color w:val="000000"/>
          <w:sz w:val="20"/>
          <w:szCs w:val="20"/>
        </w:rPr>
        <w:t xml:space="preserve">eeding an amount calculated based on a statutory formula (“Ordinary Dividend”). Dividends in excess of this amount require the insurer to file a notice of its intent to declare the dividends with the NYDFS and obtain prior approval or non-disapproval from </w:t>
      </w:r>
      <w:r>
        <w:rPr>
          <w:rFonts w:eastAsia="Times New Roman"/>
          <w:color w:val="000000"/>
          <w:sz w:val="20"/>
          <w:szCs w:val="20"/>
        </w:rPr>
        <w:t>the NYDFS with respect to such dividends (“Extraordinary Dividend”). Due to a permitted statutory accounting practice agreed to with the NYDFS, Equitable Financial will need the prior approval of the NYDFS to pay the portion, if any, of any Ordinary Divide</w:t>
      </w:r>
      <w:r>
        <w:rPr>
          <w:rFonts w:eastAsia="Times New Roman"/>
          <w:color w:val="000000"/>
          <w:sz w:val="20"/>
          <w:szCs w:val="20"/>
        </w:rPr>
        <w:t>nd that exceeds the Ordinary Dividend that Equitable Financial would be permitted to pay under New York insurance law absent the application of such permitted practice (such excess, the “Permitted Practice Ordinary Dividend”).</w:t>
      </w:r>
    </w:p>
    <w:p w:rsidR="00000000" w:rsidRDefault="005B0BC3">
      <w:pPr>
        <w:divId w:val="759722185"/>
        <w:rPr>
          <w:rFonts w:eastAsia="Times New Roman"/>
        </w:rPr>
      </w:pPr>
      <w:r>
        <w:rPr>
          <w:rFonts w:eastAsia="Times New Roman"/>
          <w:color w:val="000000"/>
          <w:sz w:val="20"/>
          <w:szCs w:val="20"/>
        </w:rPr>
        <w:t>Applying the formulas above, Equitable Financial could pay an Ordinary Dividend of up to approximately $865 million in 2022.</w:t>
      </w:r>
    </w:p>
    <w:p w:rsidR="00000000" w:rsidRDefault="005B0BC3">
      <w:pPr>
        <w:divId w:val="2053074755"/>
        <w:rPr>
          <w:rFonts w:eastAsia="Times New Roman"/>
        </w:rPr>
      </w:pPr>
      <w:r>
        <w:rPr>
          <w:rFonts w:eastAsia="Times New Roman"/>
          <w:color w:val="000000"/>
          <w:sz w:val="20"/>
          <w:szCs w:val="20"/>
          <w:u w:val="single"/>
        </w:rPr>
        <w:t>Intercompany Reinsurance</w:t>
      </w:r>
    </w:p>
    <w:p w:rsidR="00000000" w:rsidRDefault="005B0BC3">
      <w:pPr>
        <w:divId w:val="2115587350"/>
        <w:rPr>
          <w:rFonts w:eastAsia="Times New Roman"/>
        </w:rPr>
      </w:pPr>
      <w:r>
        <w:rPr>
          <w:rFonts w:eastAsia="Times New Roman"/>
          <w:color w:val="000000"/>
          <w:sz w:val="20"/>
          <w:szCs w:val="20"/>
        </w:rPr>
        <w:t xml:space="preserve">Equitable Financial and Equitable America receive statutory reserve credits for reinsurance treaties with </w:t>
      </w:r>
      <w:r>
        <w:rPr>
          <w:rFonts w:eastAsia="Times New Roman"/>
          <w:color w:val="000000"/>
          <w:sz w:val="20"/>
          <w:szCs w:val="20"/>
        </w:rPr>
        <w:t>EQ AZ Life Re to the extent EQ AZ Life Re holds assets in an irrevocable trust (the “EQ AZ Life Re Trust”). As of December 31, 2021, EQ AZ Life Re holds $12.4 billion of assets in the EQ AZ Life Re Trust and letters of credit of $1.9 billion that are guara</w:t>
      </w:r>
      <w:r>
        <w:rPr>
          <w:rFonts w:eastAsia="Times New Roman"/>
          <w:color w:val="000000"/>
          <w:sz w:val="20"/>
          <w:szCs w:val="20"/>
        </w:rPr>
        <w:t>nteed by Holdings. Under the reinsurance transactions, EQ AZ Life Re is permitted to transfer assets from the EQ AZ Life Re Trust under certain circumstances. The level of statutory reserves held by EQ AZ Life Re fluctuate based on market movements, mortal</w:t>
      </w:r>
      <w:r>
        <w:rPr>
          <w:rFonts w:eastAsia="Times New Roman"/>
          <w:color w:val="000000"/>
          <w:sz w:val="20"/>
          <w:szCs w:val="20"/>
        </w:rPr>
        <w:t>ity experience and policyholder behavior. Increasing reserve requirements may necessitate that additional assets be placed in trust and/or additional letters of credit be secured, which could adversely impact EQ AZ Life Re’s liquidity.</w:t>
      </w:r>
    </w:p>
    <w:p w:rsidR="00000000" w:rsidRDefault="005B0BC3">
      <w:pPr>
        <w:divId w:val="1715231202"/>
        <w:rPr>
          <w:rFonts w:eastAsia="Times New Roman"/>
        </w:rPr>
      </w:pPr>
      <w:r>
        <w:rPr>
          <w:rFonts w:eastAsia="Times New Roman"/>
          <w:color w:val="000000"/>
          <w:sz w:val="20"/>
          <w:szCs w:val="20"/>
          <w:u w:val="single"/>
        </w:rPr>
        <w:t>Prescribed and Permi</w:t>
      </w:r>
      <w:r>
        <w:rPr>
          <w:rFonts w:eastAsia="Times New Roman"/>
          <w:color w:val="000000"/>
          <w:sz w:val="20"/>
          <w:szCs w:val="20"/>
          <w:u w:val="single"/>
        </w:rPr>
        <w:t>tted Accounting Practices</w:t>
      </w:r>
    </w:p>
    <w:p w:rsidR="00000000" w:rsidRDefault="005B0BC3">
      <w:pPr>
        <w:divId w:val="1223784286"/>
        <w:rPr>
          <w:rFonts w:eastAsia="Times New Roman"/>
        </w:rPr>
      </w:pPr>
      <w:r>
        <w:rPr>
          <w:rFonts w:eastAsia="Times New Roman"/>
          <w:color w:val="000000"/>
          <w:sz w:val="20"/>
          <w:szCs w:val="20"/>
        </w:rPr>
        <w:t>Equitable Financial was granted a permitted practice by the NYDFS to apply SSAP 108, Derivatives Hedging Variable Annuity Guarantees on a retroactive basis from January 1, 2021 through June 30, 2021, after reflecting the impacts o</w:t>
      </w:r>
      <w:r>
        <w:rPr>
          <w:rFonts w:eastAsia="Times New Roman"/>
          <w:color w:val="000000"/>
          <w:sz w:val="20"/>
          <w:szCs w:val="20"/>
        </w:rPr>
        <w:t>f our reinsurance transaction with Venerable. The permitted practice was amended to also permit Equitable Financial to adopt SSAP 108 prospectively as of July 1, 2021. Application of the permitted practice partially mitigates the Regulation 213 impact of t</w:t>
      </w:r>
      <w:r>
        <w:rPr>
          <w:rFonts w:eastAsia="Times New Roman"/>
          <w:color w:val="000000"/>
          <w:sz w:val="20"/>
          <w:szCs w:val="20"/>
        </w:rPr>
        <w:t xml:space="preserve">he Venerable Transaction on Equitable Financial’s statutory capital and surplus. The impact of the application of this permitted practice was an increase of approximately $1.4 billion in statutory special surplus </w:t>
      </w:r>
    </w:p>
    <w:p w:rsidR="00000000" w:rsidRDefault="005B0BC3">
      <w:pPr>
        <w:jc w:val="center"/>
        <w:divId w:val="1857958222"/>
        <w:rPr>
          <w:rFonts w:eastAsia="Times New Roman"/>
        </w:rPr>
      </w:pPr>
      <w:r>
        <w:rPr>
          <w:rFonts w:eastAsia="Times New Roman"/>
          <w:color w:val="000000"/>
          <w:sz w:val="20"/>
          <w:szCs w:val="20"/>
        </w:rPr>
        <w:t>223</w:t>
      </w:r>
    </w:p>
    <w:p w:rsidR="00000000" w:rsidRDefault="005B0BC3">
      <w:pPr>
        <w:rPr>
          <w:rFonts w:eastAsia="Times New Roman"/>
        </w:rPr>
      </w:pPr>
      <w:r>
        <w:rPr>
          <w:rFonts w:eastAsia="Times New Roman"/>
        </w:rPr>
        <w:pict>
          <v:rect id="_x0000_i1261" style="width:0;height:1.5pt" o:hralign="center" o:hrstd="t" o:hr="t" fillcolor="#a0a0a0" stroked="f"/>
        </w:pict>
      </w:r>
    </w:p>
    <w:p w:rsidR="00000000" w:rsidRDefault="005B0BC3">
      <w:pPr>
        <w:jc w:val="center"/>
        <w:divId w:val="1764720306"/>
        <w:rPr>
          <w:rFonts w:eastAsia="Times New Roman"/>
        </w:rPr>
      </w:pPr>
      <w:r>
        <w:rPr>
          <w:rFonts w:eastAsia="Times New Roman"/>
          <w:b/>
          <w:bCs/>
          <w:color w:val="000000"/>
          <w:sz w:val="20"/>
          <w:szCs w:val="20"/>
        </w:rPr>
        <w:t>EQ</w:t>
      </w:r>
      <w:r>
        <w:rPr>
          <w:rFonts w:eastAsia="Times New Roman"/>
          <w:b/>
          <w:bCs/>
          <w:color w:val="000000"/>
          <w:sz w:val="20"/>
          <w:szCs w:val="20"/>
        </w:rPr>
        <w:t>UITABLE HOLDINGS, INC.</w:t>
      </w:r>
    </w:p>
    <w:p w:rsidR="00000000" w:rsidRDefault="005B0BC3">
      <w:pPr>
        <w:jc w:val="center"/>
        <w:divId w:val="1764720306"/>
        <w:rPr>
          <w:rFonts w:eastAsia="Times New Roman"/>
        </w:rPr>
      </w:pPr>
      <w:r>
        <w:rPr>
          <w:rFonts w:eastAsia="Times New Roman"/>
          <w:b/>
          <w:bCs/>
          <w:color w:val="000000"/>
          <w:sz w:val="20"/>
          <w:szCs w:val="20"/>
        </w:rPr>
        <w:t>NOTES TO CONSOLIDATED FINANCIAL STATEMENTS, continued</w:t>
      </w:r>
    </w:p>
    <w:p w:rsidR="00000000" w:rsidRDefault="005B0BC3">
      <w:pPr>
        <w:divId w:val="664823255"/>
        <w:rPr>
          <w:rFonts w:eastAsia="Times New Roman"/>
        </w:rPr>
      </w:pPr>
      <w:r>
        <w:rPr>
          <w:rFonts w:eastAsia="Times New Roman"/>
          <w:color w:val="000000"/>
          <w:sz w:val="20"/>
          <w:szCs w:val="20"/>
        </w:rPr>
        <w:t>funds and an increase of $1.4 billion in statutory net income as of December 31, 2021 and for the year then ended, which will be amortized over 5 years for each of the retrospecti</w:t>
      </w:r>
      <w:r>
        <w:rPr>
          <w:rFonts w:eastAsia="Times New Roman"/>
          <w:color w:val="000000"/>
          <w:sz w:val="20"/>
          <w:szCs w:val="20"/>
        </w:rPr>
        <w:t xml:space="preserve">ve and prospective components. The permitted practice also resets Equitable Financial’s unassigned surplus to zero as of June 30, 2021 to reflect the transformative nature of the Venerable Transaction. </w:t>
      </w:r>
    </w:p>
    <w:p w:rsidR="00000000" w:rsidRDefault="005B0BC3">
      <w:pPr>
        <w:divId w:val="482628767"/>
        <w:rPr>
          <w:rFonts w:eastAsia="Times New Roman"/>
        </w:rPr>
      </w:pPr>
      <w:r>
        <w:rPr>
          <w:rFonts w:eastAsia="Times New Roman"/>
          <w:color w:val="000000"/>
          <w:sz w:val="20"/>
          <w:szCs w:val="20"/>
        </w:rPr>
        <w:t>Equitable Financial and Equitable America cede a port</w:t>
      </w:r>
      <w:r>
        <w:rPr>
          <w:rFonts w:eastAsia="Times New Roman"/>
          <w:color w:val="000000"/>
          <w:sz w:val="20"/>
          <w:szCs w:val="20"/>
        </w:rPr>
        <w:t>ion of their statutory reserves to EQ AZ Life Re, a captive reinsurer, as part of the Company’s capital management strategy. EQ AZ Life Re prepares financial statements in a special purpose framework for statutory reporting.</w:t>
      </w:r>
    </w:p>
    <w:p w:rsidR="00000000" w:rsidRDefault="005B0BC3">
      <w:pPr>
        <w:divId w:val="2010670907"/>
        <w:rPr>
          <w:rFonts w:eastAsia="Times New Roman"/>
        </w:rPr>
      </w:pPr>
      <w:r>
        <w:rPr>
          <w:rFonts w:eastAsia="Times New Roman"/>
          <w:color w:val="000000"/>
          <w:sz w:val="20"/>
          <w:szCs w:val="20"/>
          <w:u w:val="single"/>
        </w:rPr>
        <w:t>Differences between Statutory A</w:t>
      </w:r>
      <w:r>
        <w:rPr>
          <w:rFonts w:eastAsia="Times New Roman"/>
          <w:color w:val="000000"/>
          <w:sz w:val="20"/>
          <w:szCs w:val="20"/>
          <w:u w:val="single"/>
        </w:rPr>
        <w:t>ccounting Principles and U.S. GAAP</w:t>
      </w:r>
    </w:p>
    <w:p w:rsidR="00000000" w:rsidRDefault="005B0BC3">
      <w:pPr>
        <w:divId w:val="1809278410"/>
        <w:rPr>
          <w:rFonts w:eastAsia="Times New Roman"/>
        </w:rPr>
      </w:pPr>
      <w:r>
        <w:rPr>
          <w:rFonts w:eastAsia="Times New Roman"/>
          <w:color w:val="000000"/>
          <w:sz w:val="20"/>
          <w:szCs w:val="20"/>
        </w:rPr>
        <w:t>Accounting practices used to prepare statutory financial statements for regulatory filings of stock life insurance companies differ in certain instances from U.S. GAAP. The differences between statutory surplus and capita</w:t>
      </w:r>
      <w:r>
        <w:rPr>
          <w:rFonts w:eastAsia="Times New Roman"/>
          <w:color w:val="000000"/>
          <w:sz w:val="20"/>
          <w:szCs w:val="20"/>
        </w:rPr>
        <w:t>l stock determined in accordance with SAP and total equity under U.S. GAAP are primarily: (a) the inclusion in SAP of an AVR intended to stabilize surplus from fluctuations in the value of the investment portfolio; (b) future policy benefits and policyhold</w:t>
      </w:r>
      <w:r>
        <w:rPr>
          <w:rFonts w:eastAsia="Times New Roman"/>
          <w:color w:val="000000"/>
          <w:sz w:val="20"/>
          <w:szCs w:val="20"/>
        </w:rPr>
        <w:t>ers’ account balances under SAP differ from U.S. GAAP due to differences between actuarial assumptions and reserving methodologies; (c) certain policy acquisition costs are expensed under SAP but deferred under U.S. GAAP and amortized over future periods t</w:t>
      </w:r>
      <w:r>
        <w:rPr>
          <w:rFonts w:eastAsia="Times New Roman"/>
          <w:color w:val="000000"/>
          <w:sz w:val="20"/>
          <w:szCs w:val="20"/>
        </w:rPr>
        <w:t>o achieve a matching of revenues and expenses; (d) under SAP, Federal income taxes are provided on the basis of amounts currently payable with limited recognition of deferred tax assets while under U.S. GAAP, deferred taxes are recorded for temporary diffe</w:t>
      </w:r>
      <w:r>
        <w:rPr>
          <w:rFonts w:eastAsia="Times New Roman"/>
          <w:color w:val="000000"/>
          <w:sz w:val="20"/>
          <w:szCs w:val="20"/>
        </w:rPr>
        <w:t>rences between the financial statements and tax basis of assets and liabilities where the probability of realization is reasonably assured; (e) the valuation of assets under SAP and U.S. GAAP differ due to different investment valuation and depreciation me</w:t>
      </w:r>
      <w:r>
        <w:rPr>
          <w:rFonts w:eastAsia="Times New Roman"/>
          <w:color w:val="000000"/>
          <w:sz w:val="20"/>
          <w:szCs w:val="20"/>
        </w:rPr>
        <w:t>thodologies, as well as the deferral of interest-related realized capital gains and losses on fixed income investments; (f) the valuation of the investment in AB and AB Holding under SAP reflects a portion of the market value appreciation rather than the e</w:t>
      </w:r>
      <w:r>
        <w:rPr>
          <w:rFonts w:eastAsia="Times New Roman"/>
          <w:color w:val="000000"/>
          <w:sz w:val="20"/>
          <w:szCs w:val="20"/>
        </w:rPr>
        <w:t>quity in the underlying net assets as required under U.S. GAAP; (g) reporting the surplus notes as a component of surplus in SAP but as a liability in U.S. GAAP; (h) computer software development costs are capitalized under U.S. GAAP but expensed under SAP</w:t>
      </w:r>
      <w:r>
        <w:rPr>
          <w:rFonts w:eastAsia="Times New Roman"/>
          <w:color w:val="000000"/>
          <w:sz w:val="20"/>
          <w:szCs w:val="20"/>
        </w:rPr>
        <w:t>; (i) certain assets, primarily prepaid assets, are not admissible under SAP but are admissible under U.S. GAAP; and (j) cost of reinsurance which is recognized as expense under SAP and amortized over the life of the underlying reinsured policies under U.S</w:t>
      </w:r>
      <w:r>
        <w:rPr>
          <w:rFonts w:eastAsia="Times New Roman"/>
          <w:color w:val="000000"/>
          <w:sz w:val="20"/>
          <w:szCs w:val="20"/>
        </w:rPr>
        <w:t>. GAAP.</w:t>
      </w:r>
    </w:p>
    <w:p w:rsidR="00000000" w:rsidRDefault="005B0BC3">
      <w:pPr>
        <w:divId w:val="297033462"/>
        <w:rPr>
          <w:rFonts w:eastAsia="Times New Roman"/>
        </w:rPr>
      </w:pPr>
      <w:r>
        <w:rPr>
          <w:rFonts w:eastAsia="Times New Roman"/>
          <w:b/>
          <w:bCs/>
          <w:color w:val="000000"/>
          <w:sz w:val="20"/>
          <w:szCs w:val="20"/>
        </w:rPr>
        <w:t>19)    BUSINESS SEGMENT INFORMATION</w:t>
      </w:r>
    </w:p>
    <w:p w:rsidR="00000000" w:rsidRDefault="005B0BC3">
      <w:pPr>
        <w:divId w:val="955023044"/>
        <w:rPr>
          <w:rFonts w:eastAsia="Times New Roman"/>
        </w:rPr>
      </w:pPr>
      <w:r>
        <w:rPr>
          <w:rFonts w:eastAsia="Times New Roman"/>
          <w:color w:val="000000"/>
          <w:sz w:val="20"/>
          <w:szCs w:val="20"/>
        </w:rPr>
        <w:t>The Company has four reportable segments: Individual Retirement, Group Retirement, Investment Management and Research and Protection Solutions.</w:t>
      </w:r>
    </w:p>
    <w:p w:rsidR="00000000" w:rsidRDefault="005B0BC3">
      <w:pPr>
        <w:divId w:val="1667395664"/>
        <w:rPr>
          <w:rFonts w:eastAsia="Times New Roman"/>
        </w:rPr>
      </w:pPr>
      <w:r>
        <w:rPr>
          <w:rFonts w:eastAsia="Times New Roman"/>
          <w:color w:val="000000"/>
          <w:sz w:val="20"/>
          <w:szCs w:val="20"/>
        </w:rPr>
        <w:t>These segments reflect the manner by which the Company’s chief opera</w:t>
      </w:r>
      <w:r>
        <w:rPr>
          <w:rFonts w:eastAsia="Times New Roman"/>
          <w:color w:val="000000"/>
          <w:sz w:val="20"/>
          <w:szCs w:val="20"/>
        </w:rPr>
        <w:t>ting decision maker views and manages the business. A brief description of these segments follows:</w:t>
      </w:r>
    </w:p>
    <w:p w:rsidR="00000000" w:rsidRDefault="005B0BC3">
      <w:pPr>
        <w:ind w:hanging="360"/>
        <w:jc w:val="both"/>
        <w:divId w:val="1620407669"/>
        <w:rPr>
          <w:rFonts w:eastAsia="Times New Roman"/>
        </w:rPr>
      </w:pPr>
      <w:r>
        <w:rPr>
          <w:rFonts w:eastAsia="Times New Roman"/>
          <w:color w:val="000000"/>
          <w:sz w:val="20"/>
          <w:szCs w:val="20"/>
        </w:rPr>
        <w:t>•</w:t>
      </w:r>
      <w:r>
        <w:rPr>
          <w:rFonts w:eastAsia="Times New Roman"/>
          <w:color w:val="000000"/>
          <w:sz w:val="20"/>
          <w:szCs w:val="20"/>
        </w:rPr>
        <w:t>The Individual Retirement segment offers a diverse suite of variable annuity products which are primarily sold to affluent and high net worth individuals saving for retirement or seeking retirement income.</w:t>
      </w:r>
    </w:p>
    <w:p w:rsidR="00000000" w:rsidRDefault="005B0BC3">
      <w:pPr>
        <w:ind w:hanging="360"/>
        <w:jc w:val="both"/>
        <w:divId w:val="858856802"/>
        <w:rPr>
          <w:rFonts w:eastAsia="Times New Roman"/>
        </w:rPr>
      </w:pPr>
      <w:r>
        <w:rPr>
          <w:rFonts w:eastAsia="Times New Roman"/>
          <w:color w:val="000000"/>
          <w:sz w:val="20"/>
          <w:szCs w:val="20"/>
        </w:rPr>
        <w:t xml:space="preserve">•The Group Retirement segment offers tax-deferred </w:t>
      </w:r>
      <w:r>
        <w:rPr>
          <w:rFonts w:eastAsia="Times New Roman"/>
          <w:color w:val="000000"/>
          <w:sz w:val="20"/>
          <w:szCs w:val="20"/>
        </w:rPr>
        <w:t>investment and retirement services or products to plans sponsored by educational entities, municipalities and not-for-profit entities, as well as small and medium-sized businesses.</w:t>
      </w:r>
    </w:p>
    <w:p w:rsidR="00000000" w:rsidRDefault="005B0BC3">
      <w:pPr>
        <w:ind w:hanging="360"/>
        <w:jc w:val="both"/>
        <w:divId w:val="975792436"/>
        <w:rPr>
          <w:rFonts w:eastAsia="Times New Roman"/>
        </w:rPr>
      </w:pPr>
      <w:r>
        <w:rPr>
          <w:rFonts w:eastAsia="Times New Roman"/>
          <w:color w:val="000000"/>
          <w:sz w:val="20"/>
          <w:szCs w:val="20"/>
        </w:rPr>
        <w:t>•The Investment Management and Research segment provides diversified invest</w:t>
      </w:r>
      <w:r>
        <w:rPr>
          <w:rFonts w:eastAsia="Times New Roman"/>
          <w:color w:val="000000"/>
          <w:sz w:val="20"/>
          <w:szCs w:val="20"/>
        </w:rPr>
        <w:t>ment management, research and related solutions globally to a broad range of clients through three main client channels - Institutional, Retail and Private Wealth Management - and distributes its institutional research products and solutions through Bernst</w:t>
      </w:r>
      <w:r>
        <w:rPr>
          <w:rFonts w:eastAsia="Times New Roman"/>
          <w:color w:val="000000"/>
          <w:sz w:val="20"/>
          <w:szCs w:val="20"/>
        </w:rPr>
        <w:t>ein Research Services.</w:t>
      </w:r>
    </w:p>
    <w:p w:rsidR="00000000" w:rsidRDefault="005B0BC3">
      <w:pPr>
        <w:ind w:hanging="360"/>
        <w:divId w:val="529101731"/>
        <w:rPr>
          <w:rFonts w:eastAsia="Times New Roman"/>
        </w:rPr>
      </w:pPr>
      <w:r>
        <w:rPr>
          <w:rFonts w:eastAsia="Times New Roman"/>
          <w:color w:val="000000"/>
          <w:sz w:val="20"/>
          <w:szCs w:val="20"/>
        </w:rPr>
        <w:t xml:space="preserve">•The Protection Solutions segment includes our life insurance and group employee benefits businesses. Our life insurance business offers a variety of VUL, UL and term life products to help affluent and high net worth individuals, as </w:t>
      </w:r>
      <w:r>
        <w:rPr>
          <w:rFonts w:eastAsia="Times New Roman"/>
          <w:color w:val="000000"/>
          <w:sz w:val="20"/>
          <w:szCs w:val="20"/>
        </w:rPr>
        <w:t>well as small and medium-sized business owners, with their wealth protection, wealth transfer and corporate needs. Our group employee benefits business offers a suite of dental, vision, life, and short- and long-term disability and other insurance products</w:t>
      </w:r>
      <w:r>
        <w:rPr>
          <w:rFonts w:eastAsia="Times New Roman"/>
          <w:color w:val="000000"/>
          <w:sz w:val="20"/>
          <w:szCs w:val="20"/>
        </w:rPr>
        <w:t xml:space="preserve"> to small and medium-size businesses across the United States.</w:t>
      </w:r>
    </w:p>
    <w:p w:rsidR="00000000" w:rsidRDefault="005B0BC3">
      <w:pPr>
        <w:divId w:val="1599406848"/>
        <w:rPr>
          <w:rFonts w:eastAsia="Times New Roman"/>
        </w:rPr>
      </w:pPr>
      <w:r>
        <w:rPr>
          <w:rFonts w:eastAsia="Times New Roman"/>
          <w:color w:val="000000"/>
          <w:sz w:val="20"/>
          <w:szCs w:val="20"/>
          <w:u w:val="single"/>
        </w:rPr>
        <w:t>Measurement</w:t>
      </w:r>
    </w:p>
    <w:p w:rsidR="00000000" w:rsidRDefault="005B0BC3">
      <w:pPr>
        <w:divId w:val="464471189"/>
        <w:rPr>
          <w:rFonts w:eastAsia="Times New Roman"/>
        </w:rPr>
      </w:pPr>
      <w:r>
        <w:rPr>
          <w:rFonts w:eastAsia="Times New Roman"/>
          <w:color w:val="000000"/>
          <w:sz w:val="20"/>
          <w:szCs w:val="20"/>
        </w:rPr>
        <w:t xml:space="preserve">Operating earnings (loss) is the financial measure which primarily focuses on the Company’s segments’ results of operations as well as the underlying profitability of the Company’s </w:t>
      </w:r>
      <w:r>
        <w:rPr>
          <w:rFonts w:eastAsia="Times New Roman"/>
          <w:color w:val="000000"/>
          <w:sz w:val="20"/>
          <w:szCs w:val="20"/>
        </w:rPr>
        <w:t xml:space="preserve">core business. By excluding items that can be </w:t>
      </w:r>
    </w:p>
    <w:p w:rsidR="00000000" w:rsidRDefault="005B0BC3">
      <w:pPr>
        <w:jc w:val="center"/>
        <w:divId w:val="785974302"/>
        <w:rPr>
          <w:rFonts w:eastAsia="Times New Roman"/>
        </w:rPr>
      </w:pPr>
      <w:r>
        <w:rPr>
          <w:rFonts w:eastAsia="Times New Roman"/>
          <w:color w:val="000000"/>
          <w:sz w:val="20"/>
          <w:szCs w:val="20"/>
        </w:rPr>
        <w:t>224</w:t>
      </w:r>
    </w:p>
    <w:p w:rsidR="00000000" w:rsidRDefault="005B0BC3">
      <w:pPr>
        <w:rPr>
          <w:rFonts w:eastAsia="Times New Roman"/>
        </w:rPr>
      </w:pPr>
      <w:r>
        <w:rPr>
          <w:rFonts w:eastAsia="Times New Roman"/>
        </w:rPr>
        <w:pict>
          <v:rect id="_x0000_i1262" style="width:0;height:1.5pt" o:hralign="center" o:hrstd="t" o:hr="t" fillcolor="#a0a0a0" stroked="f"/>
        </w:pict>
      </w:r>
    </w:p>
    <w:p w:rsidR="00000000" w:rsidRDefault="005B0BC3">
      <w:pPr>
        <w:jc w:val="center"/>
        <w:divId w:val="472067351"/>
        <w:rPr>
          <w:rFonts w:eastAsia="Times New Roman"/>
        </w:rPr>
      </w:pPr>
      <w:r>
        <w:rPr>
          <w:rFonts w:eastAsia="Times New Roman"/>
          <w:b/>
          <w:bCs/>
          <w:color w:val="000000"/>
          <w:sz w:val="20"/>
          <w:szCs w:val="20"/>
        </w:rPr>
        <w:t>EQUITABLE HOLDINGS, INC.</w:t>
      </w:r>
    </w:p>
    <w:p w:rsidR="00000000" w:rsidRDefault="005B0BC3">
      <w:pPr>
        <w:jc w:val="center"/>
        <w:divId w:val="472067351"/>
        <w:rPr>
          <w:rFonts w:eastAsia="Times New Roman"/>
        </w:rPr>
      </w:pPr>
      <w:r>
        <w:rPr>
          <w:rFonts w:eastAsia="Times New Roman"/>
          <w:b/>
          <w:bCs/>
          <w:color w:val="000000"/>
          <w:sz w:val="20"/>
          <w:szCs w:val="20"/>
        </w:rPr>
        <w:t>NOTES TO CONSOLIDATED FINANCIAL STATEMENTS, continued</w:t>
      </w:r>
    </w:p>
    <w:p w:rsidR="00000000" w:rsidRDefault="005B0BC3">
      <w:pPr>
        <w:divId w:val="1516458092"/>
        <w:rPr>
          <w:rFonts w:eastAsia="Times New Roman"/>
        </w:rPr>
      </w:pPr>
      <w:r>
        <w:rPr>
          <w:rFonts w:eastAsia="Times New Roman"/>
          <w:color w:val="000000"/>
          <w:sz w:val="20"/>
          <w:szCs w:val="20"/>
        </w:rPr>
        <w:t>distortive and unpredictable such as investment gains (losses) and investment income (los</w:t>
      </w:r>
      <w:r>
        <w:rPr>
          <w:rFonts w:eastAsia="Times New Roman"/>
          <w:color w:val="000000"/>
          <w:sz w:val="20"/>
          <w:szCs w:val="20"/>
        </w:rPr>
        <w:t>s) from derivative instruments, the Company believes operating earnings (loss) by segment enhances the understanding of the Company’s underlying drivers of profitability and trends in the Company’s segments.</w:t>
      </w:r>
    </w:p>
    <w:p w:rsidR="00000000" w:rsidRDefault="005B0BC3">
      <w:pPr>
        <w:divId w:val="1648246594"/>
        <w:rPr>
          <w:rFonts w:eastAsia="Times New Roman"/>
        </w:rPr>
      </w:pPr>
      <w:r>
        <w:rPr>
          <w:rFonts w:eastAsia="Times New Roman"/>
          <w:color w:val="000000"/>
          <w:sz w:val="20"/>
          <w:szCs w:val="20"/>
        </w:rPr>
        <w:t>Operating earnings is calculated by adjusting each segment’s net income (loss) attributable to Holdings for the following items:</w:t>
      </w:r>
    </w:p>
    <w:p w:rsidR="00000000" w:rsidRDefault="005B0BC3">
      <w:pPr>
        <w:ind w:hanging="360"/>
        <w:jc w:val="both"/>
        <w:divId w:val="1898930023"/>
        <w:rPr>
          <w:rFonts w:eastAsia="Times New Roman"/>
        </w:rPr>
      </w:pPr>
      <w:r>
        <w:rPr>
          <w:rFonts w:eastAsia="Times New Roman"/>
          <w:color w:val="000000"/>
          <w:sz w:val="20"/>
          <w:szCs w:val="20"/>
        </w:rPr>
        <w:t>•Items related to variable annuity product features, which include: (i) certain changes in the fair value of the derivatives an</w:t>
      </w:r>
      <w:r>
        <w:rPr>
          <w:rFonts w:eastAsia="Times New Roman"/>
          <w:color w:val="000000"/>
          <w:sz w:val="20"/>
          <w:szCs w:val="20"/>
        </w:rPr>
        <w:t>d other securities we use to hedge these features; (ii) the effect of benefit ratio unlock adjustments, including extraordinary economic conditions or events such as COVID-19; and (iii) changes in the fair value of the embedded derivatives reflected within</w:t>
      </w:r>
      <w:r>
        <w:rPr>
          <w:rFonts w:eastAsia="Times New Roman"/>
          <w:color w:val="000000"/>
          <w:sz w:val="20"/>
          <w:szCs w:val="20"/>
        </w:rPr>
        <w:t xml:space="preserve"> variable annuity products’ net derivative results and the impact of these items on DAC amortization on our SCS product; </w:t>
      </w:r>
    </w:p>
    <w:p w:rsidR="00000000" w:rsidRDefault="005B0BC3">
      <w:pPr>
        <w:ind w:hanging="360"/>
        <w:jc w:val="both"/>
        <w:divId w:val="231738296"/>
        <w:rPr>
          <w:rFonts w:eastAsia="Times New Roman"/>
        </w:rPr>
      </w:pPr>
      <w:r>
        <w:rPr>
          <w:rFonts w:eastAsia="Times New Roman"/>
          <w:color w:val="000000"/>
          <w:sz w:val="20"/>
          <w:szCs w:val="20"/>
        </w:rPr>
        <w:t>•Investment (gains) losses, which includes credit loss impairments of securities/investments, sales or disposals of securities/investm</w:t>
      </w:r>
      <w:r>
        <w:rPr>
          <w:rFonts w:eastAsia="Times New Roman"/>
          <w:color w:val="000000"/>
          <w:sz w:val="20"/>
          <w:szCs w:val="20"/>
        </w:rPr>
        <w:t>ents, realized capital gains/losses and valuation allowances;</w:t>
      </w:r>
    </w:p>
    <w:p w:rsidR="00000000" w:rsidRDefault="005B0BC3">
      <w:pPr>
        <w:ind w:hanging="360"/>
        <w:jc w:val="both"/>
        <w:divId w:val="225920941"/>
        <w:rPr>
          <w:rFonts w:eastAsia="Times New Roman"/>
        </w:rPr>
      </w:pPr>
      <w:r>
        <w:rPr>
          <w:rFonts w:eastAsia="Times New Roman"/>
          <w:color w:val="000000"/>
          <w:sz w:val="20"/>
          <w:szCs w:val="20"/>
        </w:rPr>
        <w:t xml:space="preserve">•Net actuarial (gains) losses, which includes actuarial gains and losses as a result of differences between actual and expected experience on pension plan assets or projected benefit obligation </w:t>
      </w:r>
      <w:r>
        <w:rPr>
          <w:rFonts w:eastAsia="Times New Roman"/>
          <w:color w:val="000000"/>
          <w:sz w:val="20"/>
          <w:szCs w:val="20"/>
        </w:rPr>
        <w:t>during a given period related to pension, other postretirement benefit obligations, and the one-time impact of the settlement of the defined benefit obligation;</w:t>
      </w:r>
    </w:p>
    <w:p w:rsidR="00000000" w:rsidRDefault="005B0BC3">
      <w:pPr>
        <w:ind w:hanging="360"/>
        <w:jc w:val="both"/>
        <w:divId w:val="1618370542"/>
        <w:rPr>
          <w:rFonts w:eastAsia="Times New Roman"/>
        </w:rPr>
      </w:pPr>
      <w:r>
        <w:rPr>
          <w:rFonts w:eastAsia="Times New Roman"/>
          <w:color w:val="000000"/>
          <w:sz w:val="20"/>
          <w:szCs w:val="20"/>
        </w:rPr>
        <w:t>•Other adjustments, which primarily include restructuring costs related to severance and separa</w:t>
      </w:r>
      <w:r>
        <w:rPr>
          <w:rFonts w:eastAsia="Times New Roman"/>
          <w:color w:val="000000"/>
          <w:sz w:val="20"/>
          <w:szCs w:val="20"/>
        </w:rPr>
        <w:t xml:space="preserve">tion, COVID-19 related impacts, net derivative gains (losses) on certain Non-GMxB derivatives, net investment income from certain items including consolidated VIE investments, seed capital mark-to-market adjustments, unrealized gain/losses associated with </w:t>
      </w:r>
      <w:r>
        <w:rPr>
          <w:rFonts w:eastAsia="Times New Roman"/>
          <w:color w:val="000000"/>
          <w:sz w:val="20"/>
          <w:szCs w:val="20"/>
        </w:rPr>
        <w:t xml:space="preserve">equity securities and certain legal accruals; and </w:t>
      </w:r>
    </w:p>
    <w:p w:rsidR="00000000" w:rsidRDefault="005B0BC3">
      <w:pPr>
        <w:ind w:hanging="360"/>
        <w:divId w:val="1233931993"/>
        <w:rPr>
          <w:rFonts w:eastAsia="Times New Roman"/>
        </w:rPr>
      </w:pPr>
      <w:r>
        <w:rPr>
          <w:rFonts w:eastAsia="Times New Roman"/>
          <w:color w:val="000000"/>
          <w:sz w:val="20"/>
          <w:szCs w:val="20"/>
        </w:rPr>
        <w:t>•Income tax expense (benefit) related to the above items and non-recurring tax items, which includes the effect of uncertain tax positions for a given audit period.</w:t>
      </w:r>
    </w:p>
    <w:p w:rsidR="00000000" w:rsidRDefault="005B0BC3">
      <w:pPr>
        <w:divId w:val="2066100792"/>
        <w:rPr>
          <w:rFonts w:eastAsia="Times New Roman"/>
        </w:rPr>
      </w:pPr>
      <w:r>
        <w:rPr>
          <w:rFonts w:eastAsia="Times New Roman"/>
          <w:color w:val="000000"/>
          <w:sz w:val="20"/>
          <w:szCs w:val="20"/>
        </w:rPr>
        <w:t>Revenues derived from any customer did n</w:t>
      </w:r>
      <w:r>
        <w:rPr>
          <w:rFonts w:eastAsia="Times New Roman"/>
          <w:color w:val="000000"/>
          <w:sz w:val="20"/>
          <w:szCs w:val="20"/>
        </w:rPr>
        <w:t>ot exceed 10% of revenues for the years ended December 31, 2021, 2020 and 2019.</w:t>
      </w:r>
    </w:p>
    <w:p w:rsidR="00000000" w:rsidRDefault="005B0BC3">
      <w:pPr>
        <w:divId w:val="389035544"/>
        <w:rPr>
          <w:rFonts w:eastAsia="Times New Roman"/>
        </w:rPr>
      </w:pPr>
      <w:r>
        <w:rPr>
          <w:rFonts w:eastAsia="Times New Roman"/>
          <w:color w:val="000000"/>
          <w:sz w:val="20"/>
          <w:szCs w:val="20"/>
        </w:rPr>
        <w:t>The table below presents operating earnings (loss) by segment and Corporate and Other and a reconciliation to net income (loss) attributable to Holdings for the years ended Dec</w:t>
      </w:r>
      <w:r>
        <w:rPr>
          <w:rFonts w:eastAsia="Times New Roman"/>
          <w:color w:val="000000"/>
          <w:sz w:val="20"/>
          <w:szCs w:val="20"/>
        </w:rPr>
        <w:t>ember 31, 2021, 2020 and 2019, respectively:</w:t>
      </w:r>
    </w:p>
    <w:tbl>
      <w:tblPr>
        <w:tblW w:w="5000" w:type="pct"/>
        <w:tblCellMar>
          <w:top w:w="15" w:type="dxa"/>
          <w:left w:w="15" w:type="dxa"/>
          <w:bottom w:w="15" w:type="dxa"/>
          <w:right w:w="15" w:type="dxa"/>
        </w:tblCellMar>
        <w:tblLook w:val="04A0" w:firstRow="1" w:lastRow="0" w:firstColumn="1" w:lastColumn="0" w:noHBand="0" w:noVBand="1"/>
      </w:tblPr>
      <w:tblGrid>
        <w:gridCol w:w="40"/>
        <w:gridCol w:w="5199"/>
        <w:gridCol w:w="39"/>
        <w:gridCol w:w="36"/>
        <w:gridCol w:w="36"/>
        <w:gridCol w:w="36"/>
        <w:gridCol w:w="36"/>
        <w:gridCol w:w="120"/>
        <w:gridCol w:w="709"/>
        <w:gridCol w:w="36"/>
        <w:gridCol w:w="36"/>
        <w:gridCol w:w="36"/>
        <w:gridCol w:w="36"/>
        <w:gridCol w:w="120"/>
        <w:gridCol w:w="668"/>
        <w:gridCol w:w="36"/>
        <w:gridCol w:w="36"/>
        <w:gridCol w:w="36"/>
        <w:gridCol w:w="36"/>
        <w:gridCol w:w="120"/>
        <w:gridCol w:w="823"/>
        <w:gridCol w:w="36"/>
      </w:tblGrid>
      <w:tr w:rsidR="00000000">
        <w:trPr>
          <w:divId w:val="489372922"/>
        </w:trPr>
        <w:tc>
          <w:tcPr>
            <w:tcW w:w="50" w:type="pct"/>
            <w:vAlign w:val="center"/>
            <w:hideMark/>
          </w:tcPr>
          <w:p w:rsidR="00000000" w:rsidRDefault="005B0BC3">
            <w:pPr>
              <w:rPr>
                <w:rFonts w:eastAsia="Times New Roman"/>
              </w:rPr>
            </w:pPr>
          </w:p>
        </w:tc>
        <w:tc>
          <w:tcPr>
            <w:tcW w:w="321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6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6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489372922"/>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489372922"/>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489372922"/>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5"/>
            <w:tcBorders>
              <w:top w:val="single" w:sz="4" w:space="0" w:color="000000"/>
            </w:tcBorders>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489372922"/>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Net income (loss) attributable to Holdings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(439)</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(648)</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(1,764)</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489372922"/>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Adjustments related to:</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489372922"/>
        </w:trPr>
        <w:tc>
          <w:tcPr>
            <w:tcW w:w="0" w:type="auto"/>
            <w:gridSpan w:val="3"/>
            <w:shd w:val="clear" w:color="auto" w:fill="CCEEFF"/>
            <w:tcMar>
              <w:top w:w="30" w:type="dxa"/>
              <w:left w:w="38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Variable annuity product features (1)</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4,145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3,912 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4,863 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489372922"/>
        </w:trPr>
        <w:tc>
          <w:tcPr>
            <w:tcW w:w="0" w:type="auto"/>
            <w:gridSpan w:val="3"/>
            <w:shd w:val="clear" w:color="auto" w:fill="FFFFFF"/>
            <w:tcMar>
              <w:top w:w="30" w:type="dxa"/>
              <w:left w:w="38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Investment (gains) losses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(867)</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(744)</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(73)</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489372922"/>
        </w:trPr>
        <w:tc>
          <w:tcPr>
            <w:tcW w:w="0" w:type="auto"/>
            <w:gridSpan w:val="3"/>
            <w:shd w:val="clear" w:color="auto" w:fill="CCEEFF"/>
            <w:tcMar>
              <w:top w:w="30" w:type="dxa"/>
              <w:left w:w="38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Net actuarial (gains) losses related to pension and other postretirement benefit obligations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489372922"/>
        </w:trPr>
        <w:tc>
          <w:tcPr>
            <w:tcW w:w="0" w:type="auto"/>
            <w:gridSpan w:val="3"/>
            <w:shd w:val="clear" w:color="auto" w:fill="FFFFFF"/>
            <w:tcMar>
              <w:top w:w="30" w:type="dxa"/>
              <w:left w:w="38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Other adjustments (2) (3) (4) (5)</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717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952 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395 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489372922"/>
        </w:trPr>
        <w:tc>
          <w:tcPr>
            <w:tcW w:w="0" w:type="auto"/>
            <w:gridSpan w:val="3"/>
            <w:shd w:val="clear" w:color="auto" w:fill="CCEEFF"/>
            <w:tcMar>
              <w:top w:w="30" w:type="dxa"/>
              <w:left w:w="38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Income tax expense (benefit) related to above adjustments (6)</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(864)</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(888)</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(1,097)</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489372922"/>
        </w:trPr>
        <w:tc>
          <w:tcPr>
            <w:tcW w:w="0" w:type="auto"/>
            <w:gridSpan w:val="3"/>
            <w:shd w:val="clear" w:color="auto" w:fill="FFFFFF"/>
            <w:tcMar>
              <w:top w:w="30" w:type="dxa"/>
              <w:left w:w="38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Non-recurring tax items (7)</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(391)</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(66)</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489372922"/>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Non-GAAP Operating Earnings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2,825</w:t>
            </w: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2,302 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2,357 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489372922"/>
          <w:trHeight w:val="280"/>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489372922"/>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Operating earnings (loss) by segment:</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489372922"/>
        </w:trPr>
        <w:tc>
          <w:tcPr>
            <w:tcW w:w="0" w:type="auto"/>
            <w:gridSpan w:val="3"/>
            <w:shd w:val="clear" w:color="auto" w:fill="FFFFFF"/>
            <w:tcMar>
              <w:top w:w="30" w:type="dxa"/>
              <w:left w:w="38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Individual Retirement</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1,444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1,536 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1,598 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489372922"/>
        </w:trPr>
        <w:tc>
          <w:tcPr>
            <w:tcW w:w="0" w:type="auto"/>
            <w:gridSpan w:val="3"/>
            <w:shd w:val="clear" w:color="auto" w:fill="CCEEFF"/>
            <w:tcMar>
              <w:top w:w="30" w:type="dxa"/>
              <w:left w:w="38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Group Retirement</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491 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390 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489372922"/>
        </w:trPr>
        <w:tc>
          <w:tcPr>
            <w:tcW w:w="0" w:type="auto"/>
            <w:gridSpan w:val="3"/>
            <w:shd w:val="clear" w:color="auto" w:fill="FFFFFF"/>
            <w:tcMar>
              <w:top w:w="30" w:type="dxa"/>
              <w:left w:w="38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Investment Management and Research</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564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432 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381 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489372922"/>
        </w:trPr>
        <w:tc>
          <w:tcPr>
            <w:tcW w:w="0" w:type="auto"/>
            <w:gridSpan w:val="3"/>
            <w:shd w:val="clear" w:color="auto" w:fill="CCEEFF"/>
            <w:tcMar>
              <w:top w:w="30" w:type="dxa"/>
              <w:left w:w="38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Protection Solutions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336 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489372922"/>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Corporate and Other (8)</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(131)</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(303)</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(348)</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ind w:hanging="720"/>
        <w:divId w:val="1603997641"/>
        <w:rPr>
          <w:rFonts w:eastAsia="Times New Roman"/>
        </w:rPr>
      </w:pPr>
      <w:r>
        <w:rPr>
          <w:rFonts w:eastAsia="Times New Roman"/>
          <w:color w:val="000000"/>
          <w:sz w:val="18"/>
          <w:szCs w:val="18"/>
        </w:rPr>
        <w:t>______________</w:t>
      </w:r>
    </w:p>
    <w:p w:rsidR="00000000" w:rsidRDefault="005B0BC3">
      <w:pPr>
        <w:ind w:hanging="360"/>
        <w:divId w:val="612858957"/>
        <w:rPr>
          <w:rFonts w:eastAsia="Times New Roman"/>
        </w:rPr>
      </w:pPr>
      <w:r>
        <w:rPr>
          <w:rFonts w:eastAsia="Times New Roman"/>
          <w:color w:val="000000"/>
          <w:sz w:val="18"/>
          <w:szCs w:val="18"/>
        </w:rPr>
        <w:t>(1)Includes COVID-19 impact on variable annuity product features due to a first quarter 2020 assumption update of $1.5 billion and other COVID-19 related impacts of $35 mil</w:t>
      </w:r>
      <w:r>
        <w:rPr>
          <w:rFonts w:eastAsia="Times New Roman"/>
          <w:color w:val="000000"/>
          <w:sz w:val="18"/>
          <w:szCs w:val="18"/>
        </w:rPr>
        <w:t xml:space="preserve">lion for the </w:t>
      </w:r>
      <w:r>
        <w:rPr>
          <w:rFonts w:eastAsia="Times New Roman"/>
          <w:color w:val="000000"/>
          <w:sz w:val="20"/>
          <w:szCs w:val="20"/>
        </w:rPr>
        <w:t>year ended December 31, 2020</w:t>
      </w:r>
      <w:r>
        <w:rPr>
          <w:rFonts w:eastAsia="Times New Roman"/>
          <w:color w:val="000000"/>
          <w:sz w:val="18"/>
          <w:szCs w:val="18"/>
        </w:rPr>
        <w:t>.</w:t>
      </w:r>
    </w:p>
    <w:p w:rsidR="00000000" w:rsidRDefault="005B0BC3">
      <w:pPr>
        <w:jc w:val="center"/>
        <w:divId w:val="1012605352"/>
        <w:rPr>
          <w:rFonts w:eastAsia="Times New Roman"/>
        </w:rPr>
      </w:pPr>
      <w:r>
        <w:rPr>
          <w:rFonts w:eastAsia="Times New Roman"/>
          <w:color w:val="000000"/>
          <w:sz w:val="20"/>
          <w:szCs w:val="20"/>
        </w:rPr>
        <w:t>225</w:t>
      </w:r>
    </w:p>
    <w:p w:rsidR="00000000" w:rsidRDefault="005B0BC3">
      <w:pPr>
        <w:rPr>
          <w:rFonts w:eastAsia="Times New Roman"/>
        </w:rPr>
      </w:pPr>
      <w:r>
        <w:rPr>
          <w:rFonts w:eastAsia="Times New Roman"/>
        </w:rPr>
        <w:pict>
          <v:rect id="_x0000_i1263" style="width:0;height:1.5pt" o:hralign="center" o:hrstd="t" o:hr="t" fillcolor="#a0a0a0" stroked="f"/>
        </w:pict>
      </w:r>
    </w:p>
    <w:p w:rsidR="00000000" w:rsidRDefault="005B0BC3">
      <w:pPr>
        <w:jc w:val="center"/>
        <w:divId w:val="1334526391"/>
        <w:rPr>
          <w:rFonts w:eastAsia="Times New Roman"/>
        </w:rPr>
      </w:pPr>
      <w:r>
        <w:rPr>
          <w:rFonts w:eastAsia="Times New Roman"/>
          <w:b/>
          <w:bCs/>
          <w:color w:val="000000"/>
          <w:sz w:val="20"/>
          <w:szCs w:val="20"/>
        </w:rPr>
        <w:t>EQUITABLE HOLDINGS, INC.</w:t>
      </w:r>
    </w:p>
    <w:p w:rsidR="00000000" w:rsidRDefault="005B0BC3">
      <w:pPr>
        <w:jc w:val="center"/>
        <w:divId w:val="1334526391"/>
        <w:rPr>
          <w:rFonts w:eastAsia="Times New Roman"/>
        </w:rPr>
      </w:pPr>
      <w:r>
        <w:rPr>
          <w:rFonts w:eastAsia="Times New Roman"/>
          <w:b/>
          <w:bCs/>
          <w:color w:val="000000"/>
          <w:sz w:val="20"/>
          <w:szCs w:val="20"/>
        </w:rPr>
        <w:t>NOTES TO CONSOLIDATED FINANCIAL STATEMENTS, continued</w:t>
      </w:r>
    </w:p>
    <w:p w:rsidR="00000000" w:rsidRDefault="005B0BC3">
      <w:pPr>
        <w:ind w:hanging="360"/>
        <w:divId w:val="407968450"/>
        <w:rPr>
          <w:rFonts w:eastAsia="Times New Roman"/>
        </w:rPr>
      </w:pPr>
      <w:r>
        <w:rPr>
          <w:rFonts w:eastAsia="Times New Roman"/>
          <w:color w:val="000000"/>
          <w:sz w:val="18"/>
          <w:szCs w:val="18"/>
        </w:rPr>
        <w:t>(2)Includes COVID-19 impact on other adjustments due to a first quarter 2020 assumption update of $1.0 billion and other COVID-19 related imp</w:t>
      </w:r>
      <w:r>
        <w:rPr>
          <w:rFonts w:eastAsia="Times New Roman"/>
          <w:color w:val="000000"/>
          <w:sz w:val="18"/>
          <w:szCs w:val="18"/>
        </w:rPr>
        <w:t xml:space="preserve">acts of $86 million for the </w:t>
      </w:r>
      <w:r>
        <w:rPr>
          <w:rFonts w:eastAsia="Times New Roman"/>
          <w:color w:val="000000"/>
          <w:sz w:val="20"/>
          <w:szCs w:val="20"/>
        </w:rPr>
        <w:t>year ended December 31, 2020</w:t>
      </w:r>
      <w:r>
        <w:rPr>
          <w:rFonts w:eastAsia="Times New Roman"/>
          <w:color w:val="000000"/>
          <w:sz w:val="18"/>
          <w:szCs w:val="18"/>
        </w:rPr>
        <w:t>.</w:t>
      </w:r>
    </w:p>
    <w:p w:rsidR="00000000" w:rsidRDefault="005B0BC3">
      <w:pPr>
        <w:ind w:hanging="360"/>
        <w:divId w:val="73934416"/>
        <w:rPr>
          <w:rFonts w:eastAsia="Times New Roman"/>
        </w:rPr>
      </w:pPr>
      <w:r>
        <w:rPr>
          <w:rFonts w:eastAsia="Times New Roman"/>
          <w:color w:val="000000"/>
          <w:sz w:val="18"/>
          <w:szCs w:val="18"/>
        </w:rPr>
        <w:t>(3)Include separation costs of $82 million, $108 million and $222 million for the years ended December 31, 2021, 2020 and 2019, respectively.</w:t>
      </w:r>
    </w:p>
    <w:p w:rsidR="00000000" w:rsidRDefault="005B0BC3">
      <w:pPr>
        <w:ind w:hanging="360"/>
        <w:divId w:val="1717466825"/>
        <w:rPr>
          <w:rFonts w:eastAsia="Times New Roman"/>
        </w:rPr>
      </w:pPr>
      <w:r>
        <w:rPr>
          <w:rFonts w:eastAsia="Times New Roman"/>
          <w:color w:val="000000"/>
          <w:sz w:val="18"/>
          <w:szCs w:val="18"/>
        </w:rPr>
        <w:t>(4)Includes certain legal accruals related to the COI li</w:t>
      </w:r>
      <w:r>
        <w:rPr>
          <w:rFonts w:eastAsia="Times New Roman"/>
          <w:color w:val="000000"/>
          <w:sz w:val="18"/>
          <w:szCs w:val="18"/>
        </w:rPr>
        <w:t xml:space="preserve">tigation of $207 million for the </w:t>
      </w:r>
      <w:r>
        <w:rPr>
          <w:rFonts w:eastAsia="Times New Roman"/>
          <w:color w:val="000000"/>
          <w:sz w:val="20"/>
          <w:szCs w:val="20"/>
        </w:rPr>
        <w:t>year ended December 31, 2021</w:t>
      </w:r>
      <w:r>
        <w:rPr>
          <w:rFonts w:eastAsia="Times New Roman"/>
          <w:color w:val="000000"/>
          <w:sz w:val="18"/>
          <w:szCs w:val="18"/>
        </w:rPr>
        <w:t xml:space="preserve">. No adjustments were made to prior period operating earnings as the impact was immaterial. </w:t>
      </w:r>
    </w:p>
    <w:p w:rsidR="00000000" w:rsidRDefault="005B0BC3">
      <w:pPr>
        <w:ind w:hanging="360"/>
        <w:divId w:val="756051260"/>
        <w:rPr>
          <w:rFonts w:eastAsia="Times New Roman"/>
        </w:rPr>
      </w:pPr>
      <w:r>
        <w:rPr>
          <w:rFonts w:eastAsia="Times New Roman"/>
          <w:color w:val="000000"/>
          <w:sz w:val="18"/>
          <w:szCs w:val="18"/>
        </w:rPr>
        <w:t xml:space="preserve">(5)Includes Non-GMxB related derivative hedge gains and losses of $65 million, $(404) million and $36 </w:t>
      </w:r>
      <w:r>
        <w:rPr>
          <w:rFonts w:eastAsia="Times New Roman"/>
          <w:color w:val="000000"/>
          <w:sz w:val="18"/>
          <w:szCs w:val="18"/>
        </w:rPr>
        <w:t>million for the years ended December 31, 2021, 2020 and 2019, respectively.</w:t>
      </w:r>
    </w:p>
    <w:p w:rsidR="00000000" w:rsidRDefault="005B0BC3">
      <w:pPr>
        <w:ind w:hanging="360"/>
        <w:divId w:val="1233658252"/>
        <w:rPr>
          <w:rFonts w:eastAsia="Times New Roman"/>
        </w:rPr>
      </w:pPr>
      <w:r>
        <w:rPr>
          <w:rFonts w:eastAsia="Times New Roman"/>
          <w:color w:val="000000"/>
          <w:sz w:val="18"/>
          <w:szCs w:val="18"/>
        </w:rPr>
        <w:t xml:space="preserve">(6)Includes income taxes of $(554) million for the above COVID-19 items for the </w:t>
      </w:r>
      <w:r>
        <w:rPr>
          <w:rFonts w:eastAsia="Times New Roman"/>
          <w:color w:val="000000"/>
          <w:sz w:val="20"/>
          <w:szCs w:val="20"/>
        </w:rPr>
        <w:t>year ended December 31, 2020</w:t>
      </w:r>
      <w:r>
        <w:rPr>
          <w:rFonts w:eastAsia="Times New Roman"/>
          <w:color w:val="000000"/>
          <w:sz w:val="18"/>
          <w:szCs w:val="18"/>
        </w:rPr>
        <w:t>.</w:t>
      </w:r>
    </w:p>
    <w:p w:rsidR="00000000" w:rsidRDefault="005B0BC3">
      <w:pPr>
        <w:ind w:hanging="360"/>
        <w:divId w:val="50271828"/>
        <w:rPr>
          <w:rFonts w:eastAsia="Times New Roman"/>
        </w:rPr>
      </w:pPr>
      <w:r>
        <w:rPr>
          <w:rFonts w:eastAsia="Times New Roman"/>
          <w:color w:val="000000"/>
          <w:sz w:val="18"/>
          <w:szCs w:val="18"/>
        </w:rPr>
        <w:t>(7)Prior year includes a reduction in the reserve for uncertain tax po</w:t>
      </w:r>
      <w:r>
        <w:rPr>
          <w:rFonts w:eastAsia="Times New Roman"/>
          <w:color w:val="000000"/>
          <w:sz w:val="18"/>
          <w:szCs w:val="18"/>
        </w:rPr>
        <w:t>sitions resulting from the completion of an IRS examination in the year ended December 31, 2020.</w:t>
      </w:r>
    </w:p>
    <w:p w:rsidR="00000000" w:rsidRDefault="005B0BC3">
      <w:pPr>
        <w:ind w:hanging="360"/>
        <w:divId w:val="453136571"/>
        <w:rPr>
          <w:rFonts w:eastAsia="Times New Roman"/>
        </w:rPr>
      </w:pPr>
      <w:r>
        <w:rPr>
          <w:rFonts w:eastAsia="Times New Roman"/>
          <w:color w:val="000000"/>
          <w:sz w:val="18"/>
          <w:szCs w:val="18"/>
        </w:rPr>
        <w:t>(8)Includes interest expense and financing fees of $241 million $218 million and $228 million for the years ended December 31, 2021, 2020 and 2019, respectivel</w:t>
      </w:r>
      <w:r>
        <w:rPr>
          <w:rFonts w:eastAsia="Times New Roman"/>
          <w:color w:val="000000"/>
          <w:sz w:val="18"/>
          <w:szCs w:val="18"/>
        </w:rPr>
        <w:t>y.</w:t>
      </w:r>
    </w:p>
    <w:p w:rsidR="00000000" w:rsidRDefault="005B0BC3">
      <w:pPr>
        <w:divId w:val="708184317"/>
        <w:rPr>
          <w:rFonts w:eastAsia="Times New Roman"/>
        </w:rPr>
      </w:pPr>
      <w:r>
        <w:rPr>
          <w:rFonts w:eastAsia="Times New Roman"/>
          <w:color w:val="000000"/>
          <w:sz w:val="20"/>
          <w:szCs w:val="20"/>
        </w:rPr>
        <w:t>Segment revenues is a measure of the Company’s revenue by segment as adjusted to exclude certain items. The following table reconciles segment revenues to total revenues by excluding the following items:</w:t>
      </w:r>
    </w:p>
    <w:p w:rsidR="00000000" w:rsidRDefault="005B0BC3">
      <w:pPr>
        <w:ind w:hanging="360"/>
        <w:jc w:val="both"/>
        <w:divId w:val="1715078846"/>
        <w:rPr>
          <w:rFonts w:eastAsia="Times New Roman"/>
        </w:rPr>
      </w:pPr>
      <w:r>
        <w:rPr>
          <w:rFonts w:eastAsia="Times New Roman"/>
          <w:color w:val="000000"/>
          <w:sz w:val="20"/>
          <w:szCs w:val="20"/>
        </w:rPr>
        <w:t>•Items related to variable annuity product featur</w:t>
      </w:r>
      <w:r>
        <w:rPr>
          <w:rFonts w:eastAsia="Times New Roman"/>
          <w:color w:val="000000"/>
          <w:sz w:val="20"/>
          <w:szCs w:val="20"/>
        </w:rPr>
        <w:t>es, which include certain changes in the fair value of the derivatives and other securities we use to hedge these features and changes in the fair value of the embedded derivatives reflected within the net derivative results of variable annuity product fea</w:t>
      </w:r>
      <w:r>
        <w:rPr>
          <w:rFonts w:eastAsia="Times New Roman"/>
          <w:color w:val="000000"/>
          <w:sz w:val="20"/>
          <w:szCs w:val="20"/>
        </w:rPr>
        <w:t>tures;</w:t>
      </w:r>
    </w:p>
    <w:p w:rsidR="00000000" w:rsidRDefault="005B0BC3">
      <w:pPr>
        <w:ind w:hanging="360"/>
        <w:jc w:val="both"/>
        <w:divId w:val="607391374"/>
        <w:rPr>
          <w:rFonts w:eastAsia="Times New Roman"/>
        </w:rPr>
      </w:pPr>
      <w:r>
        <w:rPr>
          <w:rFonts w:eastAsia="Times New Roman"/>
          <w:color w:val="000000"/>
          <w:sz w:val="20"/>
          <w:szCs w:val="20"/>
        </w:rPr>
        <w:t xml:space="preserve">•Investment (gains) losses, which includes credit loss impairments of securities/investments, sales or disposals of securities/investments, realized capital gains/losses and valuation allowances; </w:t>
      </w:r>
    </w:p>
    <w:p w:rsidR="00000000" w:rsidRDefault="005B0BC3">
      <w:pPr>
        <w:ind w:hanging="360"/>
        <w:divId w:val="1458646354"/>
        <w:rPr>
          <w:rFonts w:eastAsia="Times New Roman"/>
        </w:rPr>
      </w:pPr>
      <w:r>
        <w:rPr>
          <w:rFonts w:eastAsia="Times New Roman"/>
          <w:color w:val="000000"/>
          <w:sz w:val="20"/>
          <w:szCs w:val="20"/>
        </w:rPr>
        <w:t>•Other adjustments, which primarily includes net der</w:t>
      </w:r>
      <w:r>
        <w:rPr>
          <w:rFonts w:eastAsia="Times New Roman"/>
          <w:color w:val="000000"/>
          <w:sz w:val="20"/>
          <w:szCs w:val="20"/>
        </w:rPr>
        <w:t>ivative gains (losses) on certain Non-GMxB derivatives and net investment income from certain items including consolidated VIE investments, seed capital mark-to-market adjustments and unrealized gain/losses associated with equity securities.</w:t>
      </w:r>
    </w:p>
    <w:p w:rsidR="00000000" w:rsidRDefault="005B0BC3">
      <w:pPr>
        <w:divId w:val="1093238118"/>
        <w:rPr>
          <w:rFonts w:eastAsia="Times New Roman"/>
        </w:rPr>
      </w:pPr>
      <w:r>
        <w:rPr>
          <w:rFonts w:eastAsia="Times New Roman"/>
          <w:color w:val="000000"/>
          <w:sz w:val="20"/>
          <w:szCs w:val="20"/>
        </w:rPr>
        <w:t>The table belo</w:t>
      </w:r>
      <w:r>
        <w:rPr>
          <w:rFonts w:eastAsia="Times New Roman"/>
          <w:color w:val="000000"/>
          <w:sz w:val="20"/>
          <w:szCs w:val="20"/>
        </w:rPr>
        <w:t>w presents segment revenues for the years ended December 31, 2021, 2020 and 2019.</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891"/>
        <w:gridCol w:w="38"/>
        <w:gridCol w:w="36"/>
        <w:gridCol w:w="36"/>
        <w:gridCol w:w="36"/>
        <w:gridCol w:w="36"/>
        <w:gridCol w:w="120"/>
        <w:gridCol w:w="864"/>
        <w:gridCol w:w="36"/>
        <w:gridCol w:w="36"/>
        <w:gridCol w:w="36"/>
        <w:gridCol w:w="36"/>
        <w:gridCol w:w="120"/>
        <w:gridCol w:w="823"/>
        <w:gridCol w:w="36"/>
        <w:gridCol w:w="36"/>
        <w:gridCol w:w="36"/>
        <w:gridCol w:w="36"/>
        <w:gridCol w:w="120"/>
        <w:gridCol w:w="823"/>
        <w:gridCol w:w="36"/>
      </w:tblGrid>
      <w:tr w:rsidR="00000000">
        <w:trPr>
          <w:divId w:val="938416719"/>
          <w:jc w:val="center"/>
        </w:trPr>
        <w:tc>
          <w:tcPr>
            <w:tcW w:w="50" w:type="pct"/>
            <w:vAlign w:val="center"/>
            <w:hideMark/>
          </w:tcPr>
          <w:p w:rsidR="00000000" w:rsidRDefault="005B0BC3">
            <w:pPr>
              <w:rPr>
                <w:rFonts w:eastAsia="Times New Roman"/>
              </w:rPr>
            </w:pPr>
          </w:p>
        </w:tc>
        <w:tc>
          <w:tcPr>
            <w:tcW w:w="302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938416719"/>
          <w:jc w:val="center"/>
        </w:trPr>
        <w:tc>
          <w:tcPr>
            <w:tcW w:w="0" w:type="auto"/>
            <w:gridSpan w:val="3"/>
            <w:tcMar>
              <w:top w:w="30" w:type="dxa"/>
              <w:left w:w="20" w:type="dxa"/>
              <w:bottom w:w="30" w:type="dxa"/>
              <w:right w:w="20" w:type="dxa"/>
            </w:tcMar>
            <w:vAlign w:val="bottom"/>
            <w:hideMark/>
          </w:tcPr>
          <w:p w:rsidR="00000000" w:rsidRDefault="005B0BC3">
            <w:pPr>
              <w:spacing w:after="100"/>
              <w:divId w:val="1490947329"/>
              <w:rPr>
                <w:rFonts w:eastAsia="Times New Roman"/>
              </w:rPr>
            </w:pPr>
            <w:r>
              <w:rPr>
                <w:rFonts w:eastAsia="Times New Roman"/>
                <w:b/>
                <w:bCs/>
                <w:color w:val="000000"/>
                <w:sz w:val="16"/>
                <w:szCs w:val="16"/>
              </w:rPr>
              <w:t> </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gridSpan w:val="11"/>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938416719"/>
          <w:jc w:val="center"/>
        </w:trPr>
        <w:tc>
          <w:tcPr>
            <w:tcW w:w="0" w:type="auto"/>
            <w:gridSpan w:val="3"/>
            <w:tcMar>
              <w:top w:w="30" w:type="dxa"/>
              <w:left w:w="20" w:type="dxa"/>
              <w:bottom w:w="30" w:type="dxa"/>
              <w:right w:w="20" w:type="dxa"/>
            </w:tcMar>
            <w:vAlign w:val="bottom"/>
            <w:hideMark/>
          </w:tcPr>
          <w:p w:rsidR="00000000" w:rsidRDefault="005B0BC3">
            <w:pPr>
              <w:spacing w:after="100"/>
              <w:divId w:val="1566605305"/>
              <w:rPr>
                <w:rFonts w:eastAsia="Times New Roman"/>
              </w:rPr>
            </w:pPr>
            <w:r>
              <w:rPr>
                <w:rFonts w:eastAsia="Times New Roman"/>
                <w:b/>
                <w:bCs/>
                <w:color w:val="000000"/>
                <w:sz w:val="16"/>
                <w:szCs w:val="16"/>
              </w:rPr>
              <w:t> </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938416719"/>
          <w:jc w:val="center"/>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938416719"/>
          <w:jc w:val="center"/>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Segment revenues: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938416719"/>
          <w:jc w:val="center"/>
        </w:trPr>
        <w:tc>
          <w:tcPr>
            <w:tcW w:w="0" w:type="auto"/>
            <w:gridSpan w:val="3"/>
            <w:shd w:val="clear" w:color="auto" w:fill="CCEEFF"/>
            <w:tcMar>
              <w:top w:w="30" w:type="dxa"/>
              <w:left w:w="38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Individual Retirement (1)</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3,785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4,311 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4,325 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938416719"/>
          <w:jc w:val="center"/>
        </w:trPr>
        <w:tc>
          <w:tcPr>
            <w:tcW w:w="0" w:type="auto"/>
            <w:gridSpan w:val="3"/>
            <w:shd w:val="clear" w:color="auto" w:fill="FFFFFF"/>
            <w:tcMar>
              <w:top w:w="30" w:type="dxa"/>
              <w:left w:w="38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Group Retirement (1)</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1,372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1,148 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1,077 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938416719"/>
          <w:jc w:val="center"/>
        </w:trPr>
        <w:tc>
          <w:tcPr>
            <w:tcW w:w="0" w:type="auto"/>
            <w:gridSpan w:val="3"/>
            <w:shd w:val="clear" w:color="auto" w:fill="CCEEFF"/>
            <w:tcMar>
              <w:top w:w="30" w:type="dxa"/>
              <w:left w:w="38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Investment Management and Research (2)</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4,430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3,703 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3,479 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938416719"/>
          <w:jc w:val="center"/>
        </w:trPr>
        <w:tc>
          <w:tcPr>
            <w:tcW w:w="0" w:type="auto"/>
            <w:gridSpan w:val="3"/>
            <w:shd w:val="clear" w:color="auto" w:fill="FFFFFF"/>
            <w:tcMar>
              <w:top w:w="30" w:type="dxa"/>
              <w:left w:w="38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Protection Solutions (1)</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3,358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3,144 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3,366 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938416719"/>
          <w:jc w:val="center"/>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Corporate and Other (1)</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1,563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1,207 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1,228 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938416719"/>
          <w:jc w:val="center"/>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Adjustments related to:</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938416719"/>
          <w:jc w:val="center"/>
        </w:trPr>
        <w:tc>
          <w:tcPr>
            <w:tcW w:w="0" w:type="auto"/>
            <w:gridSpan w:val="3"/>
            <w:shd w:val="clear" w:color="auto" w:fill="CCEEFF"/>
            <w:tcMar>
              <w:top w:w="30" w:type="dxa"/>
              <w:left w:w="38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Variable annuity product features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(4,268)</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(2,284)</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(3,935)</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938416719"/>
          <w:jc w:val="center"/>
        </w:trPr>
        <w:tc>
          <w:tcPr>
            <w:tcW w:w="0" w:type="auto"/>
            <w:gridSpan w:val="3"/>
            <w:shd w:val="clear" w:color="auto" w:fill="FFFFFF"/>
            <w:tcMar>
              <w:top w:w="30" w:type="dxa"/>
              <w:left w:w="38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Investment gains (losses), net</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867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744 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938416719"/>
          <w:jc w:val="center"/>
        </w:trPr>
        <w:tc>
          <w:tcPr>
            <w:tcW w:w="0" w:type="auto"/>
            <w:gridSpan w:val="3"/>
            <w:shd w:val="clear" w:color="auto" w:fill="CCEEFF"/>
            <w:tcMar>
              <w:top w:w="30" w:type="dxa"/>
              <w:left w:w="38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Other adjustments to segment revenues (3)</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(71)</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442 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938416719"/>
          <w:jc w:val="center"/>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revenues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11,036</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12,415 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9,619 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ind w:hanging="360"/>
        <w:divId w:val="1604878209"/>
        <w:rPr>
          <w:rFonts w:eastAsia="Times New Roman"/>
        </w:rPr>
      </w:pPr>
      <w:r>
        <w:rPr>
          <w:rFonts w:eastAsia="Times New Roman"/>
          <w:color w:val="000000"/>
          <w:sz w:val="18"/>
          <w:szCs w:val="18"/>
        </w:rPr>
        <w:t>______________</w:t>
      </w:r>
    </w:p>
    <w:p w:rsidR="00000000" w:rsidRDefault="005B0BC3">
      <w:pPr>
        <w:ind w:hanging="360"/>
        <w:divId w:val="621377079"/>
        <w:rPr>
          <w:rFonts w:eastAsia="Times New Roman"/>
        </w:rPr>
      </w:pPr>
      <w:r>
        <w:rPr>
          <w:rFonts w:eastAsia="Times New Roman"/>
          <w:color w:val="000000"/>
          <w:sz w:val="18"/>
          <w:szCs w:val="18"/>
        </w:rPr>
        <w:t>(1)Includes investment expenses charged by AB of $128 million, $71 million and $76 mi</w:t>
      </w:r>
      <w:r>
        <w:rPr>
          <w:rFonts w:eastAsia="Times New Roman"/>
          <w:color w:val="000000"/>
          <w:sz w:val="18"/>
          <w:szCs w:val="18"/>
        </w:rPr>
        <w:t>llion for the years ended December 31, 2021, 2020 and 2019, respectively, for services provided to the Company.</w:t>
      </w:r>
    </w:p>
    <w:p w:rsidR="00000000" w:rsidRDefault="005B0BC3">
      <w:pPr>
        <w:ind w:hanging="360"/>
        <w:divId w:val="978681455"/>
        <w:rPr>
          <w:rFonts w:eastAsia="Times New Roman"/>
        </w:rPr>
      </w:pPr>
      <w:r>
        <w:rPr>
          <w:rFonts w:eastAsia="Times New Roman"/>
          <w:color w:val="000000"/>
          <w:sz w:val="18"/>
          <w:szCs w:val="18"/>
        </w:rPr>
        <w:t>(2)Inter-segment investment management and other fees of $126 million, $113 million and $104 million for the years ended December 31, 2021, 2020</w:t>
      </w:r>
      <w:r>
        <w:rPr>
          <w:rFonts w:eastAsia="Times New Roman"/>
          <w:color w:val="000000"/>
          <w:sz w:val="18"/>
          <w:szCs w:val="18"/>
        </w:rPr>
        <w:t xml:space="preserve"> and 2019, respectively, are included in segment revenues of the Investment Management and Research segment.</w:t>
      </w:r>
    </w:p>
    <w:p w:rsidR="00000000" w:rsidRDefault="005B0BC3">
      <w:pPr>
        <w:ind w:hanging="360"/>
        <w:divId w:val="603538665"/>
        <w:rPr>
          <w:rFonts w:eastAsia="Times New Roman"/>
        </w:rPr>
      </w:pPr>
      <w:r>
        <w:rPr>
          <w:rFonts w:eastAsia="Times New Roman"/>
          <w:color w:val="000000"/>
          <w:sz w:val="18"/>
          <w:szCs w:val="18"/>
        </w:rPr>
        <w:t>(3)Includes COVID-19 impact on other adjustments due to an assumption update of $46 million</w:t>
      </w:r>
      <w:r>
        <w:rPr>
          <w:rFonts w:eastAsia="Times New Roman"/>
          <w:color w:val="000000"/>
          <w:sz w:val="20"/>
          <w:szCs w:val="20"/>
        </w:rPr>
        <w:t xml:space="preserve"> and</w:t>
      </w:r>
      <w:r>
        <w:rPr>
          <w:rFonts w:eastAsia="Times New Roman"/>
          <w:color w:val="000000"/>
          <w:sz w:val="18"/>
          <w:szCs w:val="18"/>
        </w:rPr>
        <w:t xml:space="preserve"> </w:t>
      </w:r>
      <w:r>
        <w:rPr>
          <w:rFonts w:eastAsia="Times New Roman"/>
          <w:color w:val="000000"/>
          <w:sz w:val="18"/>
          <w:szCs w:val="18"/>
        </w:rPr>
        <w:t xml:space="preserve">other COVID-19 related impacts of $(30) million for the </w:t>
      </w:r>
      <w:r>
        <w:rPr>
          <w:rFonts w:eastAsia="Times New Roman"/>
          <w:color w:val="000000"/>
          <w:sz w:val="20"/>
          <w:szCs w:val="20"/>
        </w:rPr>
        <w:t>year ended December 31, 2020</w:t>
      </w:r>
      <w:r>
        <w:rPr>
          <w:rFonts w:eastAsia="Times New Roman"/>
          <w:color w:val="000000"/>
          <w:sz w:val="18"/>
          <w:szCs w:val="18"/>
        </w:rPr>
        <w:t xml:space="preserve">. </w:t>
      </w:r>
    </w:p>
    <w:p w:rsidR="00000000" w:rsidRDefault="005B0BC3">
      <w:pPr>
        <w:divId w:val="813301990"/>
        <w:rPr>
          <w:rFonts w:eastAsia="Times New Roman"/>
        </w:rPr>
      </w:pPr>
      <w:r>
        <w:rPr>
          <w:rFonts w:eastAsia="Times New Roman"/>
          <w:color w:val="000000"/>
          <w:sz w:val="20"/>
          <w:szCs w:val="20"/>
        </w:rPr>
        <w:t>The table below presents total assets by segment as of December 31, 2021 and 2020:</w:t>
      </w:r>
    </w:p>
    <w:p w:rsidR="00000000" w:rsidRDefault="005B0BC3">
      <w:pPr>
        <w:jc w:val="center"/>
        <w:divId w:val="15160116"/>
        <w:rPr>
          <w:rFonts w:eastAsia="Times New Roman"/>
        </w:rPr>
      </w:pPr>
      <w:r>
        <w:rPr>
          <w:rFonts w:eastAsia="Times New Roman"/>
          <w:color w:val="000000"/>
          <w:sz w:val="20"/>
          <w:szCs w:val="20"/>
        </w:rPr>
        <w:t>226</w:t>
      </w:r>
    </w:p>
    <w:p w:rsidR="00000000" w:rsidRDefault="005B0BC3">
      <w:pPr>
        <w:rPr>
          <w:rFonts w:eastAsia="Times New Roman"/>
        </w:rPr>
      </w:pPr>
      <w:r>
        <w:rPr>
          <w:rFonts w:eastAsia="Times New Roman"/>
        </w:rPr>
        <w:pict>
          <v:rect id="_x0000_i1264" style="width:0;height:1.5pt" o:hralign="center" o:hrstd="t" o:hr="t" fillcolor="#a0a0a0" stroked="f"/>
        </w:pict>
      </w:r>
    </w:p>
    <w:p w:rsidR="00000000" w:rsidRDefault="005B0BC3">
      <w:pPr>
        <w:jc w:val="center"/>
        <w:divId w:val="491796075"/>
        <w:rPr>
          <w:rFonts w:eastAsia="Times New Roman"/>
        </w:rPr>
      </w:pPr>
      <w:r>
        <w:rPr>
          <w:rFonts w:eastAsia="Times New Roman"/>
          <w:b/>
          <w:bCs/>
          <w:color w:val="000000"/>
          <w:sz w:val="20"/>
          <w:szCs w:val="20"/>
        </w:rPr>
        <w:t>EQUITABLE HOLDINGS, INC.</w:t>
      </w:r>
    </w:p>
    <w:p w:rsidR="00000000" w:rsidRDefault="005B0BC3">
      <w:pPr>
        <w:jc w:val="center"/>
        <w:divId w:val="491796075"/>
        <w:rPr>
          <w:rFonts w:eastAsia="Times New Roman"/>
        </w:rPr>
      </w:pPr>
      <w:r>
        <w:rPr>
          <w:rFonts w:eastAsia="Times New Roman"/>
          <w:b/>
          <w:bCs/>
          <w:color w:val="000000"/>
          <w:sz w:val="20"/>
          <w:szCs w:val="20"/>
        </w:rPr>
        <w:t>NOTES TO CONSOLIDATED FINANCIAL STATEMENTS, continued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878"/>
        <w:gridCol w:w="38"/>
        <w:gridCol w:w="120"/>
        <w:gridCol w:w="982"/>
        <w:gridCol w:w="36"/>
        <w:gridCol w:w="36"/>
        <w:gridCol w:w="36"/>
        <w:gridCol w:w="36"/>
        <w:gridCol w:w="120"/>
        <w:gridCol w:w="948"/>
        <w:gridCol w:w="36"/>
      </w:tblGrid>
      <w:tr w:rsidR="00000000">
        <w:trPr>
          <w:divId w:val="565728949"/>
          <w:jc w:val="center"/>
        </w:trPr>
        <w:tc>
          <w:tcPr>
            <w:tcW w:w="50" w:type="pct"/>
            <w:vAlign w:val="center"/>
            <w:hideMark/>
          </w:tcPr>
          <w:p w:rsidR="00000000" w:rsidRDefault="005B0BC3">
            <w:pPr>
              <w:jc w:val="center"/>
              <w:rPr>
                <w:rFonts w:eastAsia="Times New Roman"/>
              </w:rPr>
            </w:pPr>
          </w:p>
        </w:tc>
        <w:tc>
          <w:tcPr>
            <w:tcW w:w="356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1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1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565728949"/>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December 31,</w:t>
            </w:r>
          </w:p>
        </w:tc>
      </w:tr>
      <w:tr w:rsidR="00000000">
        <w:trPr>
          <w:divId w:val="565728949"/>
          <w:jc w:val="center"/>
        </w:trPr>
        <w:tc>
          <w:tcPr>
            <w:tcW w:w="0" w:type="auto"/>
            <w:gridSpan w:val="3"/>
            <w:tcMar>
              <w:top w:w="30" w:type="dxa"/>
              <w:left w:w="20" w:type="dxa"/>
              <w:bottom w:w="30" w:type="dxa"/>
              <w:right w:w="20" w:type="dxa"/>
            </w:tcMar>
            <w:vAlign w:val="bottom"/>
            <w:hideMark/>
          </w:tcPr>
          <w:p w:rsidR="00000000" w:rsidRDefault="005B0BC3">
            <w:pPr>
              <w:spacing w:after="100"/>
              <w:divId w:val="955453362"/>
              <w:rPr>
                <w:rFonts w:eastAsia="Times New Roman"/>
              </w:rPr>
            </w:pPr>
            <w:r>
              <w:rPr>
                <w:rFonts w:eastAsia="Times New Roman"/>
                <w:b/>
                <w:bCs/>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r>
      <w:tr w:rsidR="00000000">
        <w:trPr>
          <w:divId w:val="565728949"/>
          <w:jc w:val="center"/>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565728949"/>
          <w:jc w:val="center"/>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assets by segment:</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565728949"/>
          <w:jc w:val="center"/>
        </w:trPr>
        <w:tc>
          <w:tcPr>
            <w:tcW w:w="0" w:type="auto"/>
            <w:gridSpan w:val="3"/>
            <w:shd w:val="clear" w:color="auto" w:fill="CCEEFF"/>
            <w:tcMar>
              <w:top w:w="30" w:type="dxa"/>
              <w:left w:w="26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Individual Retirement (1)</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143,663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135,764 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565728949"/>
          <w:jc w:val="center"/>
        </w:trPr>
        <w:tc>
          <w:tcPr>
            <w:tcW w:w="0" w:type="auto"/>
            <w:gridSpan w:val="3"/>
            <w:shd w:val="clear" w:color="auto" w:fill="FFFF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Group Retirement</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55,368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51,466 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565728949"/>
          <w:jc w:val="center"/>
        </w:trPr>
        <w:tc>
          <w:tcPr>
            <w:tcW w:w="0" w:type="auto"/>
            <w:gridSpan w:val="3"/>
            <w:shd w:val="clear" w:color="auto" w:fill="CCEE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Investment Management and Research</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11,602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11,179 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565728949"/>
          <w:jc w:val="center"/>
        </w:trPr>
        <w:tc>
          <w:tcPr>
            <w:tcW w:w="0" w:type="auto"/>
            <w:gridSpan w:val="3"/>
            <w:shd w:val="clear" w:color="auto" w:fill="FFFF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Protection Solutions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50,686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48,568 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565728949"/>
          <w:jc w:val="center"/>
        </w:trPr>
        <w:tc>
          <w:tcPr>
            <w:tcW w:w="0" w:type="auto"/>
            <w:gridSpan w:val="3"/>
            <w:shd w:val="clear" w:color="auto" w:fill="CCEEFF"/>
            <w:tcMar>
              <w:top w:w="30" w:type="dxa"/>
              <w:left w:w="26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Corporate and Other</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30,943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28,420 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565728949"/>
          <w:jc w:val="center"/>
        </w:trPr>
        <w:tc>
          <w:tcPr>
            <w:tcW w:w="0" w:type="auto"/>
            <w:gridSpan w:val="3"/>
            <w:shd w:val="clear" w:color="auto" w:fill="FFFFFF"/>
            <w:tcMar>
              <w:top w:w="30" w:type="dxa"/>
              <w:left w:w="51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assets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292,262</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275,397 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ind w:hanging="360"/>
        <w:divId w:val="2146699595"/>
        <w:rPr>
          <w:rFonts w:eastAsia="Times New Roman"/>
        </w:rPr>
      </w:pPr>
      <w:r>
        <w:rPr>
          <w:rFonts w:eastAsia="Times New Roman"/>
          <w:color w:val="000000"/>
          <w:sz w:val="18"/>
          <w:szCs w:val="18"/>
        </w:rPr>
        <w:t>______________</w:t>
      </w:r>
    </w:p>
    <w:p w:rsidR="00000000" w:rsidRDefault="005B0BC3">
      <w:pPr>
        <w:ind w:hanging="360"/>
        <w:divId w:val="510727110"/>
        <w:rPr>
          <w:rFonts w:eastAsia="Times New Roman"/>
        </w:rPr>
      </w:pPr>
      <w:r>
        <w:rPr>
          <w:rFonts w:eastAsia="Times New Roman"/>
          <w:color w:val="000000"/>
          <w:sz w:val="18"/>
          <w:szCs w:val="18"/>
        </w:rPr>
        <w:t>(1) Increase in Individual Retirement as of December </w:t>
      </w:r>
      <w:r>
        <w:rPr>
          <w:rFonts w:eastAsia="Times New Roman"/>
          <w:color w:val="000000"/>
          <w:sz w:val="18"/>
          <w:szCs w:val="18"/>
        </w:rPr>
        <w:t>31, 2021 is primarily due to Amounts due from Reinsurers related to ceded reserves on the Venerable Transaction (see Note 1 of the Notes to these Consolidated Financial Statements).</w:t>
      </w:r>
    </w:p>
    <w:p w:rsidR="00000000" w:rsidRDefault="005B0BC3">
      <w:pPr>
        <w:divId w:val="476262354"/>
        <w:rPr>
          <w:rFonts w:eastAsia="Times New Roman"/>
        </w:rPr>
      </w:pPr>
      <w:r>
        <w:rPr>
          <w:rFonts w:eastAsia="Times New Roman"/>
          <w:b/>
          <w:bCs/>
          <w:color w:val="000000"/>
          <w:sz w:val="20"/>
          <w:szCs w:val="20"/>
        </w:rPr>
        <w:t xml:space="preserve">20)    EQUITY </w:t>
      </w:r>
    </w:p>
    <w:p w:rsidR="00000000" w:rsidRDefault="005B0BC3">
      <w:pPr>
        <w:divId w:val="417797000"/>
        <w:rPr>
          <w:rFonts w:eastAsia="Times New Roman"/>
        </w:rPr>
      </w:pPr>
      <w:r>
        <w:rPr>
          <w:rFonts w:eastAsia="Times New Roman"/>
          <w:color w:val="000000"/>
          <w:sz w:val="20"/>
          <w:szCs w:val="20"/>
          <w:u w:val="single"/>
        </w:rPr>
        <w:t xml:space="preserve">Preferred Stock </w:t>
      </w:r>
    </w:p>
    <w:p w:rsidR="00000000" w:rsidRDefault="005B0BC3">
      <w:pPr>
        <w:divId w:val="1174221078"/>
        <w:rPr>
          <w:rFonts w:eastAsia="Times New Roman"/>
        </w:rPr>
      </w:pPr>
      <w:r>
        <w:rPr>
          <w:rFonts w:eastAsia="Times New Roman"/>
          <w:color w:val="000000"/>
          <w:sz w:val="20"/>
          <w:szCs w:val="20"/>
        </w:rPr>
        <w:t>Preferred stock authorized, issued and out</w:t>
      </w:r>
      <w:r>
        <w:rPr>
          <w:rFonts w:eastAsia="Times New Roman"/>
          <w:color w:val="000000"/>
          <w:sz w:val="20"/>
          <w:szCs w:val="20"/>
        </w:rPr>
        <w:t>standing was as follows:</w:t>
      </w:r>
    </w:p>
    <w:tbl>
      <w:tblPr>
        <w:tblW w:w="4334" w:type="pct"/>
        <w:tblCellMar>
          <w:top w:w="15" w:type="dxa"/>
          <w:left w:w="15" w:type="dxa"/>
          <w:bottom w:w="15" w:type="dxa"/>
          <w:right w:w="15" w:type="dxa"/>
        </w:tblCellMar>
        <w:tblLook w:val="04A0" w:firstRow="1" w:lastRow="0" w:firstColumn="1" w:lastColumn="0" w:noHBand="0" w:noVBand="1"/>
      </w:tblPr>
      <w:tblGrid>
        <w:gridCol w:w="37"/>
        <w:gridCol w:w="1409"/>
        <w:gridCol w:w="36"/>
        <w:gridCol w:w="36"/>
        <w:gridCol w:w="36"/>
        <w:gridCol w:w="36"/>
        <w:gridCol w:w="67"/>
        <w:gridCol w:w="741"/>
        <w:gridCol w:w="37"/>
        <w:gridCol w:w="37"/>
        <w:gridCol w:w="37"/>
        <w:gridCol w:w="37"/>
        <w:gridCol w:w="51"/>
        <w:gridCol w:w="730"/>
        <w:gridCol w:w="37"/>
        <w:gridCol w:w="37"/>
        <w:gridCol w:w="37"/>
        <w:gridCol w:w="36"/>
        <w:gridCol w:w="73"/>
        <w:gridCol w:w="814"/>
        <w:gridCol w:w="36"/>
        <w:gridCol w:w="36"/>
        <w:gridCol w:w="36"/>
        <w:gridCol w:w="36"/>
        <w:gridCol w:w="62"/>
        <w:gridCol w:w="700"/>
        <w:gridCol w:w="37"/>
        <w:gridCol w:w="37"/>
        <w:gridCol w:w="37"/>
        <w:gridCol w:w="37"/>
        <w:gridCol w:w="51"/>
        <w:gridCol w:w="736"/>
        <w:gridCol w:w="37"/>
        <w:gridCol w:w="36"/>
        <w:gridCol w:w="36"/>
        <w:gridCol w:w="36"/>
        <w:gridCol w:w="67"/>
        <w:gridCol w:w="750"/>
        <w:gridCol w:w="36"/>
      </w:tblGrid>
      <w:tr w:rsidR="00000000">
        <w:trPr>
          <w:divId w:val="474950453"/>
        </w:trPr>
        <w:tc>
          <w:tcPr>
            <w:tcW w:w="50" w:type="pct"/>
            <w:vAlign w:val="center"/>
            <w:hideMark/>
          </w:tcPr>
          <w:p w:rsidR="00000000" w:rsidRDefault="005B0BC3">
            <w:pPr>
              <w:rPr>
                <w:rFonts w:eastAsia="Times New Roman"/>
              </w:rPr>
            </w:pPr>
          </w:p>
        </w:tc>
        <w:tc>
          <w:tcPr>
            <w:tcW w:w="101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6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6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6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3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6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4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6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6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474950453"/>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December 31, 2021</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15"/>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December 31, 2020</w:t>
            </w:r>
          </w:p>
        </w:tc>
      </w:tr>
      <w:tr w:rsidR="00000000">
        <w:trPr>
          <w:divId w:val="474950453"/>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Series</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Shares Authorized</w:t>
            </w: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Shares</w:t>
            </w:r>
            <w:r>
              <w:rPr>
                <w:rFonts w:eastAsia="Times New Roman"/>
                <w:b/>
                <w:bCs/>
                <w:color w:val="000000"/>
                <w:sz w:val="16"/>
                <w:szCs w:val="16"/>
              </w:rPr>
              <w:br/>
              <w:t> Issued</w:t>
            </w: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Shares Outstanding</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Shares Authorized</w:t>
            </w: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Shares</w:t>
            </w:r>
            <w:r>
              <w:rPr>
                <w:rFonts w:eastAsia="Times New Roman"/>
                <w:color w:val="000000"/>
                <w:sz w:val="16"/>
                <w:szCs w:val="16"/>
              </w:rPr>
              <w:br/>
              <w:t> </w:t>
            </w:r>
            <w:r>
              <w:rPr>
                <w:rFonts w:eastAsia="Times New Roman"/>
                <w:color w:val="000000"/>
                <w:sz w:val="16"/>
                <w:szCs w:val="16"/>
              </w:rPr>
              <w:t>Issued</w:t>
            </w: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Shares Outstanding</w:t>
            </w:r>
          </w:p>
        </w:tc>
      </w:tr>
      <w:tr w:rsidR="00000000">
        <w:trPr>
          <w:divId w:val="474950453"/>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xml:space="preserve">Series A </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32,000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32,000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32,000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32,000 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32,000 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32,000 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474950453"/>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xml:space="preserve">Series B </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20,000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20,000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20,000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20,000 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20,000 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20,000 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474950453"/>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Series C</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12,000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12,000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12,000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474950453"/>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64,000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64,000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64,000</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52,000 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52,000 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52,000 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divId w:val="377322149"/>
        <w:rPr>
          <w:rFonts w:eastAsia="Times New Roman"/>
        </w:rPr>
      </w:pPr>
    </w:p>
    <w:p w:rsidR="00000000" w:rsidRDefault="005B0BC3">
      <w:pPr>
        <w:ind w:firstLine="360"/>
        <w:divId w:val="1200507924"/>
        <w:rPr>
          <w:rFonts w:eastAsia="Times New Roman"/>
        </w:rPr>
      </w:pPr>
      <w:r>
        <w:rPr>
          <w:rFonts w:eastAsia="Times New Roman"/>
          <w:color w:val="000000"/>
          <w:sz w:val="20"/>
          <w:szCs w:val="20"/>
          <w:u w:val="single"/>
        </w:rPr>
        <w:t>Series A Fixed Rate Noncumulative Perpetual Preferred Stock</w:t>
      </w:r>
    </w:p>
    <w:p w:rsidR="00000000" w:rsidRDefault="005B0BC3">
      <w:pPr>
        <w:divId w:val="1053693175"/>
        <w:rPr>
          <w:rFonts w:eastAsia="Times New Roman"/>
        </w:rPr>
      </w:pPr>
      <w:r>
        <w:rPr>
          <w:rFonts w:eastAsia="Times New Roman"/>
          <w:color w:val="000000"/>
          <w:sz w:val="20"/>
          <w:szCs w:val="20"/>
        </w:rPr>
        <w:t>In November and December 2019, Holdings’ issued a total of 32 million depositary shares, each representing a 1/1,000th interest in share of Series A Preferred Stock, $1.00 par value per share, wit</w:t>
      </w:r>
      <w:r>
        <w:rPr>
          <w:rFonts w:eastAsia="Times New Roman"/>
          <w:color w:val="000000"/>
          <w:sz w:val="20"/>
          <w:szCs w:val="20"/>
        </w:rPr>
        <w:t>h a liquidation preference of $25,000 per share, for aggregate net cash proceeds of $775 million ($800 million gross). The preferred stock ranks senior to Holdings’ common stock with respect to the payment of dividends and liquidation. Holdings’ will pay d</w:t>
      </w:r>
      <w:r>
        <w:rPr>
          <w:rFonts w:eastAsia="Times New Roman"/>
          <w:color w:val="000000"/>
          <w:sz w:val="20"/>
          <w:szCs w:val="20"/>
        </w:rPr>
        <w:t>ividends on the Series A Preferred Stock on a noncumulative basis only when, as and if declared by the Company’s Board of Directors (or a duly authorized committee of the Board) and will be payable quarterly in arrears, at an annual rate of 5.25% on the st</w:t>
      </w:r>
      <w:r>
        <w:rPr>
          <w:rFonts w:eastAsia="Times New Roman"/>
          <w:color w:val="000000"/>
          <w:sz w:val="20"/>
          <w:szCs w:val="20"/>
        </w:rPr>
        <w:t>ated amount per share.  In connection with the issuance of the depositary shares and the underlying Series A Preferred Stock, Holdings’ incurred $25 million of issuance costs, which have been recorded as a reduction of additional paid-in capital. The Serie</w:t>
      </w:r>
      <w:r>
        <w:rPr>
          <w:rFonts w:eastAsia="Times New Roman"/>
          <w:color w:val="000000"/>
          <w:sz w:val="20"/>
          <w:szCs w:val="20"/>
        </w:rPr>
        <w:t xml:space="preserve">s A Preferred Stock is redeemable at Holdings’ option in whole or in part, on or after December 15, 2024, at a redemption price of $25,000 per share of preferred stock, plus declared and unpaid dividends. Prior to December 25, 2024, the preferred stock is </w:t>
      </w:r>
      <w:r>
        <w:rPr>
          <w:rFonts w:eastAsia="Times New Roman"/>
          <w:color w:val="000000"/>
          <w:sz w:val="20"/>
          <w:szCs w:val="20"/>
        </w:rPr>
        <w:t>redeemable at Holdings’ option, in whole but not in part, within 90 days of the occurrence of certain rating agency events at a redemption price equal to $25,500 per share, plus declared and unpaid dividends or certain regulatory capital events at a redemp</w:t>
      </w:r>
      <w:r>
        <w:rPr>
          <w:rFonts w:eastAsia="Times New Roman"/>
          <w:color w:val="000000"/>
          <w:sz w:val="20"/>
          <w:szCs w:val="20"/>
        </w:rPr>
        <w:t>tion price equal to $25,000 per share, plus any declared and unpaid dividends.</w:t>
      </w:r>
    </w:p>
    <w:p w:rsidR="00000000" w:rsidRDefault="005B0BC3">
      <w:pPr>
        <w:divId w:val="1465274180"/>
        <w:rPr>
          <w:rFonts w:eastAsia="Times New Roman"/>
        </w:rPr>
      </w:pPr>
      <w:r>
        <w:rPr>
          <w:rFonts w:eastAsia="Times New Roman"/>
          <w:color w:val="000000"/>
          <w:sz w:val="20"/>
          <w:szCs w:val="20"/>
          <w:u w:val="single"/>
        </w:rPr>
        <w:t>Series B Fixed Rate Reset Noncumulative Perpetual Preferred Stock</w:t>
      </w:r>
    </w:p>
    <w:p w:rsidR="00000000" w:rsidRDefault="005B0BC3">
      <w:pPr>
        <w:divId w:val="1950119609"/>
        <w:rPr>
          <w:rFonts w:eastAsia="Times New Roman"/>
        </w:rPr>
      </w:pPr>
      <w:r>
        <w:rPr>
          <w:rFonts w:eastAsia="Times New Roman"/>
          <w:color w:val="000000"/>
          <w:sz w:val="20"/>
          <w:szCs w:val="20"/>
        </w:rPr>
        <w:t>On August 11, 2020, Holdings issued 500,000 depositary shares, each representing a 1/25th interest in a share o</w:t>
      </w:r>
      <w:r>
        <w:rPr>
          <w:rFonts w:eastAsia="Times New Roman"/>
          <w:color w:val="000000"/>
          <w:sz w:val="20"/>
          <w:szCs w:val="20"/>
        </w:rPr>
        <w:t>f Series B Preferred Stock, $1.00 par value per share and liquidation preference of $25,000 per share, for aggregate net cash proceeds of $494 million ($500 million gross). The Series B Preferred Stock ranks senior to Holdings’ common stock and on parity w</w:t>
      </w:r>
      <w:r>
        <w:rPr>
          <w:rFonts w:eastAsia="Times New Roman"/>
          <w:color w:val="000000"/>
          <w:sz w:val="20"/>
          <w:szCs w:val="20"/>
        </w:rPr>
        <w:t>ith Holdings’ Series A Preferred Stock with respect to the payment of dividends and liquidation. Holdings will pay dividends on the Series B Preferred Stock on a noncumulative basis only when, as and if declared by the Company’s Board of Directors (or a du</w:t>
      </w:r>
      <w:r>
        <w:rPr>
          <w:rFonts w:eastAsia="Times New Roman"/>
          <w:color w:val="000000"/>
          <w:sz w:val="20"/>
          <w:szCs w:val="20"/>
        </w:rPr>
        <w:t>ly authorized committee of the Board) and will be payable semi-annually in arrears, at an annual rate equal to the fixed rate of 4.950%, which is reset every 5 years starting on December 15, 2025 (“Reset Date”), at a rate per annum equal to the five-year U</w:t>
      </w:r>
      <w:r>
        <w:rPr>
          <w:rFonts w:eastAsia="Times New Roman"/>
          <w:color w:val="000000"/>
          <w:sz w:val="20"/>
          <w:szCs w:val="20"/>
        </w:rPr>
        <w:t>.S. Treasury Rate plus 4.736%.</w:t>
      </w:r>
    </w:p>
    <w:p w:rsidR="00000000" w:rsidRDefault="005B0BC3">
      <w:pPr>
        <w:jc w:val="center"/>
        <w:divId w:val="997227793"/>
        <w:rPr>
          <w:rFonts w:eastAsia="Times New Roman"/>
        </w:rPr>
      </w:pPr>
      <w:r>
        <w:rPr>
          <w:rFonts w:eastAsia="Times New Roman"/>
          <w:color w:val="000000"/>
          <w:sz w:val="20"/>
          <w:szCs w:val="20"/>
        </w:rPr>
        <w:t>227</w:t>
      </w:r>
    </w:p>
    <w:p w:rsidR="00000000" w:rsidRDefault="005B0BC3">
      <w:pPr>
        <w:rPr>
          <w:rFonts w:eastAsia="Times New Roman"/>
        </w:rPr>
      </w:pPr>
      <w:r>
        <w:rPr>
          <w:rFonts w:eastAsia="Times New Roman"/>
        </w:rPr>
        <w:pict>
          <v:rect id="_x0000_i1265" style="width:0;height:1.5pt" o:hralign="center" o:hrstd="t" o:hr="t" fillcolor="#a0a0a0" stroked="f"/>
        </w:pict>
      </w:r>
    </w:p>
    <w:p w:rsidR="00000000" w:rsidRDefault="005B0BC3">
      <w:pPr>
        <w:jc w:val="center"/>
        <w:divId w:val="1513571154"/>
        <w:rPr>
          <w:rFonts w:eastAsia="Times New Roman"/>
        </w:rPr>
      </w:pPr>
      <w:r>
        <w:rPr>
          <w:rFonts w:eastAsia="Times New Roman"/>
          <w:b/>
          <w:bCs/>
          <w:color w:val="000000"/>
          <w:sz w:val="20"/>
          <w:szCs w:val="20"/>
        </w:rPr>
        <w:t>EQUITABLE HOLDINGS, INC.</w:t>
      </w:r>
    </w:p>
    <w:p w:rsidR="00000000" w:rsidRDefault="005B0BC3">
      <w:pPr>
        <w:jc w:val="center"/>
        <w:divId w:val="1513571154"/>
        <w:rPr>
          <w:rFonts w:eastAsia="Times New Roman"/>
        </w:rPr>
      </w:pPr>
      <w:r>
        <w:rPr>
          <w:rFonts w:eastAsia="Times New Roman"/>
          <w:b/>
          <w:bCs/>
          <w:color w:val="000000"/>
          <w:sz w:val="20"/>
          <w:szCs w:val="20"/>
        </w:rPr>
        <w:t>NOTES TO CONSOLIDATED FINANCIAL STATEMENTS, continued</w:t>
      </w:r>
    </w:p>
    <w:p w:rsidR="00000000" w:rsidRDefault="005B0BC3">
      <w:pPr>
        <w:divId w:val="1058474073"/>
        <w:rPr>
          <w:rFonts w:eastAsia="Times New Roman"/>
        </w:rPr>
      </w:pPr>
      <w:r>
        <w:rPr>
          <w:rFonts w:eastAsia="Times New Roman"/>
          <w:color w:val="000000"/>
          <w:sz w:val="20"/>
          <w:szCs w:val="20"/>
        </w:rPr>
        <w:t>In connection with the issuance of the depositary shares and the underlying Series B Preferred Stock, Hol</w:t>
      </w:r>
      <w:r>
        <w:rPr>
          <w:rFonts w:eastAsia="Times New Roman"/>
          <w:color w:val="000000"/>
          <w:sz w:val="20"/>
          <w:szCs w:val="20"/>
        </w:rPr>
        <w:t>dings incurred $6 million of issuance costs, which have been recorded as a reduction of additional paid-in capital. The Series B Preferred Stock is redeemable at Holdings’ option in whole or in part, from time to time, during the three-month period prior t</w:t>
      </w:r>
      <w:r>
        <w:rPr>
          <w:rFonts w:eastAsia="Times New Roman"/>
          <w:color w:val="000000"/>
          <w:sz w:val="20"/>
          <w:szCs w:val="20"/>
        </w:rPr>
        <w:t>o, and including, each Reset Date, at a redemption price equal to $25,000 per share of preferred stock, plus any declared and unpaid dividends. Furthermore, the preferred stock is redeemable at Holdings’ option, in whole but not in part at any time, within</w:t>
      </w:r>
      <w:r>
        <w:rPr>
          <w:rFonts w:eastAsia="Times New Roman"/>
          <w:color w:val="000000"/>
          <w:sz w:val="20"/>
          <w:szCs w:val="20"/>
        </w:rPr>
        <w:t xml:space="preserve"> 90 days after the occurrence of certain rating agency events at a redemption price equal to $25,500 per share, plus any declared and unpaid dividends or after the occurrence of certain regulatory capital events at a redemption price equal to $25,000 per s</w:t>
      </w:r>
      <w:r>
        <w:rPr>
          <w:rFonts w:eastAsia="Times New Roman"/>
          <w:color w:val="000000"/>
          <w:sz w:val="20"/>
          <w:szCs w:val="20"/>
        </w:rPr>
        <w:t>hare, plus any declared and unpaid dividends.</w:t>
      </w:r>
    </w:p>
    <w:p w:rsidR="00000000" w:rsidRDefault="005B0BC3">
      <w:pPr>
        <w:divId w:val="1424060739"/>
        <w:rPr>
          <w:rFonts w:eastAsia="Times New Roman"/>
        </w:rPr>
      </w:pPr>
      <w:r>
        <w:rPr>
          <w:rFonts w:eastAsia="Times New Roman"/>
          <w:color w:val="000000"/>
          <w:sz w:val="20"/>
          <w:szCs w:val="20"/>
          <w:u w:val="single"/>
        </w:rPr>
        <w:t>Series C Fixed Rate Reset Noncumulative Perpetual Preferred Stock</w:t>
      </w:r>
    </w:p>
    <w:p w:rsidR="00000000" w:rsidRDefault="005B0BC3">
      <w:pPr>
        <w:divId w:val="1244023454"/>
        <w:rPr>
          <w:rFonts w:eastAsia="Times New Roman"/>
        </w:rPr>
      </w:pPr>
      <w:r>
        <w:rPr>
          <w:rFonts w:eastAsia="Times New Roman"/>
          <w:color w:val="000000"/>
          <w:sz w:val="20"/>
          <w:szCs w:val="20"/>
        </w:rPr>
        <w:t>On January 8, 2021, Holdings issued 12,000,000 depositary shares, each representing a 1/1,000th interest in a share of the Company’s Series C Fi</w:t>
      </w:r>
      <w:r>
        <w:rPr>
          <w:rFonts w:eastAsia="Times New Roman"/>
          <w:color w:val="000000"/>
          <w:sz w:val="20"/>
          <w:szCs w:val="20"/>
        </w:rPr>
        <w:t>xed Rate Noncumulative Perpetual Preferred Stock (“Series C Preferred Stock”), $1.00 par value per share and liquidation preference of $25,000 per share, for aggregate net cash proceeds of $293 million ($300 million gross). The Series C Preferred Stock ran</w:t>
      </w:r>
      <w:r>
        <w:rPr>
          <w:rFonts w:eastAsia="Times New Roman"/>
          <w:color w:val="000000"/>
          <w:sz w:val="20"/>
          <w:szCs w:val="20"/>
        </w:rPr>
        <w:t xml:space="preserve">ks senior to Holdings’ common stock and on parity with Holdings’ Series A Preferred Stock and Series B Preferred Stock with respect to the payment of dividends and liquidation. Holdings will pay dividends on the Series C Preferred Stock on a noncumulative </w:t>
      </w:r>
      <w:r>
        <w:rPr>
          <w:rFonts w:eastAsia="Times New Roman"/>
          <w:color w:val="000000"/>
          <w:sz w:val="20"/>
          <w:szCs w:val="20"/>
        </w:rPr>
        <w:t>basis only when, as and if declared by the Company’s Board of Directors (or a duly authorized committee of the Board) and will be payable quarterly in arrears, at an annual rate equal to the fixed rate of 4.3%.</w:t>
      </w:r>
    </w:p>
    <w:p w:rsidR="00000000" w:rsidRDefault="005B0BC3">
      <w:pPr>
        <w:jc w:val="both"/>
        <w:divId w:val="541863631"/>
        <w:rPr>
          <w:rFonts w:eastAsia="Times New Roman"/>
        </w:rPr>
      </w:pPr>
      <w:r>
        <w:rPr>
          <w:rFonts w:eastAsia="Times New Roman"/>
          <w:b/>
          <w:bCs/>
          <w:i/>
          <w:iCs/>
          <w:color w:val="000000"/>
          <w:sz w:val="20"/>
          <w:szCs w:val="20"/>
        </w:rPr>
        <w:t>Dividends to Shareholders</w:t>
      </w:r>
    </w:p>
    <w:p w:rsidR="00000000" w:rsidRDefault="005B0BC3">
      <w:pPr>
        <w:divId w:val="1043601717"/>
        <w:rPr>
          <w:rFonts w:eastAsia="Times New Roman"/>
        </w:rPr>
      </w:pPr>
      <w:r>
        <w:rPr>
          <w:rFonts w:eastAsia="Times New Roman"/>
          <w:color w:val="000000"/>
          <w:sz w:val="20"/>
          <w:szCs w:val="20"/>
        </w:rPr>
        <w:t xml:space="preserve">Dividends declared </w:t>
      </w:r>
      <w:r>
        <w:rPr>
          <w:rFonts w:eastAsia="Times New Roman"/>
          <w:color w:val="000000"/>
          <w:sz w:val="20"/>
          <w:szCs w:val="20"/>
        </w:rPr>
        <w:t>per share were as follows for the periods indicated:</w:t>
      </w:r>
    </w:p>
    <w:tbl>
      <w:tblPr>
        <w:tblW w:w="4590" w:type="pct"/>
        <w:tblCellMar>
          <w:top w:w="15" w:type="dxa"/>
          <w:left w:w="15" w:type="dxa"/>
          <w:bottom w:w="15" w:type="dxa"/>
          <w:right w:w="15" w:type="dxa"/>
        </w:tblCellMar>
        <w:tblLook w:val="04A0" w:firstRow="1" w:lastRow="0" w:firstColumn="1" w:lastColumn="0" w:noHBand="0" w:noVBand="1"/>
      </w:tblPr>
      <w:tblGrid>
        <w:gridCol w:w="37"/>
        <w:gridCol w:w="2624"/>
        <w:gridCol w:w="36"/>
        <w:gridCol w:w="36"/>
        <w:gridCol w:w="46"/>
        <w:gridCol w:w="36"/>
        <w:gridCol w:w="36"/>
        <w:gridCol w:w="36"/>
        <w:gridCol w:w="36"/>
        <w:gridCol w:w="120"/>
        <w:gridCol w:w="1339"/>
        <w:gridCol w:w="36"/>
        <w:gridCol w:w="36"/>
        <w:gridCol w:w="36"/>
        <w:gridCol w:w="36"/>
        <w:gridCol w:w="120"/>
        <w:gridCol w:w="1339"/>
        <w:gridCol w:w="36"/>
        <w:gridCol w:w="36"/>
        <w:gridCol w:w="36"/>
        <w:gridCol w:w="36"/>
        <w:gridCol w:w="120"/>
        <w:gridCol w:w="1340"/>
        <w:gridCol w:w="36"/>
      </w:tblGrid>
      <w:tr w:rsidR="00000000">
        <w:trPr>
          <w:divId w:val="509561936"/>
        </w:trPr>
        <w:tc>
          <w:tcPr>
            <w:tcW w:w="50" w:type="pct"/>
            <w:vAlign w:val="center"/>
            <w:hideMark/>
          </w:tcPr>
          <w:p w:rsidR="00000000" w:rsidRDefault="005B0BC3">
            <w:pPr>
              <w:rPr>
                <w:rFonts w:eastAsia="Times New Roman"/>
              </w:rPr>
            </w:pPr>
          </w:p>
        </w:tc>
        <w:tc>
          <w:tcPr>
            <w:tcW w:w="179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95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95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95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509561936"/>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1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509561936"/>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509561936"/>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xml:space="preserve">Series A dividends declared </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1,313</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509561936"/>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Series B dividends declared</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1,238</w:t>
            </w: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426 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509561936"/>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Series C dividends declared</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1,006</w:t>
            </w: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509561936"/>
        </w:trPr>
        <w:tc>
          <w:tcPr>
            <w:tcW w:w="0" w:type="auto"/>
            <w:gridSpan w:val="3"/>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bl>
    <w:p w:rsidR="00000000" w:rsidRDefault="005B0BC3">
      <w:pPr>
        <w:divId w:val="802430003"/>
        <w:rPr>
          <w:rFonts w:eastAsia="Times New Roman"/>
        </w:rPr>
      </w:pPr>
      <w:r>
        <w:rPr>
          <w:rFonts w:eastAsia="Times New Roman"/>
          <w:color w:val="000000"/>
          <w:sz w:val="20"/>
          <w:szCs w:val="20"/>
          <w:u w:val="single"/>
        </w:rPr>
        <w:t>Common Stock</w:t>
      </w:r>
    </w:p>
    <w:p w:rsidR="00000000" w:rsidRDefault="005B0BC3">
      <w:pPr>
        <w:divId w:val="1759209863"/>
        <w:rPr>
          <w:rFonts w:eastAsia="Times New Roman"/>
        </w:rPr>
      </w:pPr>
      <w:r>
        <w:rPr>
          <w:rFonts w:eastAsia="Times New Roman"/>
          <w:color w:val="000000"/>
          <w:sz w:val="20"/>
          <w:szCs w:val="20"/>
        </w:rPr>
        <w:t>Dividends declared per share of common stock were as follows for the periods indicated:</w:t>
      </w:r>
    </w:p>
    <w:tbl>
      <w:tblPr>
        <w:tblW w:w="4671" w:type="pct"/>
        <w:tblCellMar>
          <w:top w:w="15" w:type="dxa"/>
          <w:left w:w="15" w:type="dxa"/>
          <w:bottom w:w="15" w:type="dxa"/>
          <w:right w:w="15" w:type="dxa"/>
        </w:tblCellMar>
        <w:tblLook w:val="04A0" w:firstRow="1" w:lastRow="0" w:firstColumn="1" w:lastColumn="0" w:noHBand="0" w:noVBand="1"/>
      </w:tblPr>
      <w:tblGrid>
        <w:gridCol w:w="37"/>
        <w:gridCol w:w="2758"/>
        <w:gridCol w:w="36"/>
        <w:gridCol w:w="36"/>
        <w:gridCol w:w="46"/>
        <w:gridCol w:w="36"/>
        <w:gridCol w:w="36"/>
        <w:gridCol w:w="36"/>
        <w:gridCol w:w="36"/>
        <w:gridCol w:w="120"/>
        <w:gridCol w:w="1339"/>
        <w:gridCol w:w="36"/>
        <w:gridCol w:w="36"/>
        <w:gridCol w:w="36"/>
        <w:gridCol w:w="36"/>
        <w:gridCol w:w="120"/>
        <w:gridCol w:w="1339"/>
        <w:gridCol w:w="36"/>
        <w:gridCol w:w="36"/>
        <w:gridCol w:w="36"/>
        <w:gridCol w:w="36"/>
        <w:gridCol w:w="120"/>
        <w:gridCol w:w="1340"/>
        <w:gridCol w:w="36"/>
      </w:tblGrid>
      <w:tr w:rsidR="00000000">
        <w:trPr>
          <w:divId w:val="1482575895"/>
        </w:trPr>
        <w:tc>
          <w:tcPr>
            <w:tcW w:w="50" w:type="pct"/>
            <w:vAlign w:val="center"/>
            <w:hideMark/>
          </w:tcPr>
          <w:p w:rsidR="00000000" w:rsidRDefault="005B0BC3">
            <w:pPr>
              <w:rPr>
                <w:rFonts w:eastAsia="Times New Roman"/>
              </w:rPr>
            </w:pPr>
          </w:p>
        </w:tc>
        <w:tc>
          <w:tcPr>
            <w:tcW w:w="184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93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93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93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482575895"/>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1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482575895"/>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1482575895"/>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Dividends declared</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0.71</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0.66 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0.58 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divId w:val="442576350"/>
        <w:rPr>
          <w:rFonts w:eastAsia="Times New Roman"/>
        </w:rPr>
      </w:pPr>
    </w:p>
    <w:p w:rsidR="00000000" w:rsidRDefault="005B0BC3">
      <w:pPr>
        <w:ind w:hanging="360"/>
        <w:divId w:val="1078939640"/>
        <w:rPr>
          <w:rFonts w:eastAsia="Times New Roman"/>
        </w:rPr>
      </w:pPr>
    </w:p>
    <w:p w:rsidR="00000000" w:rsidRDefault="005B0BC3">
      <w:pPr>
        <w:jc w:val="both"/>
        <w:divId w:val="1864049626"/>
        <w:rPr>
          <w:rFonts w:eastAsia="Times New Roman"/>
        </w:rPr>
      </w:pPr>
      <w:r>
        <w:rPr>
          <w:rFonts w:eastAsia="Times New Roman"/>
          <w:b/>
          <w:bCs/>
          <w:i/>
          <w:iCs/>
          <w:color w:val="000000"/>
          <w:sz w:val="20"/>
          <w:szCs w:val="20"/>
        </w:rPr>
        <w:t>Share Repurchase</w:t>
      </w:r>
    </w:p>
    <w:p w:rsidR="00000000" w:rsidRDefault="005B0BC3">
      <w:pPr>
        <w:divId w:val="67508985"/>
        <w:rPr>
          <w:rFonts w:eastAsia="Times New Roman"/>
        </w:rPr>
      </w:pPr>
      <w:r>
        <w:rPr>
          <w:rFonts w:eastAsia="Times New Roman"/>
          <w:color w:val="000000"/>
          <w:sz w:val="20"/>
          <w:szCs w:val="20"/>
        </w:rPr>
        <w:t>In January 2019, Holdings entered into an ASR agreement with a third-party financial institution to repurchase an</w:t>
      </w:r>
      <w:r>
        <w:rPr>
          <w:rFonts w:eastAsia="Times New Roman"/>
          <w:color w:val="000000"/>
          <w:sz w:val="20"/>
          <w:szCs w:val="20"/>
        </w:rPr>
        <w:t xml:space="preserve"> aggregate of $150 million of Holdings’ common stock. Pursuant to the ASR, Holdings made a prepayment of $150 million and received initial delivery of seven million shares. The ASR terminated during the first quarter of 2019, at which time an additional on</w:t>
      </w:r>
      <w:r>
        <w:rPr>
          <w:rFonts w:eastAsia="Times New Roman"/>
          <w:color w:val="000000"/>
          <w:sz w:val="20"/>
          <w:szCs w:val="20"/>
        </w:rPr>
        <w:t xml:space="preserve">e million shares were delivered, at an average purchase price of $18.51 per share based on the volume-weighted average price of Holdings’ common stock traded during the pricing period, less an agreed discount. Shares repurchased under the ASR were retired </w:t>
      </w:r>
      <w:r>
        <w:rPr>
          <w:rFonts w:eastAsia="Times New Roman"/>
          <w:color w:val="000000"/>
          <w:sz w:val="20"/>
          <w:szCs w:val="20"/>
        </w:rPr>
        <w:t>upon receipt resulting in a reduction of Holdings’ total issued shares as of December 31, 2019.</w:t>
      </w:r>
    </w:p>
    <w:p w:rsidR="00000000" w:rsidRDefault="005B0BC3">
      <w:pPr>
        <w:divId w:val="1126656790"/>
        <w:rPr>
          <w:rFonts w:eastAsia="Times New Roman"/>
        </w:rPr>
      </w:pPr>
      <w:r>
        <w:rPr>
          <w:rFonts w:eastAsia="Times New Roman"/>
          <w:color w:val="000000"/>
          <w:sz w:val="20"/>
          <w:szCs w:val="20"/>
        </w:rPr>
        <w:t>On November 6, 2019, Holdings’ Board of Directors authorized a $400 million share repurchase program with an expiration date of December 31, 2020. On February 2</w:t>
      </w:r>
      <w:r>
        <w:rPr>
          <w:rFonts w:eastAsia="Times New Roman"/>
          <w:color w:val="000000"/>
          <w:sz w:val="20"/>
          <w:szCs w:val="20"/>
        </w:rPr>
        <w:t>6, 2020, Holdings’ Board of Directors authorized an increase of $600 million to the capacity of this program as well as the extension of the term of the program until March 31, 2021. This program was exhausted in January 2021. On October 23, 2020, Holdings</w:t>
      </w:r>
      <w:r>
        <w:rPr>
          <w:rFonts w:eastAsia="Times New Roman"/>
          <w:color w:val="000000"/>
          <w:sz w:val="20"/>
          <w:szCs w:val="20"/>
        </w:rPr>
        <w:t>’ Board of Directors authorized an incremental $500 million of share repurchase in 2021, subject to the close of the Venerable Transaction. In addition, on February 17, 2021 Holdings announced that its Board of Directors had authorized a $1.0 billion share</w:t>
      </w:r>
      <w:r>
        <w:rPr>
          <w:rFonts w:eastAsia="Times New Roman"/>
          <w:color w:val="000000"/>
          <w:sz w:val="20"/>
          <w:szCs w:val="20"/>
        </w:rPr>
        <w:t xml:space="preserve"> repurchase program. Under this program, Holdings may, from time to time, purchase up to $1.0 billion of its common stock but it is not obligated to purchase any particular number of shares. Repurchases may be effected in the open market, through derivativ</w:t>
      </w:r>
      <w:r>
        <w:rPr>
          <w:rFonts w:eastAsia="Times New Roman"/>
          <w:color w:val="000000"/>
          <w:sz w:val="20"/>
          <w:szCs w:val="20"/>
        </w:rPr>
        <w:t xml:space="preserve">e, accelerated repurchase and other negotiated transactions and through prearranged trading plans complying with Rule 10b5-1(c) under the Exchange Act. As of December 31, 2021, Holdings had authorized capacity of </w:t>
      </w:r>
    </w:p>
    <w:p w:rsidR="00000000" w:rsidRDefault="005B0BC3">
      <w:pPr>
        <w:jc w:val="center"/>
        <w:divId w:val="1287393262"/>
        <w:rPr>
          <w:rFonts w:eastAsia="Times New Roman"/>
        </w:rPr>
      </w:pPr>
    </w:p>
    <w:p w:rsidR="00000000" w:rsidRDefault="005B0BC3">
      <w:pPr>
        <w:jc w:val="center"/>
        <w:divId w:val="1287393262"/>
        <w:rPr>
          <w:rFonts w:eastAsia="Times New Roman"/>
        </w:rPr>
      </w:pPr>
      <w:r>
        <w:rPr>
          <w:rFonts w:eastAsia="Times New Roman"/>
          <w:color w:val="000000"/>
          <w:sz w:val="20"/>
          <w:szCs w:val="20"/>
        </w:rPr>
        <w:t>228</w:t>
      </w:r>
    </w:p>
    <w:p w:rsidR="00000000" w:rsidRDefault="005B0BC3">
      <w:pPr>
        <w:rPr>
          <w:rFonts w:eastAsia="Times New Roman"/>
        </w:rPr>
      </w:pPr>
      <w:r>
        <w:rPr>
          <w:rFonts w:eastAsia="Times New Roman"/>
        </w:rPr>
        <w:pict>
          <v:rect id="_x0000_i1266" style="width:0;height:1.5pt" o:hralign="center" o:hrstd="t" o:hr="t" fillcolor="#a0a0a0" stroked="f"/>
        </w:pict>
      </w:r>
    </w:p>
    <w:p w:rsidR="00000000" w:rsidRDefault="005B0BC3">
      <w:pPr>
        <w:jc w:val="center"/>
        <w:divId w:val="1880167781"/>
        <w:rPr>
          <w:rFonts w:eastAsia="Times New Roman"/>
        </w:rPr>
      </w:pPr>
      <w:r>
        <w:rPr>
          <w:rFonts w:eastAsia="Times New Roman"/>
          <w:b/>
          <w:bCs/>
          <w:color w:val="000000"/>
          <w:sz w:val="20"/>
          <w:szCs w:val="20"/>
        </w:rPr>
        <w:t>EQUITABLE HOLDINGS, INC.</w:t>
      </w:r>
    </w:p>
    <w:p w:rsidR="00000000" w:rsidRDefault="005B0BC3">
      <w:pPr>
        <w:jc w:val="center"/>
        <w:divId w:val="1880167781"/>
        <w:rPr>
          <w:rFonts w:eastAsia="Times New Roman"/>
        </w:rPr>
      </w:pPr>
      <w:r>
        <w:rPr>
          <w:rFonts w:eastAsia="Times New Roman"/>
          <w:b/>
          <w:bCs/>
          <w:color w:val="000000"/>
          <w:sz w:val="20"/>
          <w:szCs w:val="20"/>
        </w:rPr>
        <w:t>NOTES TO CONSOLIDATED FINANCIAL STATEMENTS, continued</w:t>
      </w:r>
    </w:p>
    <w:p w:rsidR="00000000" w:rsidRDefault="005B0BC3">
      <w:pPr>
        <w:divId w:val="1501311131"/>
        <w:rPr>
          <w:rFonts w:eastAsia="Times New Roman"/>
        </w:rPr>
      </w:pPr>
      <w:r>
        <w:rPr>
          <w:rFonts w:eastAsia="Times New Roman"/>
          <w:color w:val="000000"/>
          <w:sz w:val="20"/>
          <w:szCs w:val="20"/>
        </w:rPr>
        <w:t>approximately $5 million remaining in its share repurchase program, which is inclusive of the $500 million related to the Venerable Transacti</w:t>
      </w:r>
      <w:r>
        <w:rPr>
          <w:rFonts w:eastAsia="Times New Roman"/>
          <w:color w:val="000000"/>
          <w:sz w:val="20"/>
          <w:szCs w:val="20"/>
        </w:rPr>
        <w:t xml:space="preserve">on. </w:t>
      </w:r>
    </w:p>
    <w:p w:rsidR="00000000" w:rsidRDefault="005B0BC3">
      <w:pPr>
        <w:divId w:val="1063916823"/>
        <w:rPr>
          <w:rFonts w:eastAsia="Times New Roman"/>
        </w:rPr>
      </w:pPr>
      <w:r>
        <w:rPr>
          <w:rFonts w:eastAsia="Times New Roman"/>
          <w:color w:val="000000"/>
          <w:sz w:val="20"/>
          <w:szCs w:val="20"/>
        </w:rPr>
        <w:t>For the years ended December 31, 2021 , 2020 and 2019, the Company repurchased approximately 51.9 million, 23.7 million and 65.6 million shares of its common stock at a total cost of approximately $1.6 billion, $430 million and $1.3 billion, respectiv</w:t>
      </w:r>
      <w:r>
        <w:rPr>
          <w:rFonts w:eastAsia="Times New Roman"/>
          <w:color w:val="000000"/>
          <w:sz w:val="20"/>
          <w:szCs w:val="20"/>
        </w:rPr>
        <w:t>ely through open market repurchases, ASRs and privately negotiated transactions. The repurchased common stock was recorded as treasury stock in the consolidated balance sheets. For the years ended December 31, 2021 , 2020 and 2019, the Company reissued app</w:t>
      </w:r>
      <w:r>
        <w:rPr>
          <w:rFonts w:eastAsia="Times New Roman"/>
          <w:color w:val="000000"/>
          <w:sz w:val="20"/>
          <w:szCs w:val="20"/>
        </w:rPr>
        <w:t>roximately 2.3 million, 743 thousand and 387 thousand shares of its treasury stock, respectively. For the year ended December 31, 2021 , 2020 and 2019, the Company retired approximately 32.0 million, 0 shares and 8.1 million shares of its treasury stock, r</w:t>
      </w:r>
      <w:r>
        <w:rPr>
          <w:rFonts w:eastAsia="Times New Roman"/>
          <w:color w:val="000000"/>
          <w:sz w:val="20"/>
          <w:szCs w:val="20"/>
        </w:rPr>
        <w:t>espectively.</w:t>
      </w:r>
    </w:p>
    <w:p w:rsidR="00000000" w:rsidRDefault="005B0BC3">
      <w:pPr>
        <w:divId w:val="755592827"/>
        <w:rPr>
          <w:rFonts w:eastAsia="Times New Roman"/>
        </w:rPr>
      </w:pPr>
      <w:r>
        <w:rPr>
          <w:rFonts w:eastAsia="Times New Roman"/>
          <w:color w:val="000000"/>
          <w:sz w:val="20"/>
          <w:szCs w:val="20"/>
        </w:rPr>
        <w:t>In January 2021, Holdings entered into an ASR with a third-party financial institution to repurchase an aggregate of $170 million of Holdings’ common stock. The ASR terminated during the first quarter of 2021, for a total of 6.3 million shares</w:t>
      </w:r>
      <w:r>
        <w:rPr>
          <w:rFonts w:eastAsia="Times New Roman"/>
          <w:color w:val="000000"/>
          <w:sz w:val="20"/>
          <w:szCs w:val="20"/>
        </w:rPr>
        <w:t xml:space="preserve"> delivered. Shares repurchased under the ASR were retired upon receipt resulting in a reduction of Holdings’ total issued shares as of March 31, 2021.</w:t>
      </w:r>
    </w:p>
    <w:p w:rsidR="00000000" w:rsidRDefault="005B0BC3">
      <w:pPr>
        <w:divId w:val="282082506"/>
        <w:rPr>
          <w:rFonts w:eastAsia="Times New Roman"/>
        </w:rPr>
      </w:pPr>
      <w:r>
        <w:rPr>
          <w:rFonts w:eastAsia="Times New Roman"/>
          <w:color w:val="000000"/>
          <w:sz w:val="20"/>
          <w:szCs w:val="20"/>
        </w:rPr>
        <w:t>In March 2021, Holdings entered into an ASR contract with a third-party financial institution to repurcha</w:t>
      </w:r>
      <w:r>
        <w:rPr>
          <w:rFonts w:eastAsia="Times New Roman"/>
          <w:color w:val="000000"/>
          <w:sz w:val="20"/>
          <w:szCs w:val="20"/>
        </w:rPr>
        <w:t>se an aggregate of $200 million of Holdings’ common stock. Pursuant to the ASR, Holdings made a prepayment of $200 million and received initial delivery of 4.9 million shares. The ASR terminated during May 2021, at which time additional shares of 1.1 milli</w:t>
      </w:r>
      <w:r>
        <w:rPr>
          <w:rFonts w:eastAsia="Times New Roman"/>
          <w:color w:val="000000"/>
          <w:sz w:val="20"/>
          <w:szCs w:val="20"/>
        </w:rPr>
        <w:t xml:space="preserve">on were received. </w:t>
      </w:r>
    </w:p>
    <w:p w:rsidR="00000000" w:rsidRDefault="005B0BC3">
      <w:pPr>
        <w:divId w:val="805974758"/>
        <w:rPr>
          <w:rFonts w:eastAsia="Times New Roman"/>
        </w:rPr>
      </w:pPr>
      <w:r>
        <w:rPr>
          <w:rFonts w:eastAsia="Times New Roman"/>
          <w:color w:val="000000"/>
          <w:sz w:val="20"/>
          <w:szCs w:val="20"/>
        </w:rPr>
        <w:t xml:space="preserve">On June 30, 2021, Holdings established an obligation to enter into an ASR with a third-party financial institution to repurchase an aggregate of $300 million of Holdings’ common stock. Pursuant to the ASR, on July 2, 2021, Holdings made </w:t>
      </w:r>
      <w:r>
        <w:rPr>
          <w:rFonts w:eastAsia="Times New Roman"/>
          <w:color w:val="000000"/>
          <w:sz w:val="20"/>
          <w:szCs w:val="20"/>
        </w:rPr>
        <w:t xml:space="preserve">a prepayment of $300 million to receive initial delivery of shares. The ASR terminated during the third quarter of 2021 and a total of 9.9 million shares were received. Shares repurchased under the ASR were retired upon receipt resulting in a reduction of </w:t>
      </w:r>
      <w:r>
        <w:rPr>
          <w:rFonts w:eastAsia="Times New Roman"/>
          <w:color w:val="000000"/>
          <w:sz w:val="20"/>
          <w:szCs w:val="20"/>
        </w:rPr>
        <w:t>Holdings’ total issued shares as of September 30, 2021.</w:t>
      </w:r>
    </w:p>
    <w:p w:rsidR="00000000" w:rsidRDefault="005B0BC3">
      <w:pPr>
        <w:divId w:val="1071388256"/>
        <w:rPr>
          <w:rFonts w:eastAsia="Times New Roman"/>
        </w:rPr>
      </w:pPr>
      <w:r>
        <w:rPr>
          <w:rFonts w:eastAsia="Times New Roman"/>
          <w:color w:val="000000"/>
          <w:sz w:val="20"/>
          <w:szCs w:val="20"/>
        </w:rPr>
        <w:t>In September 2021, Holdings entered into an ASR contract with a third-party financial institution to repurchase an aggregate of $200 million of Holdings’ common stock. Pursuant to the ASR, Holdings ma</w:t>
      </w:r>
      <w:r>
        <w:rPr>
          <w:rFonts w:eastAsia="Times New Roman"/>
          <w:color w:val="000000"/>
          <w:sz w:val="20"/>
          <w:szCs w:val="20"/>
        </w:rPr>
        <w:t xml:space="preserve">de a prepayment of $200 million and received initial delivery of 5.6 million shares. </w:t>
      </w:r>
      <w:r>
        <w:rPr>
          <w:rFonts w:eastAsia="Times New Roman"/>
          <w:color w:val="000000"/>
          <w:sz w:val="20"/>
          <w:szCs w:val="20"/>
          <w:shd w:val="clear" w:color="auto" w:fill="FFFFFF"/>
        </w:rPr>
        <w:t xml:space="preserve">The ASR terminated during November 2021, at which time additional shares of 0.6 million were received. </w:t>
      </w:r>
    </w:p>
    <w:p w:rsidR="00000000" w:rsidRDefault="005B0BC3">
      <w:pPr>
        <w:divId w:val="1774013994"/>
        <w:rPr>
          <w:rFonts w:eastAsia="Times New Roman"/>
        </w:rPr>
      </w:pPr>
      <w:r>
        <w:rPr>
          <w:rFonts w:eastAsia="Times New Roman"/>
          <w:color w:val="000000"/>
          <w:sz w:val="20"/>
          <w:szCs w:val="20"/>
        </w:rPr>
        <w:t xml:space="preserve">On December 22, 2021, Holdings entered into an ASR contract with a </w:t>
      </w:r>
      <w:r>
        <w:rPr>
          <w:rFonts w:eastAsia="Times New Roman"/>
          <w:color w:val="000000"/>
          <w:sz w:val="20"/>
          <w:szCs w:val="20"/>
        </w:rPr>
        <w:t>third-party financial institution to repurchase an aggregate of $140 million of Holdings’ common stock. Pursuant to the ASR, Holdings made a prepayment of $140 million and received initial delivery of 3.4 million shares. The ASR terminated during January 2</w:t>
      </w:r>
      <w:r>
        <w:rPr>
          <w:rFonts w:eastAsia="Times New Roman"/>
          <w:color w:val="000000"/>
          <w:sz w:val="20"/>
          <w:szCs w:val="20"/>
        </w:rPr>
        <w:t>022, at which time additional shares of 0.7 million were received. Shares repurchased under the ASR were retired upon receipt resulting in a reduction of Holdings’ total issued shares as of December 31, 2021.</w:t>
      </w:r>
    </w:p>
    <w:p w:rsidR="00000000" w:rsidRDefault="005B0BC3">
      <w:pPr>
        <w:ind w:firstLine="360"/>
        <w:divId w:val="1042170320"/>
        <w:rPr>
          <w:rFonts w:eastAsia="Times New Roman"/>
        </w:rPr>
      </w:pPr>
      <w:r>
        <w:rPr>
          <w:rFonts w:eastAsia="Times New Roman"/>
          <w:color w:val="000000"/>
          <w:sz w:val="20"/>
          <w:szCs w:val="20"/>
          <w:u w:val="single"/>
        </w:rPr>
        <w:t xml:space="preserve">Accumulated Other Comprehensive Income (Loss) </w:t>
      </w:r>
    </w:p>
    <w:p w:rsidR="00000000" w:rsidRDefault="005B0BC3">
      <w:pPr>
        <w:divId w:val="1399941177"/>
        <w:rPr>
          <w:rFonts w:eastAsia="Times New Roman"/>
        </w:rPr>
      </w:pPr>
      <w:r>
        <w:rPr>
          <w:rFonts w:eastAsia="Times New Roman"/>
          <w:color w:val="000000"/>
          <w:sz w:val="20"/>
          <w:szCs w:val="20"/>
        </w:rPr>
        <w:t xml:space="preserve">AOCI represents cumulative gains (losses) on items that are not reflected in net income (loss). The balances as of December 31, 2021, and 2020 follow: </w:t>
      </w:r>
    </w:p>
    <w:tbl>
      <w:tblPr>
        <w:tblW w:w="5000" w:type="pct"/>
        <w:tblCellMar>
          <w:top w:w="15" w:type="dxa"/>
          <w:left w:w="15" w:type="dxa"/>
          <w:bottom w:w="15" w:type="dxa"/>
          <w:right w:w="15" w:type="dxa"/>
        </w:tblCellMar>
        <w:tblLook w:val="04A0" w:firstRow="1" w:lastRow="0" w:firstColumn="1" w:lastColumn="0" w:noHBand="0" w:noVBand="1"/>
      </w:tblPr>
      <w:tblGrid>
        <w:gridCol w:w="38"/>
        <w:gridCol w:w="5910"/>
        <w:gridCol w:w="37"/>
        <w:gridCol w:w="120"/>
        <w:gridCol w:w="861"/>
        <w:gridCol w:w="36"/>
        <w:gridCol w:w="36"/>
        <w:gridCol w:w="36"/>
        <w:gridCol w:w="36"/>
        <w:gridCol w:w="120"/>
        <w:gridCol w:w="824"/>
        <w:gridCol w:w="36"/>
        <w:gridCol w:w="36"/>
        <w:gridCol w:w="36"/>
        <w:gridCol w:w="36"/>
        <w:gridCol w:w="36"/>
        <w:gridCol w:w="36"/>
        <w:gridCol w:w="36"/>
      </w:tblGrid>
      <w:tr w:rsidR="00000000">
        <w:trPr>
          <w:divId w:val="141577832"/>
        </w:trPr>
        <w:tc>
          <w:tcPr>
            <w:tcW w:w="50" w:type="pct"/>
            <w:vAlign w:val="center"/>
            <w:hideMark/>
          </w:tcPr>
          <w:p w:rsidR="00000000" w:rsidRDefault="005B0BC3">
            <w:pPr>
              <w:rPr>
                <w:rFonts w:eastAsia="Times New Roman"/>
              </w:rPr>
            </w:pPr>
          </w:p>
        </w:tc>
        <w:tc>
          <w:tcPr>
            <w:tcW w:w="368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41577832"/>
        </w:trPr>
        <w:tc>
          <w:tcPr>
            <w:tcW w:w="0" w:type="auto"/>
            <w:gridSpan w:val="3"/>
            <w:tcMar>
              <w:top w:w="30" w:type="dxa"/>
              <w:left w:w="20" w:type="dxa"/>
              <w:bottom w:w="30" w:type="dxa"/>
              <w:right w:w="20" w:type="dxa"/>
            </w:tcMar>
            <w:vAlign w:val="bottom"/>
            <w:hideMark/>
          </w:tcPr>
          <w:p w:rsidR="00000000" w:rsidRDefault="005B0BC3">
            <w:pPr>
              <w:spacing w:after="100"/>
              <w:divId w:val="1924100921"/>
              <w:rPr>
                <w:rFonts w:eastAsia="Times New Roman"/>
              </w:rPr>
            </w:pPr>
            <w:r>
              <w:rPr>
                <w:rFonts w:eastAsia="Times New Roman"/>
                <w:b/>
                <w:bCs/>
                <w:color w:val="000000"/>
                <w:sz w:val="16"/>
                <w:szCs w:val="16"/>
              </w:rPr>
              <w:t> </w:t>
            </w:r>
          </w:p>
        </w:tc>
        <w:tc>
          <w:tcPr>
            <w:tcW w:w="0" w:type="auto"/>
            <w:gridSpan w:val="9"/>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December 31,</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41577832"/>
        </w:trPr>
        <w:tc>
          <w:tcPr>
            <w:tcW w:w="0" w:type="auto"/>
            <w:gridSpan w:val="3"/>
            <w:tcMar>
              <w:top w:w="30" w:type="dxa"/>
              <w:left w:w="20" w:type="dxa"/>
              <w:bottom w:w="30" w:type="dxa"/>
              <w:right w:w="20" w:type="dxa"/>
            </w:tcMar>
            <w:vAlign w:val="bottom"/>
            <w:hideMark/>
          </w:tcPr>
          <w:p w:rsidR="00000000" w:rsidRDefault="005B0BC3">
            <w:pPr>
              <w:spacing w:after="100"/>
              <w:divId w:val="250745748"/>
              <w:rPr>
                <w:rFonts w:eastAsia="Times New Roman"/>
              </w:rPr>
            </w:pPr>
            <w:r>
              <w:rPr>
                <w:rFonts w:eastAsia="Times New Roman"/>
                <w:b/>
                <w:bCs/>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vAlign w:val="center"/>
            <w:hideMark/>
          </w:tcPr>
          <w:p w:rsidR="00000000" w:rsidRDefault="005B0BC3">
            <w:pPr>
              <w:spacing w:after="100"/>
              <w:jc w:val="center"/>
              <w:rPr>
                <w:rFonts w:eastAsia="Times New Roman"/>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41577832"/>
        </w:trPr>
        <w:tc>
          <w:tcPr>
            <w:tcW w:w="0" w:type="auto"/>
            <w:gridSpan w:val="3"/>
            <w:tcMar>
              <w:top w:w="30" w:type="dxa"/>
              <w:left w:w="20" w:type="dxa"/>
              <w:bottom w:w="30" w:type="dxa"/>
              <w:right w:w="20" w:type="dxa"/>
            </w:tcMar>
            <w:vAlign w:val="bottom"/>
            <w:hideMark/>
          </w:tcPr>
          <w:p w:rsidR="00000000" w:rsidRDefault="005B0BC3">
            <w:pPr>
              <w:spacing w:after="100"/>
              <w:divId w:val="850340134"/>
              <w:rPr>
                <w:rFonts w:eastAsia="Times New Roman"/>
              </w:rPr>
            </w:pPr>
            <w:r>
              <w:rPr>
                <w:rFonts w:eastAsia="Times New Roman"/>
                <w:b/>
                <w:bCs/>
                <w:color w:val="000000"/>
                <w:sz w:val="16"/>
                <w:szCs w:val="16"/>
              </w:rPr>
              <w:t> </w:t>
            </w: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41577832"/>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Unrealized gains (losses) on investments</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2,684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4,797 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41577832"/>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Defined benefit pension plans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(669)</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(935)</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41577832"/>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Foreign currency translation adjustments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(45)</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(34)</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41577832"/>
        </w:trPr>
        <w:tc>
          <w:tcPr>
            <w:tcW w:w="0" w:type="auto"/>
            <w:gridSpan w:val="3"/>
            <w:shd w:val="clear" w:color="auto" w:fill="FFFF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accumulated other comprehensive income (loss)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1,970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3,828 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41577832"/>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Less: Accumulated other comprehensive income (loss) attributable to noncontrolling interest</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(34)</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(35)</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41577832"/>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Accumulated other comprehensive income (loss) attributable to Holdings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2,004</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3,863 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bl>
    <w:p w:rsidR="00000000" w:rsidRDefault="005B0BC3">
      <w:pPr>
        <w:ind w:hanging="720"/>
        <w:divId w:val="184249179"/>
        <w:rPr>
          <w:rFonts w:eastAsia="Times New Roman"/>
        </w:rPr>
      </w:pPr>
    </w:p>
    <w:p w:rsidR="00000000" w:rsidRDefault="005B0BC3">
      <w:pPr>
        <w:divId w:val="1026056110"/>
        <w:rPr>
          <w:rFonts w:eastAsia="Times New Roman"/>
        </w:rPr>
      </w:pPr>
    </w:p>
    <w:p w:rsidR="00000000" w:rsidRDefault="005B0BC3">
      <w:pPr>
        <w:divId w:val="819003694"/>
        <w:rPr>
          <w:rFonts w:eastAsia="Times New Roman"/>
        </w:rPr>
      </w:pPr>
      <w:r>
        <w:rPr>
          <w:rFonts w:eastAsia="Times New Roman"/>
          <w:color w:val="000000"/>
          <w:sz w:val="20"/>
          <w:szCs w:val="20"/>
        </w:rPr>
        <w:t>The components of OCI, net of taxes for the years ended December 31, 2021, 2020 and 2019 follow:</w:t>
      </w:r>
    </w:p>
    <w:p w:rsidR="00000000" w:rsidRDefault="005B0BC3">
      <w:pPr>
        <w:jc w:val="center"/>
        <w:divId w:val="1313363861"/>
        <w:rPr>
          <w:rFonts w:eastAsia="Times New Roman"/>
        </w:rPr>
      </w:pPr>
    </w:p>
    <w:p w:rsidR="00000000" w:rsidRDefault="005B0BC3">
      <w:pPr>
        <w:jc w:val="center"/>
        <w:divId w:val="1313363861"/>
        <w:rPr>
          <w:rFonts w:eastAsia="Times New Roman"/>
        </w:rPr>
      </w:pPr>
      <w:r>
        <w:rPr>
          <w:rFonts w:eastAsia="Times New Roman"/>
          <w:color w:val="000000"/>
          <w:sz w:val="20"/>
          <w:szCs w:val="20"/>
        </w:rPr>
        <w:t>229</w:t>
      </w:r>
    </w:p>
    <w:p w:rsidR="00000000" w:rsidRDefault="005B0BC3">
      <w:pPr>
        <w:rPr>
          <w:rFonts w:eastAsia="Times New Roman"/>
        </w:rPr>
      </w:pPr>
      <w:r>
        <w:rPr>
          <w:rFonts w:eastAsia="Times New Roman"/>
        </w:rPr>
        <w:pict>
          <v:rect id="_x0000_i1267" style="width:0;height:1.5pt" o:hralign="center" o:hrstd="t" o:hr="t" fillcolor="#a0a0a0" stroked="f"/>
        </w:pict>
      </w:r>
    </w:p>
    <w:p w:rsidR="00000000" w:rsidRDefault="005B0BC3">
      <w:pPr>
        <w:jc w:val="center"/>
        <w:divId w:val="1805926100"/>
        <w:rPr>
          <w:rFonts w:eastAsia="Times New Roman"/>
        </w:rPr>
      </w:pPr>
      <w:r>
        <w:rPr>
          <w:rFonts w:eastAsia="Times New Roman"/>
          <w:b/>
          <w:bCs/>
          <w:color w:val="000000"/>
          <w:sz w:val="20"/>
          <w:szCs w:val="20"/>
        </w:rPr>
        <w:t>EQUITABLE HOLDINGS, INC.</w:t>
      </w:r>
    </w:p>
    <w:p w:rsidR="00000000" w:rsidRDefault="005B0BC3">
      <w:pPr>
        <w:jc w:val="center"/>
        <w:divId w:val="1805926100"/>
        <w:rPr>
          <w:rFonts w:eastAsia="Times New Roman"/>
        </w:rPr>
      </w:pPr>
      <w:r>
        <w:rPr>
          <w:rFonts w:eastAsia="Times New Roman"/>
          <w:b/>
          <w:bCs/>
          <w:color w:val="000000"/>
          <w:sz w:val="20"/>
          <w:szCs w:val="20"/>
        </w:rPr>
        <w:t>NOTES TO CONSOLIDATED FINANCIAL STATEMENTS, continued</w:t>
      </w:r>
    </w:p>
    <w:tbl>
      <w:tblPr>
        <w:tblW w:w="5000" w:type="pct"/>
        <w:tblCellMar>
          <w:top w:w="15" w:type="dxa"/>
          <w:left w:w="15" w:type="dxa"/>
          <w:bottom w:w="15" w:type="dxa"/>
          <w:right w:w="15" w:type="dxa"/>
        </w:tblCellMar>
        <w:tblLook w:val="04A0" w:firstRow="1" w:lastRow="0" w:firstColumn="1" w:lastColumn="0" w:noHBand="0" w:noVBand="1"/>
      </w:tblPr>
      <w:tblGrid>
        <w:gridCol w:w="40"/>
        <w:gridCol w:w="4845"/>
        <w:gridCol w:w="39"/>
        <w:gridCol w:w="36"/>
        <w:gridCol w:w="46"/>
        <w:gridCol w:w="36"/>
        <w:gridCol w:w="36"/>
        <w:gridCol w:w="36"/>
        <w:gridCol w:w="36"/>
        <w:gridCol w:w="120"/>
        <w:gridCol w:w="824"/>
        <w:gridCol w:w="36"/>
        <w:gridCol w:w="36"/>
        <w:gridCol w:w="36"/>
        <w:gridCol w:w="36"/>
        <w:gridCol w:w="120"/>
        <w:gridCol w:w="824"/>
        <w:gridCol w:w="36"/>
        <w:gridCol w:w="36"/>
        <w:gridCol w:w="36"/>
        <w:gridCol w:w="36"/>
        <w:gridCol w:w="120"/>
        <w:gridCol w:w="824"/>
        <w:gridCol w:w="36"/>
      </w:tblGrid>
      <w:tr w:rsidR="00000000">
        <w:trPr>
          <w:divId w:val="277955896"/>
        </w:trPr>
        <w:tc>
          <w:tcPr>
            <w:tcW w:w="50" w:type="pct"/>
            <w:vAlign w:val="center"/>
            <w:hideMark/>
          </w:tcPr>
          <w:p w:rsidR="00000000" w:rsidRDefault="005B0BC3">
            <w:pPr>
              <w:jc w:val="center"/>
              <w:rPr>
                <w:rFonts w:eastAsia="Times New Roman"/>
              </w:rPr>
            </w:pPr>
          </w:p>
        </w:tc>
        <w:tc>
          <w:tcPr>
            <w:tcW w:w="299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277955896"/>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tcMar>
              <w:top w:w="0" w:type="dxa"/>
              <w:left w:w="20" w:type="dxa"/>
              <w:bottom w:w="0" w:type="dxa"/>
              <w:right w:w="20" w:type="dxa"/>
            </w:tcMar>
            <w:vAlign w:val="center"/>
            <w:hideMark/>
          </w:tcPr>
          <w:p w:rsidR="00000000" w:rsidRDefault="005B0BC3">
            <w:pPr>
              <w:spacing w:after="100"/>
              <w:divId w:val="1392118112"/>
              <w:rPr>
                <w:rFonts w:eastAsia="Times New Roman"/>
              </w:rPr>
            </w:pPr>
          </w:p>
        </w:tc>
        <w:tc>
          <w:tcPr>
            <w:tcW w:w="0" w:type="auto"/>
            <w:gridSpan w:val="1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277955896"/>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16"/>
                <w:szCs w:val="16"/>
              </w:rPr>
              <w:t> </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277955896"/>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16"/>
                <w:szCs w:val="16"/>
              </w:rPr>
              <w:t> </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8"/>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277955896"/>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Change in net unrealized gains (losses) on investments: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277955896"/>
        </w:trPr>
        <w:tc>
          <w:tcPr>
            <w:tcW w:w="0" w:type="auto"/>
            <w:gridSpan w:val="3"/>
            <w:shd w:val="clear" w:color="auto" w:fill="CCEE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Net unrealized gains (losses) arising during the period</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(2,467)</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4,887 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3,301 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77955896"/>
        </w:trPr>
        <w:tc>
          <w:tcPr>
            <w:tcW w:w="0" w:type="auto"/>
            <w:gridSpan w:val="3"/>
            <w:shd w:val="clear" w:color="auto" w:fill="FFFF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(Gains) losses reclassified into net income (loss) during the period (1)</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(698)</w:t>
            </w:r>
          </w:p>
        </w:tc>
        <w:tc>
          <w:tcPr>
            <w:tcW w:w="0" w:type="auto"/>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(653)</w:t>
            </w:r>
          </w:p>
        </w:tc>
        <w:tc>
          <w:tcPr>
            <w:tcW w:w="0" w:type="auto"/>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(161)</w:t>
            </w:r>
          </w:p>
        </w:tc>
        <w:tc>
          <w:tcPr>
            <w:tcW w:w="0" w:type="auto"/>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77955896"/>
        </w:trPr>
        <w:tc>
          <w:tcPr>
            <w:tcW w:w="0" w:type="auto"/>
            <w:gridSpan w:val="3"/>
            <w:shd w:val="clear" w:color="auto" w:fill="CCEEFF"/>
            <w:tcMar>
              <w:top w:w="30" w:type="dxa"/>
              <w:left w:w="51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Net unrealized gains (losses) on investments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(3,165)</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4,234 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3,140 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77955896"/>
        </w:trPr>
        <w:tc>
          <w:tcPr>
            <w:tcW w:w="0" w:type="auto"/>
            <w:gridSpan w:val="3"/>
            <w:shd w:val="clear" w:color="auto" w:fill="FFFF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Adjustments for policyholders’ liabilities, DAC, insurance liability loss recognition and other</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1,052</w:t>
            </w:r>
            <w:r>
              <w:rPr>
                <w:rFonts w:eastAsia="Times New Roman"/>
                <w:color w:val="000000"/>
                <w:sz w:val="20"/>
                <w:szCs w:val="20"/>
              </w:rPr>
              <w:t> </w:t>
            </w:r>
          </w:p>
        </w:tc>
        <w:tc>
          <w:tcPr>
            <w:tcW w:w="0" w:type="auto"/>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(1,278)</w:t>
            </w:r>
          </w:p>
        </w:tc>
        <w:tc>
          <w:tcPr>
            <w:tcW w:w="0" w:type="auto"/>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(882)</w:t>
            </w:r>
          </w:p>
        </w:tc>
        <w:tc>
          <w:tcPr>
            <w:tcW w:w="0" w:type="auto"/>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77955896"/>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divId w:val="1125848390"/>
              <w:rPr>
                <w:rFonts w:eastAsia="Times New Roman"/>
              </w:rPr>
            </w:pPr>
            <w:r>
              <w:rPr>
                <w:rFonts w:eastAsia="Times New Roman"/>
                <w:color w:val="000000"/>
                <w:sz w:val="20"/>
                <w:szCs w:val="20"/>
              </w:rPr>
              <w:t>Change in unrealized gains (losses), net of adjustments (net of deferred income tax expense (benefit) of $(562), $786, and $595)</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(2,113)</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2,956 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2,258 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77955896"/>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Change in defined benefit plans: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277955896"/>
        </w:trPr>
        <w:tc>
          <w:tcPr>
            <w:tcW w:w="0" w:type="auto"/>
            <w:gridSpan w:val="3"/>
            <w:shd w:val="clear" w:color="auto" w:fill="CCEE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Reclassification to Net income (loss) of amortization of net prior service credit included in net periodic cost (2)</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77955896"/>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divId w:val="587006174"/>
              <w:rPr>
                <w:rFonts w:eastAsia="Times New Roman"/>
              </w:rPr>
            </w:pPr>
            <w:r>
              <w:rPr>
                <w:rFonts w:eastAsia="Times New Roman"/>
                <w:color w:val="000000"/>
                <w:sz w:val="20"/>
                <w:szCs w:val="20"/>
              </w:rPr>
              <w:t>Change in defined benefit plans (net of deferred income tax expense (benefit) of $68, $14, and $10)</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266</w:t>
            </w:r>
            <w:r>
              <w:rPr>
                <w:rFonts w:eastAsia="Times New Roman"/>
                <w:color w:val="000000"/>
                <w:sz w:val="20"/>
                <w:szCs w:val="20"/>
              </w:rPr>
              <w:t> </w:t>
            </w:r>
          </w:p>
        </w:tc>
        <w:tc>
          <w:tcPr>
            <w:tcW w:w="0" w:type="auto"/>
            <w:tcBorders>
              <w:top w:val="single" w:sz="4" w:space="0" w:color="000000"/>
            </w:tcBorders>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48 </w:t>
            </w:r>
          </w:p>
        </w:tc>
        <w:tc>
          <w:tcPr>
            <w:tcW w:w="0" w:type="auto"/>
            <w:tcBorders>
              <w:top w:val="single" w:sz="4" w:space="0" w:color="000000"/>
            </w:tcBorders>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w:t>
            </w:r>
          </w:p>
        </w:tc>
        <w:tc>
          <w:tcPr>
            <w:tcW w:w="0" w:type="auto"/>
            <w:tcBorders>
              <w:top w:val="single" w:sz="4" w:space="0" w:color="000000"/>
            </w:tcBorders>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77955896"/>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Foreign currency translation adjustments: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277955896"/>
        </w:trPr>
        <w:tc>
          <w:tcPr>
            <w:tcW w:w="0" w:type="auto"/>
            <w:gridSpan w:val="3"/>
            <w:shd w:val="clear" w:color="auto" w:fill="FFFF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Foreign currency translation gains (losses) arising during the period</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77955896"/>
        </w:trPr>
        <w:tc>
          <w:tcPr>
            <w:tcW w:w="0" w:type="auto"/>
            <w:gridSpan w:val="3"/>
            <w:shd w:val="clear" w:color="auto" w:fill="CCEE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(Gains) losses reclassified into net income (loss) during the period</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77955896"/>
        </w:trPr>
        <w:tc>
          <w:tcPr>
            <w:tcW w:w="0" w:type="auto"/>
            <w:gridSpan w:val="3"/>
            <w:tcMar>
              <w:top w:w="30" w:type="dxa"/>
              <w:left w:w="51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Foreign currency translation adjustment</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w:t>
            </w:r>
          </w:p>
        </w:tc>
        <w:tc>
          <w:tcPr>
            <w:tcW w:w="0" w:type="auto"/>
            <w:tcBorders>
              <w:top w:val="single" w:sz="4" w:space="0" w:color="000000"/>
            </w:tcBorders>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22 </w:t>
            </w:r>
          </w:p>
        </w:tc>
        <w:tc>
          <w:tcPr>
            <w:tcW w:w="0" w:type="auto"/>
            <w:tcBorders>
              <w:top w:val="single" w:sz="4" w:space="0" w:color="000000"/>
            </w:tcBorders>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5 </w:t>
            </w:r>
          </w:p>
        </w:tc>
        <w:tc>
          <w:tcPr>
            <w:tcW w:w="0" w:type="auto"/>
            <w:tcBorders>
              <w:top w:val="single" w:sz="4" w:space="0" w:color="000000"/>
            </w:tcBorders>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77955896"/>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other comprehensive income (loss), net of income taxes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(1,858)</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3,026 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2,248 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77955896"/>
        </w:trPr>
        <w:tc>
          <w:tcPr>
            <w:tcW w:w="0" w:type="auto"/>
            <w:gridSpan w:val="3"/>
            <w:shd w:val="clear" w:color="auto" w:fill="FFFF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Less: Other comprehensive income (loss) attributable to noncontrolling interest</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77955896"/>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Other comprehensive income (loss) attributable to Holdings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(1,859)</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3,019 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2,252 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ind w:hanging="720"/>
        <w:divId w:val="445782882"/>
        <w:rPr>
          <w:rFonts w:eastAsia="Times New Roman"/>
        </w:rPr>
      </w:pPr>
      <w:r>
        <w:rPr>
          <w:rFonts w:eastAsia="Times New Roman"/>
          <w:color w:val="000000"/>
          <w:sz w:val="18"/>
          <w:szCs w:val="18"/>
        </w:rPr>
        <w:t>______________</w:t>
      </w:r>
    </w:p>
    <w:p w:rsidR="00000000" w:rsidRDefault="005B0BC3">
      <w:pPr>
        <w:ind w:hanging="360"/>
        <w:divId w:val="418985430"/>
        <w:rPr>
          <w:rFonts w:eastAsia="Times New Roman"/>
        </w:rPr>
      </w:pPr>
      <w:r>
        <w:rPr>
          <w:rFonts w:eastAsia="Times New Roman"/>
          <w:color w:val="000000"/>
          <w:sz w:val="18"/>
          <w:szCs w:val="18"/>
        </w:rPr>
        <w:t>(1)See “reclassification adjustments” in Note 3 of the Notes to these Consolidated Financial Statem</w:t>
      </w:r>
      <w:r>
        <w:rPr>
          <w:rFonts w:eastAsia="Times New Roman"/>
          <w:color w:val="000000"/>
          <w:sz w:val="18"/>
          <w:szCs w:val="18"/>
        </w:rPr>
        <w:t>ents. Reclassification amounts presented net of income tax expense (benefit) of $186 million, $(174) million, and $(43) million for the years ended December 31, 2021, 2020 and 2019, respectively.</w:t>
      </w:r>
    </w:p>
    <w:p w:rsidR="00000000" w:rsidRDefault="005B0BC3">
      <w:pPr>
        <w:ind w:hanging="360"/>
        <w:divId w:val="1511488998"/>
        <w:rPr>
          <w:rFonts w:eastAsia="Times New Roman"/>
        </w:rPr>
      </w:pPr>
      <w:r>
        <w:rPr>
          <w:rFonts w:eastAsia="Times New Roman"/>
          <w:color w:val="000000"/>
          <w:sz w:val="18"/>
          <w:szCs w:val="18"/>
        </w:rPr>
        <w:t xml:space="preserve">(2)These AOCI components are included in the computation of </w:t>
      </w:r>
      <w:r>
        <w:rPr>
          <w:rFonts w:eastAsia="Times New Roman"/>
          <w:color w:val="000000"/>
          <w:sz w:val="18"/>
          <w:szCs w:val="18"/>
        </w:rPr>
        <w:t>net periodic costs (see Note 14 of the Notes to these Consolidated Financial Statement).</w:t>
      </w:r>
    </w:p>
    <w:p w:rsidR="00000000" w:rsidRDefault="005B0BC3">
      <w:pPr>
        <w:divId w:val="471099889"/>
        <w:rPr>
          <w:rFonts w:eastAsia="Times New Roman"/>
        </w:rPr>
      </w:pPr>
    </w:p>
    <w:p w:rsidR="00000000" w:rsidRDefault="005B0BC3">
      <w:pPr>
        <w:divId w:val="2011788429"/>
        <w:rPr>
          <w:rFonts w:eastAsia="Times New Roman"/>
        </w:rPr>
      </w:pPr>
      <w:r>
        <w:rPr>
          <w:rFonts w:eastAsia="Times New Roman"/>
          <w:color w:val="000000"/>
          <w:sz w:val="20"/>
          <w:szCs w:val="20"/>
        </w:rPr>
        <w:t>Investment gains and losses reclassified from AOCI to net income (loss) primarily consist of realized gains (losses) on sales and credit losses of AFS securities and</w:t>
      </w:r>
      <w:r>
        <w:rPr>
          <w:rFonts w:eastAsia="Times New Roman"/>
          <w:color w:val="000000"/>
          <w:sz w:val="20"/>
          <w:szCs w:val="20"/>
        </w:rPr>
        <w:t xml:space="preserve"> are included in total investment gains (losses), net on the consolidated statements of income (loss). Amounts reclassified from AOCI to net income (loss) as related to defined benefit plans primarily consist of amortization of net (gains) losses and net p</w:t>
      </w:r>
      <w:r>
        <w:rPr>
          <w:rFonts w:eastAsia="Times New Roman"/>
          <w:color w:val="000000"/>
          <w:sz w:val="20"/>
          <w:szCs w:val="20"/>
        </w:rPr>
        <w:t xml:space="preserve">rior service cost (credit) recognized as a component of net periodic cost and reported in compensation and benefits in the consolidated statements of income (loss). Amounts presented in the table above are net of tax. </w:t>
      </w:r>
    </w:p>
    <w:p w:rsidR="00000000" w:rsidRDefault="005B0BC3">
      <w:pPr>
        <w:jc w:val="center"/>
        <w:divId w:val="1825196783"/>
        <w:rPr>
          <w:rFonts w:eastAsia="Times New Roman"/>
        </w:rPr>
      </w:pPr>
    </w:p>
    <w:p w:rsidR="00000000" w:rsidRDefault="005B0BC3">
      <w:pPr>
        <w:jc w:val="center"/>
        <w:divId w:val="1825196783"/>
        <w:rPr>
          <w:rFonts w:eastAsia="Times New Roman"/>
        </w:rPr>
      </w:pPr>
      <w:r>
        <w:rPr>
          <w:rFonts w:eastAsia="Times New Roman"/>
          <w:color w:val="000000"/>
          <w:sz w:val="20"/>
          <w:szCs w:val="20"/>
        </w:rPr>
        <w:t>230</w:t>
      </w:r>
    </w:p>
    <w:p w:rsidR="00000000" w:rsidRDefault="005B0BC3">
      <w:pPr>
        <w:rPr>
          <w:rFonts w:eastAsia="Times New Roman"/>
        </w:rPr>
      </w:pPr>
      <w:r>
        <w:rPr>
          <w:rFonts w:eastAsia="Times New Roman"/>
        </w:rPr>
        <w:pict>
          <v:rect id="_x0000_i1268" style="width:0;height:1.5pt" o:hralign="center" o:hrstd="t" o:hr="t" fillcolor="#a0a0a0" stroked="f"/>
        </w:pict>
      </w:r>
    </w:p>
    <w:p w:rsidR="00000000" w:rsidRDefault="005B0BC3">
      <w:pPr>
        <w:jc w:val="center"/>
        <w:divId w:val="1712611094"/>
        <w:rPr>
          <w:rFonts w:eastAsia="Times New Roman"/>
        </w:rPr>
      </w:pPr>
      <w:r>
        <w:rPr>
          <w:rFonts w:eastAsia="Times New Roman"/>
          <w:b/>
          <w:bCs/>
          <w:color w:val="000000"/>
          <w:sz w:val="20"/>
          <w:szCs w:val="20"/>
        </w:rPr>
        <w:t>EQUITABLE HOLDINGS, INC.</w:t>
      </w:r>
    </w:p>
    <w:p w:rsidR="00000000" w:rsidRDefault="005B0BC3">
      <w:pPr>
        <w:jc w:val="center"/>
        <w:divId w:val="1712611094"/>
        <w:rPr>
          <w:rFonts w:eastAsia="Times New Roman"/>
        </w:rPr>
      </w:pPr>
      <w:r>
        <w:rPr>
          <w:rFonts w:eastAsia="Times New Roman"/>
          <w:b/>
          <w:bCs/>
          <w:color w:val="000000"/>
          <w:sz w:val="20"/>
          <w:szCs w:val="20"/>
        </w:rPr>
        <w:t>NOTES TO CONSOLIDATED FINANCIAL STATEMENTS, continued</w:t>
      </w:r>
    </w:p>
    <w:p w:rsidR="00000000" w:rsidRDefault="005B0BC3">
      <w:pPr>
        <w:divId w:val="1754233888"/>
        <w:rPr>
          <w:rFonts w:eastAsia="Times New Roman"/>
        </w:rPr>
      </w:pPr>
      <w:r>
        <w:rPr>
          <w:rFonts w:eastAsia="Times New Roman"/>
          <w:b/>
          <w:bCs/>
          <w:color w:val="000000"/>
          <w:sz w:val="20"/>
          <w:szCs w:val="20"/>
        </w:rPr>
        <w:t>21)</w:t>
      </w:r>
      <w:r>
        <w:rPr>
          <w:rFonts w:eastAsia="Times New Roman"/>
          <w:color w:val="000000"/>
          <w:sz w:val="20"/>
          <w:szCs w:val="20"/>
        </w:rPr>
        <w:t>    </w:t>
      </w:r>
      <w:r>
        <w:rPr>
          <w:rFonts w:eastAsia="Times New Roman"/>
          <w:b/>
          <w:bCs/>
          <w:color w:val="000000"/>
          <w:sz w:val="20"/>
          <w:szCs w:val="20"/>
        </w:rPr>
        <w:t>EARNINGS PER COMMON SHARE</w:t>
      </w:r>
    </w:p>
    <w:p w:rsidR="00000000" w:rsidRDefault="005B0BC3">
      <w:pPr>
        <w:divId w:val="1074006392"/>
        <w:rPr>
          <w:rFonts w:eastAsia="Times New Roman"/>
        </w:rPr>
      </w:pPr>
      <w:r>
        <w:rPr>
          <w:rFonts w:eastAsia="Times New Roman"/>
          <w:color w:val="000000"/>
          <w:sz w:val="20"/>
          <w:szCs w:val="20"/>
        </w:rPr>
        <w:t>The following table presents a reconciliation of net income (loss) and weighted-average common shares used in calculating basic and dilute</w:t>
      </w:r>
      <w:r>
        <w:rPr>
          <w:rFonts w:eastAsia="Times New Roman"/>
          <w:color w:val="000000"/>
          <w:sz w:val="20"/>
          <w:szCs w:val="20"/>
        </w:rPr>
        <w:t>d EPS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4981"/>
        <w:gridCol w:w="38"/>
        <w:gridCol w:w="120"/>
        <w:gridCol w:w="881"/>
        <w:gridCol w:w="36"/>
        <w:gridCol w:w="36"/>
        <w:gridCol w:w="36"/>
        <w:gridCol w:w="36"/>
        <w:gridCol w:w="120"/>
        <w:gridCol w:w="841"/>
        <w:gridCol w:w="36"/>
        <w:gridCol w:w="36"/>
        <w:gridCol w:w="36"/>
        <w:gridCol w:w="36"/>
        <w:gridCol w:w="120"/>
        <w:gridCol w:w="842"/>
        <w:gridCol w:w="36"/>
      </w:tblGrid>
      <w:tr w:rsidR="00000000">
        <w:trPr>
          <w:divId w:val="1074006392"/>
        </w:trPr>
        <w:tc>
          <w:tcPr>
            <w:tcW w:w="50" w:type="pct"/>
            <w:vAlign w:val="center"/>
            <w:hideMark/>
          </w:tcPr>
          <w:p w:rsidR="00000000" w:rsidRDefault="005B0BC3">
            <w:pPr>
              <w:rPr>
                <w:rFonts w:eastAsia="Times New Roman"/>
              </w:rPr>
            </w:pPr>
          </w:p>
        </w:tc>
        <w:tc>
          <w:tcPr>
            <w:tcW w:w="302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074006392"/>
        </w:trPr>
        <w:tc>
          <w:tcPr>
            <w:tcW w:w="0" w:type="auto"/>
            <w:gridSpan w:val="3"/>
            <w:tcMar>
              <w:top w:w="30" w:type="dxa"/>
              <w:left w:w="20" w:type="dxa"/>
              <w:bottom w:w="30" w:type="dxa"/>
              <w:right w:w="20" w:type="dxa"/>
            </w:tcMar>
            <w:vAlign w:val="bottom"/>
            <w:hideMark/>
          </w:tcPr>
          <w:p w:rsidR="00000000" w:rsidRDefault="005B0BC3">
            <w:pPr>
              <w:spacing w:after="100"/>
              <w:divId w:val="2117480822"/>
              <w:rPr>
                <w:rFonts w:eastAsia="Times New Roman"/>
              </w:rPr>
            </w:pPr>
            <w:r>
              <w:rPr>
                <w:rFonts w:eastAsia="Times New Roman"/>
                <w:b/>
                <w:bCs/>
                <w:color w:val="000000"/>
                <w:sz w:val="16"/>
                <w:szCs w:val="16"/>
              </w:rPr>
              <w:t> </w:t>
            </w:r>
          </w:p>
        </w:tc>
        <w:tc>
          <w:tcPr>
            <w:tcW w:w="0" w:type="auto"/>
            <w:gridSpan w:val="15"/>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 Ended December 31,</w:t>
            </w:r>
          </w:p>
        </w:tc>
      </w:tr>
      <w:tr w:rsidR="00000000">
        <w:trPr>
          <w:divId w:val="1074006392"/>
        </w:trPr>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bottom w:val="single" w:sz="4" w:space="0" w:color="000000"/>
            </w:tcBorders>
            <w:tcMar>
              <w:top w:w="30" w:type="dxa"/>
              <w:left w:w="87" w:type="dxa"/>
              <w:bottom w:w="30" w:type="dxa"/>
              <w:right w:w="87"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1074006392"/>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1074006392"/>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Weighted-average common shares outstanding:</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074006392"/>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divId w:val="187454564"/>
              <w:rPr>
                <w:rFonts w:eastAsia="Times New Roman"/>
              </w:rPr>
            </w:pPr>
            <w:r>
              <w:rPr>
                <w:rFonts w:eastAsia="Times New Roman"/>
                <w:color w:val="000000"/>
                <w:sz w:val="20"/>
                <w:szCs w:val="20"/>
              </w:rPr>
              <w:t>Weighted-average common shares outstanding — basic</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417.4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450.4 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493.6 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074006392"/>
        </w:trPr>
        <w:tc>
          <w:tcPr>
            <w:tcW w:w="0" w:type="auto"/>
            <w:gridSpan w:val="3"/>
            <w:shd w:val="clear" w:color="auto" w:fill="FFFF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Effect of dilutive securities:</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074006392"/>
        </w:trPr>
        <w:tc>
          <w:tcPr>
            <w:tcW w:w="0" w:type="auto"/>
            <w:gridSpan w:val="3"/>
            <w:shd w:val="clear" w:color="auto" w:fill="CCEEFF"/>
            <w:tcMar>
              <w:top w:w="30" w:type="dxa"/>
              <w:left w:w="51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Employee share awards (1)</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074006392"/>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divId w:val="868026469"/>
              <w:rPr>
                <w:rFonts w:eastAsia="Times New Roman"/>
              </w:rPr>
            </w:pPr>
            <w:r>
              <w:rPr>
                <w:rFonts w:eastAsia="Times New Roman"/>
                <w:color w:val="000000"/>
                <w:sz w:val="20"/>
                <w:szCs w:val="20"/>
              </w:rPr>
              <w:t>Weighted-average common shares outstanding — diluted (2)</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417.4</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450.4 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493.6 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074006392"/>
          <w:trHeight w:val="280"/>
        </w:trPr>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074006392"/>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Net income (loss):</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074006392"/>
        </w:trPr>
        <w:tc>
          <w:tcPr>
            <w:tcW w:w="0" w:type="auto"/>
            <w:gridSpan w:val="3"/>
            <w:shd w:val="clear" w:color="auto" w:fill="CCEE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Net income (loss)</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(24)</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(349)</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(1,467)</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074006392"/>
        </w:trPr>
        <w:tc>
          <w:tcPr>
            <w:tcW w:w="0" w:type="auto"/>
            <w:gridSpan w:val="3"/>
            <w:shd w:val="clear" w:color="auto" w:fill="FFFFFF"/>
            <w:tcMar>
              <w:top w:w="30" w:type="dxa"/>
              <w:left w:w="51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Less: Net income (loss) attributable to the noncontrolling interest</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299 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297 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074006392"/>
        </w:trPr>
        <w:tc>
          <w:tcPr>
            <w:tcW w:w="0" w:type="auto"/>
            <w:gridSpan w:val="3"/>
            <w:shd w:val="clear" w:color="auto" w:fill="CCEE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Net income (loss) attributable to Holdings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(439)</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(648)</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(1,764)</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074006392"/>
        </w:trPr>
        <w:tc>
          <w:tcPr>
            <w:tcW w:w="0" w:type="auto"/>
            <w:gridSpan w:val="3"/>
            <w:shd w:val="clear" w:color="auto" w:fill="FFFFFF"/>
            <w:tcMar>
              <w:top w:w="30" w:type="dxa"/>
              <w:left w:w="51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Less: Preferred stock dividends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074006392"/>
        </w:trPr>
        <w:tc>
          <w:tcPr>
            <w:tcW w:w="0" w:type="auto"/>
            <w:gridSpan w:val="3"/>
            <w:shd w:val="clear" w:color="auto" w:fill="CCEE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Net income (loss) available to Holdings’ common shareholders</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(518)</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(701)</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(1,764)</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074006392"/>
          <w:trHeight w:val="280"/>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074006392"/>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EPS:</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074006392"/>
        </w:trPr>
        <w:tc>
          <w:tcPr>
            <w:tcW w:w="0" w:type="auto"/>
            <w:gridSpan w:val="3"/>
            <w:shd w:val="clear" w:color="auto" w:fill="FFFF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Basic</w:t>
            </w: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(1.24)</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(1.56)</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(3.57)</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074006392"/>
        </w:trPr>
        <w:tc>
          <w:tcPr>
            <w:tcW w:w="0" w:type="auto"/>
            <w:gridSpan w:val="3"/>
            <w:shd w:val="clear" w:color="auto" w:fill="CCEE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Diluted</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(1.24)</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(1.56)</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(3.57)</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ind w:hanging="720"/>
        <w:divId w:val="1498226064"/>
        <w:rPr>
          <w:rFonts w:eastAsia="Times New Roman"/>
        </w:rPr>
      </w:pPr>
      <w:r>
        <w:rPr>
          <w:rFonts w:eastAsia="Times New Roman"/>
          <w:color w:val="000000"/>
          <w:sz w:val="18"/>
          <w:szCs w:val="18"/>
        </w:rPr>
        <w:t>_____________</w:t>
      </w:r>
    </w:p>
    <w:p w:rsidR="00000000" w:rsidRDefault="005B0BC3">
      <w:pPr>
        <w:ind w:hanging="360"/>
        <w:divId w:val="534467941"/>
        <w:rPr>
          <w:rFonts w:eastAsia="Times New Roman"/>
        </w:rPr>
      </w:pPr>
      <w:r>
        <w:rPr>
          <w:rFonts w:eastAsia="Times New Roman"/>
          <w:color w:val="000000"/>
          <w:sz w:val="18"/>
          <w:szCs w:val="18"/>
        </w:rPr>
        <w:t>(1)Calculated using the treasury stock method.</w:t>
      </w:r>
    </w:p>
    <w:p w:rsidR="00000000" w:rsidRDefault="005B0BC3">
      <w:pPr>
        <w:ind w:hanging="360"/>
        <w:divId w:val="713653741"/>
        <w:rPr>
          <w:rFonts w:eastAsia="Times New Roman"/>
        </w:rPr>
      </w:pPr>
      <w:r>
        <w:rPr>
          <w:rFonts w:eastAsia="Times New Roman"/>
          <w:color w:val="000000"/>
          <w:sz w:val="18"/>
          <w:szCs w:val="18"/>
        </w:rPr>
        <w:t xml:space="preserve">(2)Due to net loss for the </w:t>
      </w:r>
      <w:r>
        <w:rPr>
          <w:rFonts w:eastAsia="Times New Roman"/>
          <w:color w:val="000000"/>
          <w:sz w:val="20"/>
          <w:szCs w:val="20"/>
        </w:rPr>
        <w:t>years ended December 31, 2021, 2020 and 2019</w:t>
      </w:r>
      <w:r>
        <w:rPr>
          <w:rFonts w:eastAsia="Times New Roman"/>
          <w:color w:val="000000"/>
          <w:sz w:val="18"/>
          <w:szCs w:val="18"/>
        </w:rPr>
        <w:t>, approximately 3.8 million, 1.7 mil</w:t>
      </w:r>
      <w:r>
        <w:rPr>
          <w:rFonts w:eastAsia="Times New Roman"/>
          <w:color w:val="000000"/>
          <w:sz w:val="18"/>
          <w:szCs w:val="18"/>
        </w:rPr>
        <w:t>lion and 0.8 million shares were excluded from the diluted EPS calculation.</w:t>
      </w:r>
    </w:p>
    <w:p w:rsidR="00000000" w:rsidRDefault="005B0BC3">
      <w:pPr>
        <w:ind w:firstLine="360"/>
        <w:divId w:val="750275402"/>
        <w:rPr>
          <w:rFonts w:eastAsia="Times New Roman"/>
        </w:rPr>
      </w:pPr>
    </w:p>
    <w:p w:rsidR="00000000" w:rsidRDefault="005B0BC3">
      <w:pPr>
        <w:divId w:val="2115123580"/>
        <w:rPr>
          <w:rFonts w:eastAsia="Times New Roman"/>
        </w:rPr>
      </w:pPr>
      <w:r>
        <w:rPr>
          <w:rFonts w:eastAsia="Times New Roman"/>
          <w:color w:val="000000"/>
          <w:sz w:val="20"/>
          <w:szCs w:val="20"/>
        </w:rPr>
        <w:t xml:space="preserve">For the years ended December 31, 2021, 2020 and 2019 , 8.2 million, 10.0 million, and 6.2 million of outstanding stock awards, respectively, were not included in the computation </w:t>
      </w:r>
      <w:r>
        <w:rPr>
          <w:rFonts w:eastAsia="Times New Roman"/>
          <w:color w:val="000000"/>
          <w:sz w:val="20"/>
          <w:szCs w:val="20"/>
        </w:rPr>
        <w:t>of diluted EPS because their effect was anti-dilutive.</w:t>
      </w:r>
    </w:p>
    <w:p w:rsidR="00000000" w:rsidRDefault="005B0BC3">
      <w:pPr>
        <w:divId w:val="1381243723"/>
        <w:rPr>
          <w:rFonts w:eastAsia="Times New Roman"/>
        </w:rPr>
      </w:pPr>
    </w:p>
    <w:p w:rsidR="00000000" w:rsidRDefault="005B0BC3">
      <w:pPr>
        <w:divId w:val="236478545"/>
        <w:rPr>
          <w:rFonts w:eastAsia="Times New Roman"/>
        </w:rPr>
      </w:pPr>
    </w:p>
    <w:p w:rsidR="00000000" w:rsidRDefault="005B0BC3">
      <w:pPr>
        <w:divId w:val="653027789"/>
        <w:rPr>
          <w:rFonts w:eastAsia="Times New Roman"/>
        </w:rPr>
      </w:pPr>
      <w:r>
        <w:rPr>
          <w:rFonts w:eastAsia="Times New Roman"/>
          <w:b/>
          <w:bCs/>
          <w:color w:val="000000"/>
          <w:sz w:val="20"/>
          <w:szCs w:val="20"/>
        </w:rPr>
        <w:t xml:space="preserve">22)    REDEEMABLE NONCONTROLLING INTEREST </w:t>
      </w:r>
    </w:p>
    <w:p w:rsidR="00000000" w:rsidRDefault="005B0BC3">
      <w:pPr>
        <w:divId w:val="315764700"/>
        <w:rPr>
          <w:rFonts w:eastAsia="Times New Roman"/>
        </w:rPr>
      </w:pPr>
      <w:r>
        <w:rPr>
          <w:rFonts w:eastAsia="Times New Roman"/>
          <w:color w:val="000000"/>
          <w:sz w:val="20"/>
          <w:szCs w:val="20"/>
        </w:rPr>
        <w:t>The changes in the components of redeemable noncontrolling interests are presented in the table that follows: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4108"/>
        <w:gridCol w:w="38"/>
        <w:gridCol w:w="36"/>
        <w:gridCol w:w="211"/>
        <w:gridCol w:w="211"/>
        <w:gridCol w:w="211"/>
        <w:gridCol w:w="120"/>
        <w:gridCol w:w="850"/>
        <w:gridCol w:w="36"/>
        <w:gridCol w:w="36"/>
        <w:gridCol w:w="36"/>
        <w:gridCol w:w="36"/>
        <w:gridCol w:w="120"/>
        <w:gridCol w:w="850"/>
        <w:gridCol w:w="36"/>
        <w:gridCol w:w="36"/>
        <w:gridCol w:w="36"/>
        <w:gridCol w:w="36"/>
        <w:gridCol w:w="120"/>
        <w:gridCol w:w="852"/>
        <w:gridCol w:w="36"/>
        <w:gridCol w:w="36"/>
        <w:gridCol w:w="36"/>
        <w:gridCol w:w="36"/>
        <w:gridCol w:w="36"/>
        <w:gridCol w:w="36"/>
        <w:gridCol w:w="36"/>
      </w:tblGrid>
      <w:tr w:rsidR="00000000">
        <w:trPr>
          <w:divId w:val="1595702574"/>
          <w:jc w:val="center"/>
        </w:trPr>
        <w:tc>
          <w:tcPr>
            <w:tcW w:w="50" w:type="pct"/>
            <w:vAlign w:val="center"/>
            <w:hideMark/>
          </w:tcPr>
          <w:p w:rsidR="00000000" w:rsidRDefault="005B0BC3">
            <w:pPr>
              <w:rPr>
                <w:rFonts w:eastAsia="Times New Roman"/>
              </w:rPr>
            </w:pPr>
          </w:p>
        </w:tc>
        <w:tc>
          <w:tcPr>
            <w:tcW w:w="284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1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595702574"/>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Years Ended December 31,</w:t>
            </w:r>
          </w:p>
        </w:tc>
        <w:tc>
          <w:tcPr>
            <w:tcW w:w="0" w:type="auto"/>
            <w:gridSpan w:val="3"/>
            <w:vAlign w:val="center"/>
            <w:hideMark/>
          </w:tcPr>
          <w:p w:rsidR="00000000" w:rsidRDefault="005B0BC3">
            <w:pPr>
              <w:spacing w:after="100"/>
              <w:jc w:val="center"/>
              <w:rPr>
                <w:rFonts w:eastAsia="Times New Roman"/>
              </w:rPr>
            </w:pPr>
          </w:p>
        </w:tc>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595702574"/>
          <w:jc w:val="center"/>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16"/>
                <w:szCs w:val="16"/>
              </w:rPr>
              <w:t> </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2020</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8" w:space="0" w:color="000000"/>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2019</w:t>
            </w:r>
          </w:p>
        </w:tc>
        <w:tc>
          <w:tcPr>
            <w:tcW w:w="0" w:type="auto"/>
            <w:gridSpan w:val="3"/>
            <w:vAlign w:val="center"/>
            <w:hideMark/>
          </w:tcPr>
          <w:p w:rsidR="00000000" w:rsidRDefault="005B0BC3">
            <w:pPr>
              <w:spacing w:after="100"/>
              <w:jc w:val="center"/>
              <w:rPr>
                <w:rFonts w:eastAsia="Times New Roman"/>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595702574"/>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(in millions)</w:t>
            </w:r>
          </w:p>
        </w:tc>
        <w:tc>
          <w:tcPr>
            <w:tcW w:w="0" w:type="auto"/>
            <w:gridSpan w:val="3"/>
            <w:vAlign w:val="center"/>
            <w:hideMark/>
          </w:tcPr>
          <w:p w:rsidR="00000000" w:rsidRDefault="005B0BC3">
            <w:pPr>
              <w:spacing w:after="100"/>
              <w:jc w:val="center"/>
              <w:rPr>
                <w:rFonts w:eastAsia="Times New Roman"/>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595702574"/>
          <w:jc w:val="center"/>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Balance, beginning of period</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365 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187 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595702574"/>
          <w:jc w:val="center"/>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Net earnings (loss) attributable to redeemable noncontrolling interests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595702574"/>
          <w:jc w:val="center"/>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Purchase/change of redeemable noncontrolling interests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320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(219)</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595702574"/>
          <w:jc w:val="center"/>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Balance, end of period</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468</w:t>
            </w:r>
            <w:r>
              <w:rPr>
                <w:rFonts w:eastAsia="Times New Roman"/>
                <w:color w:val="000000"/>
                <w:sz w:val="20"/>
                <w:szCs w:val="20"/>
              </w:rPr>
              <w:t>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143 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365 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bl>
    <w:p w:rsidR="00000000" w:rsidRDefault="005B0BC3">
      <w:pPr>
        <w:divId w:val="2030719945"/>
        <w:rPr>
          <w:rFonts w:eastAsia="Times New Roman"/>
        </w:rPr>
      </w:pPr>
    </w:p>
    <w:p w:rsidR="00000000" w:rsidRDefault="005B0BC3">
      <w:pPr>
        <w:divId w:val="1517035312"/>
        <w:rPr>
          <w:rFonts w:eastAsia="Times New Roman"/>
        </w:rPr>
      </w:pPr>
      <w:r>
        <w:rPr>
          <w:rFonts w:eastAsia="Times New Roman"/>
          <w:b/>
          <w:bCs/>
          <w:color w:val="000000"/>
          <w:sz w:val="20"/>
          <w:szCs w:val="20"/>
        </w:rPr>
        <w:t xml:space="preserve">23)     HELD-FOR-SALE: </w:t>
      </w:r>
    </w:p>
    <w:p w:rsidR="00000000" w:rsidRDefault="005B0BC3">
      <w:pPr>
        <w:divId w:val="379939798"/>
        <w:rPr>
          <w:rFonts w:eastAsia="Times New Roman"/>
        </w:rPr>
      </w:pPr>
      <w:r>
        <w:rPr>
          <w:rFonts w:eastAsia="Times New Roman"/>
          <w:color w:val="000000"/>
          <w:sz w:val="20"/>
          <w:szCs w:val="20"/>
        </w:rPr>
        <w:t>Assets and liabilities related to the business classified as HFS are separately reported in the Consolidated Balance Sheets beginning in the period in which the business is classified as HFS.</w:t>
      </w:r>
    </w:p>
    <w:p w:rsidR="00000000" w:rsidRDefault="005B0BC3">
      <w:pPr>
        <w:jc w:val="center"/>
        <w:divId w:val="662244097"/>
        <w:rPr>
          <w:rFonts w:eastAsia="Times New Roman"/>
        </w:rPr>
      </w:pPr>
    </w:p>
    <w:p w:rsidR="00000000" w:rsidRDefault="005B0BC3">
      <w:pPr>
        <w:jc w:val="center"/>
        <w:divId w:val="662244097"/>
        <w:rPr>
          <w:rFonts w:eastAsia="Times New Roman"/>
        </w:rPr>
      </w:pPr>
      <w:r>
        <w:rPr>
          <w:rFonts w:eastAsia="Times New Roman"/>
          <w:color w:val="000000"/>
          <w:sz w:val="20"/>
          <w:szCs w:val="20"/>
        </w:rPr>
        <w:t>231</w:t>
      </w:r>
    </w:p>
    <w:p w:rsidR="00000000" w:rsidRDefault="005B0BC3">
      <w:pPr>
        <w:rPr>
          <w:rFonts w:eastAsia="Times New Roman"/>
        </w:rPr>
      </w:pPr>
      <w:r>
        <w:rPr>
          <w:rFonts w:eastAsia="Times New Roman"/>
        </w:rPr>
        <w:pict>
          <v:rect id="_x0000_i1269" style="width:0;height:1.5pt" o:hralign="center" o:hrstd="t" o:hr="t" fillcolor="#a0a0a0" stroked="f"/>
        </w:pict>
      </w:r>
    </w:p>
    <w:p w:rsidR="00000000" w:rsidRDefault="005B0BC3">
      <w:pPr>
        <w:jc w:val="center"/>
        <w:divId w:val="1943947891"/>
        <w:rPr>
          <w:rFonts w:eastAsia="Times New Roman"/>
        </w:rPr>
      </w:pPr>
      <w:r>
        <w:rPr>
          <w:rFonts w:eastAsia="Times New Roman"/>
          <w:b/>
          <w:bCs/>
          <w:color w:val="000000"/>
          <w:sz w:val="20"/>
          <w:szCs w:val="20"/>
        </w:rPr>
        <w:t xml:space="preserve">EQUITABLE HOLDINGS, </w:t>
      </w:r>
      <w:r>
        <w:rPr>
          <w:rFonts w:eastAsia="Times New Roman"/>
          <w:b/>
          <w:bCs/>
          <w:color w:val="000000"/>
          <w:sz w:val="20"/>
          <w:szCs w:val="20"/>
        </w:rPr>
        <w:t>INC.</w:t>
      </w:r>
    </w:p>
    <w:p w:rsidR="00000000" w:rsidRDefault="005B0BC3">
      <w:pPr>
        <w:jc w:val="center"/>
        <w:divId w:val="1943947891"/>
        <w:rPr>
          <w:rFonts w:eastAsia="Times New Roman"/>
        </w:rPr>
      </w:pPr>
      <w:r>
        <w:rPr>
          <w:rFonts w:eastAsia="Times New Roman"/>
          <w:b/>
          <w:bCs/>
          <w:color w:val="000000"/>
          <w:sz w:val="20"/>
          <w:szCs w:val="20"/>
        </w:rPr>
        <w:t>NOTES TO CONSOLIDATED FINANCIAL STATEMENTS, continued</w:t>
      </w:r>
    </w:p>
    <w:p w:rsidR="00000000" w:rsidRDefault="005B0BC3">
      <w:pPr>
        <w:jc w:val="both"/>
        <w:divId w:val="874343266"/>
        <w:rPr>
          <w:rFonts w:eastAsia="Times New Roman"/>
        </w:rPr>
      </w:pPr>
      <w:r>
        <w:rPr>
          <w:rFonts w:eastAsia="Times New Roman"/>
          <w:b/>
          <w:bCs/>
          <w:i/>
          <w:iCs/>
          <w:color w:val="000000"/>
          <w:sz w:val="20"/>
          <w:szCs w:val="20"/>
          <w:shd w:val="clear" w:color="auto" w:fill="FFFFFF"/>
        </w:rPr>
        <w:t xml:space="preserve">Corporate Solutions Life Reinsurance Company </w:t>
      </w:r>
    </w:p>
    <w:p w:rsidR="00000000" w:rsidRDefault="005B0BC3">
      <w:pPr>
        <w:divId w:val="1019619184"/>
        <w:rPr>
          <w:rFonts w:eastAsia="Times New Roman"/>
        </w:rPr>
      </w:pPr>
      <w:r>
        <w:rPr>
          <w:rFonts w:eastAsia="Times New Roman"/>
          <w:color w:val="000000"/>
          <w:sz w:val="20"/>
          <w:szCs w:val="20"/>
          <w:shd w:val="clear" w:color="auto" w:fill="FFFFFF"/>
        </w:rPr>
        <w:t>On</w:t>
      </w:r>
      <w:r>
        <w:rPr>
          <w:rFonts w:eastAsia="Times New Roman"/>
          <w:color w:val="000000"/>
          <w:sz w:val="20"/>
          <w:szCs w:val="20"/>
        </w:rPr>
        <w:t xml:space="preserve"> October 27, 2020, Holdings entered into a Master Transaction Agreement with VIAC. See Note 1 of the Notes to these Consolidated Financial Statements</w:t>
      </w:r>
      <w:r>
        <w:rPr>
          <w:rFonts w:eastAsia="Times New Roman"/>
          <w:color w:val="000000"/>
          <w:sz w:val="20"/>
          <w:szCs w:val="20"/>
        </w:rPr>
        <w:t xml:space="preserve"> for further information. As a resu</w:t>
      </w:r>
      <w:r>
        <w:rPr>
          <w:rFonts w:eastAsia="Times New Roman"/>
          <w:color w:val="000000"/>
          <w:sz w:val="20"/>
          <w:szCs w:val="20"/>
          <w:shd w:val="clear" w:color="auto" w:fill="FFFFFF"/>
        </w:rPr>
        <w:t>lt of the agreement, an estimated impairment loss of $15 million, net of income tax, was recorded for the year ended December 31, 2020 and is included in investment gains (losses), net in the consolidated statements of in</w:t>
      </w:r>
      <w:r>
        <w:rPr>
          <w:rFonts w:eastAsia="Times New Roman"/>
          <w:color w:val="000000"/>
          <w:sz w:val="20"/>
          <w:szCs w:val="20"/>
          <w:shd w:val="clear" w:color="auto" w:fill="FFFFFF"/>
        </w:rPr>
        <w:t>come (los</w:t>
      </w:r>
      <w:r>
        <w:rPr>
          <w:rFonts w:eastAsia="Times New Roman"/>
          <w:color w:val="000000"/>
          <w:sz w:val="20"/>
          <w:szCs w:val="20"/>
        </w:rPr>
        <w:t xml:space="preserve">s). The transaction closed on June 1, 2021 with a gain on sale, net of income tax, of less than $1 million. Accordingly, the Company recovered the impairment previously recorded, thus reflecting a gain of </w:t>
      </w:r>
      <w:r>
        <w:rPr>
          <w:rFonts w:eastAsia="Times New Roman"/>
          <w:color w:val="000000"/>
          <w:sz w:val="20"/>
          <w:szCs w:val="20"/>
          <w:shd w:val="clear" w:color="auto" w:fill="FFFFFF"/>
        </w:rPr>
        <w:t xml:space="preserve">$15 million for the </w:t>
      </w:r>
      <w:r>
        <w:rPr>
          <w:rFonts w:eastAsia="Times New Roman"/>
          <w:color w:val="000000"/>
          <w:sz w:val="20"/>
          <w:szCs w:val="20"/>
        </w:rPr>
        <w:t>year ended December 31</w:t>
      </w:r>
      <w:r>
        <w:rPr>
          <w:rFonts w:eastAsia="Times New Roman"/>
          <w:color w:val="000000"/>
          <w:sz w:val="20"/>
          <w:szCs w:val="20"/>
        </w:rPr>
        <w:t>, 2021.</w:t>
      </w:r>
    </w:p>
    <w:p w:rsidR="00000000" w:rsidRDefault="005B0BC3">
      <w:pPr>
        <w:divId w:val="373164407"/>
        <w:rPr>
          <w:rFonts w:eastAsia="Times New Roman"/>
        </w:rPr>
      </w:pPr>
      <w:r>
        <w:rPr>
          <w:rFonts w:eastAsia="Times New Roman"/>
          <w:color w:val="000000"/>
          <w:sz w:val="20"/>
          <w:szCs w:val="20"/>
        </w:rPr>
        <w:t>As of December 31, 2020, assets of CS Life and CS Life Re to be sold, net of the estimated impairment loss accrual, was $470 </w:t>
      </w:r>
      <w:r>
        <w:rPr>
          <w:rFonts w:eastAsia="Times New Roman"/>
          <w:color w:val="000000"/>
          <w:sz w:val="20"/>
          <w:szCs w:val="20"/>
        </w:rPr>
        <w:t>million which is reported in assets HFS and total liabilities of $322 million was reported in liabilities HFS. The assets and liabilities HFS are reported in the Corporate and Other segment. On June 1, 2021, Holdings completed the sale of CS Life and CS Li</w:t>
      </w:r>
      <w:r>
        <w:rPr>
          <w:rFonts w:eastAsia="Times New Roman"/>
          <w:color w:val="000000"/>
          <w:sz w:val="20"/>
          <w:szCs w:val="20"/>
        </w:rPr>
        <w:t xml:space="preserve">fe Re. Refer to Note 1 </w:t>
      </w:r>
      <w:r>
        <w:rPr>
          <w:rFonts w:eastAsia="Times New Roman"/>
          <w:color w:val="000000"/>
          <w:sz w:val="18"/>
          <w:szCs w:val="18"/>
        </w:rPr>
        <w:t>of the Notes to these Consolidated Financial Statement</w:t>
      </w:r>
      <w:r>
        <w:rPr>
          <w:rFonts w:eastAsia="Times New Roman"/>
          <w:color w:val="000000"/>
          <w:sz w:val="20"/>
          <w:szCs w:val="20"/>
        </w:rPr>
        <w:t xml:space="preserve"> further details. </w:t>
      </w:r>
    </w:p>
    <w:p w:rsidR="00000000" w:rsidRDefault="005B0BC3">
      <w:pPr>
        <w:divId w:val="666205089"/>
        <w:rPr>
          <w:rFonts w:eastAsia="Times New Roman"/>
        </w:rPr>
      </w:pPr>
      <w:r>
        <w:rPr>
          <w:rFonts w:eastAsia="Times New Roman"/>
          <w:color w:val="000000"/>
          <w:sz w:val="20"/>
          <w:szCs w:val="20"/>
        </w:rPr>
        <w:t>The following table summarizes the components of assets and liabilities HFS on the Consolidated Balance Sheets as of December 31, 2020:</w:t>
      </w:r>
    </w:p>
    <w:p w:rsidR="00000000" w:rsidRDefault="005B0BC3">
      <w:pPr>
        <w:divId w:val="19403212"/>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8"/>
        <w:gridCol w:w="6786"/>
        <w:gridCol w:w="38"/>
        <w:gridCol w:w="36"/>
        <w:gridCol w:w="36"/>
        <w:gridCol w:w="121"/>
        <w:gridCol w:w="1061"/>
        <w:gridCol w:w="36"/>
        <w:gridCol w:w="36"/>
        <w:gridCol w:w="36"/>
        <w:gridCol w:w="36"/>
        <w:gridCol w:w="36"/>
      </w:tblGrid>
      <w:tr w:rsidR="00000000">
        <w:trPr>
          <w:divId w:val="1713848431"/>
        </w:trPr>
        <w:tc>
          <w:tcPr>
            <w:tcW w:w="50" w:type="pct"/>
            <w:vAlign w:val="center"/>
            <w:hideMark/>
          </w:tcPr>
          <w:p w:rsidR="00000000" w:rsidRDefault="005B0BC3">
            <w:pPr>
              <w:rPr>
                <w:rFonts w:eastAsia="Times New Roman"/>
              </w:rPr>
            </w:pPr>
          </w:p>
        </w:tc>
        <w:tc>
          <w:tcPr>
            <w:tcW w:w="421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7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713848431"/>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December 31,</w:t>
            </w:r>
          </w:p>
        </w:tc>
        <w:tc>
          <w:tcPr>
            <w:tcW w:w="0" w:type="auto"/>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713848431"/>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713848431"/>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c>
          <w:tcPr>
            <w:tcW w:w="0" w:type="auto"/>
            <w:vAlign w:val="center"/>
            <w:hideMark/>
          </w:tcPr>
          <w:p w:rsidR="00000000" w:rsidRDefault="005B0BC3">
            <w:pPr>
              <w:spacing w:after="100"/>
              <w:jc w:val="cente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713848431"/>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Assets: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713848431"/>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Fixed maturity securities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235 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713848431"/>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Trading securities, at fair value</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189 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713848431"/>
        </w:trPr>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713848431"/>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Other invested assets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713848431"/>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Cash and cash equivalents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713848431"/>
        </w:trPr>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713848431"/>
        </w:trPr>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713848431"/>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Other assets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713848431"/>
        </w:trPr>
        <w:tc>
          <w:tcPr>
            <w:tcW w:w="0" w:type="auto"/>
            <w:gridSpan w:val="3"/>
            <w:shd w:val="clear" w:color="auto" w:fill="FFFF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Assets held-for-sale</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713848431"/>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Less: Loss accrual</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(19)</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713848431"/>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Total assets held-for-sale</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713848431"/>
          <w:trHeight w:val="300"/>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713848431"/>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Liabilities: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713848431"/>
        </w:trPr>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713848431"/>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Future policy benefits and other policyholder's liabilities: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320 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713848431"/>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Broker-dealer related payables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713848431"/>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Other liabilities</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rPr>
          <w:divId w:val="1713848431"/>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Total liabilities held-for-sale</w:t>
            </w:r>
          </w:p>
        </w:tc>
        <w:tc>
          <w:tcPr>
            <w:tcW w:w="0" w:type="auto"/>
            <w:vAlign w:val="center"/>
            <w:hideMark/>
          </w:tcPr>
          <w:p w:rsidR="00000000" w:rsidRDefault="005B0BC3">
            <w:pPr>
              <w:spacing w:after="100"/>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322 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vAlign w:val="center"/>
            <w:hideMark/>
          </w:tcPr>
          <w:p w:rsidR="00000000" w:rsidRDefault="005B0BC3">
            <w:pPr>
              <w:spacing w:after="100"/>
              <w:jc w:val="right"/>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bl>
    <w:tbl>
      <w:tblPr>
        <w:tblW w:w="80" w:type="pct"/>
        <w:tblCellMar>
          <w:top w:w="15" w:type="dxa"/>
          <w:left w:w="15" w:type="dxa"/>
          <w:bottom w:w="15" w:type="dxa"/>
          <w:right w:w="15" w:type="dxa"/>
        </w:tblCellMar>
        <w:tblLook w:val="04A0" w:firstRow="1" w:lastRow="0" w:firstColumn="1" w:lastColumn="0" w:noHBand="0" w:noVBand="1"/>
      </w:tblPr>
      <w:tblGrid>
        <w:gridCol w:w="960"/>
        <w:gridCol w:w="1440"/>
        <w:gridCol w:w="1440"/>
        <w:gridCol w:w="480"/>
        <w:gridCol w:w="480"/>
        <w:gridCol w:w="480"/>
        <w:gridCol w:w="144"/>
        <w:gridCol w:w="144"/>
        <w:gridCol w:w="144"/>
      </w:tblGrid>
      <w:tr w:rsidR="00000000">
        <w:tc>
          <w:tcPr>
            <w:tcW w:w="0" w:type="auto"/>
            <w:vAlign w:val="center"/>
            <w:hideMark/>
          </w:tcPr>
          <w:p w:rsidR="00000000" w:rsidRDefault="005B0BC3">
            <w:pPr>
              <w:rPr>
                <w:rFonts w:eastAsia="Times New Roman"/>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94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r>
      <w:tr w:rsidR="00000000">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bl>
    <w:p w:rsidR="00000000" w:rsidRDefault="005B0BC3">
      <w:pPr>
        <w:divId w:val="1950502218"/>
        <w:rPr>
          <w:rFonts w:eastAsia="Times New Roman"/>
        </w:rPr>
      </w:pPr>
      <w:r>
        <w:rPr>
          <w:rFonts w:eastAsia="Times New Roman"/>
          <w:b/>
          <w:bCs/>
          <w:color w:val="000000"/>
          <w:sz w:val="20"/>
          <w:szCs w:val="20"/>
        </w:rPr>
        <w:t>24)     SUBSEQUENT EVENTS</w:t>
      </w:r>
    </w:p>
    <w:p w:rsidR="00000000" w:rsidRDefault="005B0BC3">
      <w:pPr>
        <w:divId w:val="932249787"/>
        <w:rPr>
          <w:rFonts w:eastAsia="Times New Roman"/>
        </w:rPr>
      </w:pPr>
      <w:r>
        <w:rPr>
          <w:rFonts w:eastAsia="Times New Roman"/>
          <w:b/>
          <w:bCs/>
          <w:color w:val="000000"/>
          <w:sz w:val="20"/>
          <w:szCs w:val="20"/>
        </w:rPr>
        <w:t>Share Repurchase Program</w:t>
      </w:r>
    </w:p>
    <w:p w:rsidR="00000000" w:rsidRDefault="005B0BC3">
      <w:pPr>
        <w:divId w:val="446705205"/>
        <w:rPr>
          <w:rFonts w:eastAsia="Times New Roman"/>
        </w:rPr>
      </w:pPr>
      <w:r>
        <w:rPr>
          <w:rFonts w:eastAsia="Times New Roman"/>
          <w:color w:val="000000"/>
          <w:sz w:val="20"/>
          <w:szCs w:val="20"/>
        </w:rPr>
        <w:t>On February 9, 2022, the Company’</w:t>
      </w:r>
      <w:r>
        <w:rPr>
          <w:rFonts w:eastAsia="Times New Roman"/>
          <w:color w:val="000000"/>
          <w:sz w:val="20"/>
          <w:szCs w:val="20"/>
        </w:rPr>
        <w:t>s Board of Directors authorized a new $1.2 billion share repurchase program. Under this program, the Company may, from time to time purchase shares of its common stock through various means. The Company may choose to suspend or discontinue the repurchase p</w:t>
      </w:r>
      <w:r>
        <w:rPr>
          <w:rFonts w:eastAsia="Times New Roman"/>
          <w:color w:val="000000"/>
          <w:sz w:val="20"/>
          <w:szCs w:val="20"/>
        </w:rPr>
        <w:t>rogram at any time. The repurchase program does not obligate the Company to purchase any particular number of shares.</w:t>
      </w:r>
    </w:p>
    <w:p w:rsidR="00000000" w:rsidRDefault="005B0BC3">
      <w:pPr>
        <w:divId w:val="969045646"/>
        <w:rPr>
          <w:rFonts w:eastAsia="Times New Roman"/>
        </w:rPr>
      </w:pPr>
    </w:p>
    <w:p w:rsidR="00000000" w:rsidRDefault="005B0BC3">
      <w:pPr>
        <w:divId w:val="1246576169"/>
        <w:rPr>
          <w:rFonts w:eastAsia="Times New Roman"/>
        </w:rPr>
      </w:pPr>
    </w:p>
    <w:p w:rsidR="00000000" w:rsidRDefault="005B0BC3">
      <w:pPr>
        <w:jc w:val="center"/>
        <w:rPr>
          <w:rFonts w:eastAsia="Times New Roman"/>
        </w:rPr>
      </w:pPr>
    </w:p>
    <w:p w:rsidR="00000000" w:rsidRDefault="005B0BC3">
      <w:pPr>
        <w:jc w:val="center"/>
        <w:divId w:val="1105735913"/>
        <w:rPr>
          <w:rFonts w:eastAsia="Times New Roman"/>
        </w:rPr>
      </w:pPr>
    </w:p>
    <w:p w:rsidR="00000000" w:rsidRDefault="005B0BC3">
      <w:pPr>
        <w:jc w:val="center"/>
        <w:divId w:val="1105735913"/>
        <w:rPr>
          <w:rFonts w:eastAsia="Times New Roman"/>
        </w:rPr>
      </w:pPr>
      <w:r>
        <w:rPr>
          <w:rFonts w:eastAsia="Times New Roman"/>
          <w:color w:val="000000"/>
          <w:sz w:val="20"/>
          <w:szCs w:val="20"/>
        </w:rPr>
        <w:t>232</w:t>
      </w:r>
    </w:p>
    <w:p w:rsidR="00000000" w:rsidRDefault="005B0BC3">
      <w:pPr>
        <w:rPr>
          <w:rFonts w:eastAsia="Times New Roman"/>
        </w:rPr>
      </w:pPr>
      <w:r>
        <w:rPr>
          <w:rFonts w:eastAsia="Times New Roman"/>
        </w:rPr>
        <w:pict>
          <v:rect id="_x0000_i1270" style="width:0;height:1.5pt" o:hralign="center" o:hrstd="t" o:hr="t" fillcolor="#a0a0a0" stroked="f"/>
        </w:pict>
      </w:r>
    </w:p>
    <w:p w:rsidR="00000000" w:rsidRDefault="005B0BC3">
      <w:pPr>
        <w:divId w:val="1411193514"/>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jc w:val="center"/>
        <w:divId w:val="2088577773"/>
        <w:rPr>
          <w:rFonts w:eastAsia="Times New Roman"/>
        </w:rPr>
      </w:pPr>
    </w:p>
    <w:p w:rsidR="00000000" w:rsidRDefault="005B0BC3">
      <w:pPr>
        <w:jc w:val="center"/>
        <w:rPr>
          <w:rFonts w:eastAsia="Times New Roman"/>
        </w:rPr>
      </w:pPr>
      <w:r>
        <w:rPr>
          <w:rFonts w:eastAsia="Times New Roman"/>
          <w:b/>
          <w:bCs/>
          <w:color w:val="000000"/>
          <w:sz w:val="20"/>
          <w:szCs w:val="20"/>
        </w:rPr>
        <w:t xml:space="preserve">EQUITABLE </w:t>
      </w:r>
      <w:r>
        <w:rPr>
          <w:rFonts w:eastAsia="Times New Roman"/>
          <w:b/>
          <w:bCs/>
          <w:color w:val="000000"/>
          <w:sz w:val="20"/>
          <w:szCs w:val="20"/>
        </w:rPr>
        <w:t xml:space="preserve">HOLDINGS, INC. </w:t>
      </w:r>
    </w:p>
    <w:p w:rsidR="00000000" w:rsidRDefault="005B0BC3">
      <w:pPr>
        <w:jc w:val="center"/>
        <w:rPr>
          <w:rFonts w:eastAsia="Times New Roman"/>
        </w:rPr>
      </w:pPr>
      <w:r>
        <w:rPr>
          <w:rFonts w:eastAsia="Times New Roman"/>
          <w:b/>
          <w:bCs/>
          <w:color w:val="000000"/>
          <w:sz w:val="20"/>
          <w:szCs w:val="20"/>
        </w:rPr>
        <w:t>SCHEDULE I</w:t>
      </w:r>
    </w:p>
    <w:p w:rsidR="00000000" w:rsidRDefault="005B0BC3">
      <w:pPr>
        <w:jc w:val="center"/>
        <w:rPr>
          <w:rFonts w:eastAsia="Times New Roman"/>
        </w:rPr>
      </w:pPr>
      <w:r>
        <w:rPr>
          <w:rFonts w:eastAsia="Times New Roman"/>
          <w:b/>
          <w:bCs/>
          <w:color w:val="000000"/>
          <w:sz w:val="20"/>
          <w:szCs w:val="20"/>
        </w:rPr>
        <w:t>SUMMARY OF INVESTMENTS — OTHER THAN INVESTMENTS IN RELATED PARTIES</w:t>
      </w:r>
    </w:p>
    <w:p w:rsidR="00000000" w:rsidRDefault="005B0BC3">
      <w:pPr>
        <w:jc w:val="center"/>
        <w:rPr>
          <w:rFonts w:eastAsia="Times New Roman"/>
        </w:rPr>
      </w:pPr>
      <w:r>
        <w:rPr>
          <w:rFonts w:eastAsia="Times New Roman"/>
          <w:b/>
          <w:bCs/>
          <w:color w:val="000000"/>
          <w:sz w:val="20"/>
          <w:szCs w:val="20"/>
        </w:rPr>
        <w:t xml:space="preserve">AS OF DECEMBER 31, 2021 </w:t>
      </w:r>
    </w:p>
    <w:tbl>
      <w:tblPr>
        <w:tblW w:w="5000" w:type="pct"/>
        <w:tblCellMar>
          <w:top w:w="15" w:type="dxa"/>
          <w:left w:w="15" w:type="dxa"/>
          <w:bottom w:w="15" w:type="dxa"/>
          <w:right w:w="15" w:type="dxa"/>
        </w:tblCellMar>
        <w:tblLook w:val="04A0" w:firstRow="1" w:lastRow="0" w:firstColumn="1" w:lastColumn="0" w:noHBand="0" w:noVBand="1"/>
      </w:tblPr>
      <w:tblGrid>
        <w:gridCol w:w="39"/>
        <w:gridCol w:w="4656"/>
        <w:gridCol w:w="38"/>
        <w:gridCol w:w="120"/>
        <w:gridCol w:w="989"/>
        <w:gridCol w:w="36"/>
        <w:gridCol w:w="36"/>
        <w:gridCol w:w="36"/>
        <w:gridCol w:w="36"/>
        <w:gridCol w:w="120"/>
        <w:gridCol w:w="949"/>
        <w:gridCol w:w="36"/>
        <w:gridCol w:w="36"/>
        <w:gridCol w:w="36"/>
        <w:gridCol w:w="36"/>
        <w:gridCol w:w="120"/>
        <w:gridCol w:w="951"/>
        <w:gridCol w:w="36"/>
      </w:tblGrid>
      <w:tr w:rsidR="00000000">
        <w:trPr>
          <w:divId w:val="2037853067"/>
        </w:trPr>
        <w:tc>
          <w:tcPr>
            <w:tcW w:w="50" w:type="pct"/>
            <w:vAlign w:val="center"/>
            <w:hideMark/>
          </w:tcPr>
          <w:p w:rsidR="00000000" w:rsidRDefault="005B0BC3">
            <w:pPr>
              <w:jc w:val="center"/>
              <w:rPr>
                <w:rFonts w:eastAsia="Times New Roman"/>
              </w:rPr>
            </w:pPr>
          </w:p>
        </w:tc>
        <w:tc>
          <w:tcPr>
            <w:tcW w:w="283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62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2037853067"/>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Cost (1)</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Fair Value</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Carrying</w:t>
            </w:r>
          </w:p>
          <w:p w:rsidR="00000000" w:rsidRDefault="005B0BC3">
            <w:pPr>
              <w:spacing w:after="100"/>
              <w:jc w:val="center"/>
              <w:rPr>
                <w:rFonts w:eastAsia="Times New Roman"/>
              </w:rPr>
            </w:pPr>
            <w:r>
              <w:rPr>
                <w:rFonts w:eastAsia="Times New Roman"/>
                <w:b/>
                <w:bCs/>
                <w:color w:val="000000"/>
                <w:sz w:val="16"/>
                <w:szCs w:val="16"/>
              </w:rPr>
              <w:t>Value</w:t>
            </w:r>
          </w:p>
        </w:tc>
      </w:tr>
      <w:tr w:rsidR="00000000">
        <w:trPr>
          <w:divId w:val="2037853067"/>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gridSpan w:val="15"/>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2037853067"/>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Fixed maturities, AFS:</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2037853067"/>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U.S. government, agencies and authorities</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13,056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15,385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15,385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037853067"/>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State, municipalities and political subdivisions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586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037853067"/>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Foreign governments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037853067"/>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Public utilities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6,493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6,807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6,807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037853067"/>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All other corporate bonds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43,679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45,704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45,704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037853067"/>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Residential mortgage-backed</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037853067"/>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Asset-backed</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5,933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5,934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5,934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037853067"/>
        </w:trPr>
        <w:tc>
          <w:tcPr>
            <w:tcW w:w="0" w:type="auto"/>
            <w:gridSpan w:val="3"/>
            <w:shd w:val="clear" w:color="auto" w:fill="FFFF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Commercial mortgage-backed</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2,427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2,421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2,421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037853067"/>
        </w:trPr>
        <w:tc>
          <w:tcPr>
            <w:tcW w:w="0" w:type="auto"/>
            <w:gridSpan w:val="3"/>
            <w:shd w:val="clear" w:color="auto" w:fill="CCEEFF"/>
            <w:tcMar>
              <w:top w:w="30" w:type="dxa"/>
              <w:left w:w="155" w:type="dxa"/>
              <w:bottom w:w="30" w:type="dxa"/>
              <w:right w:w="20" w:type="dxa"/>
            </w:tcMar>
            <w:hideMark/>
          </w:tcPr>
          <w:p w:rsidR="00000000" w:rsidRDefault="005B0BC3">
            <w:pPr>
              <w:spacing w:after="100"/>
              <w:rPr>
                <w:rFonts w:eastAsia="Times New Roman"/>
              </w:rPr>
            </w:pPr>
            <w:r>
              <w:rPr>
                <w:rFonts w:eastAsia="Times New Roman"/>
                <w:color w:val="000000"/>
                <w:sz w:val="20"/>
                <w:szCs w:val="20"/>
              </w:rPr>
              <w:t>Redeemable preferred stocks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037853067"/>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Total fixed maturities, AFS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73,429</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78,216</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78,216</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037853067"/>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 xml:space="preserve">Fixed maturities, at fair value using the fair value option </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1,637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1,641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1,641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037853067"/>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Mortgage loans on real estate (2)</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14,095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14,308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14,033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037853067"/>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Policy loans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4,024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5,050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4,024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037853067"/>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Other equity investments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2,662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2,975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2,975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037853067"/>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Trading securities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559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631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037853067"/>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Other invested assets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3,591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3,591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3,591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037853067"/>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Total Investments</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99,997</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106,412</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105,111</w:t>
            </w:r>
            <w:r>
              <w:rPr>
                <w:rFonts w:eastAsia="Times New Roman"/>
                <w:color w:val="000000"/>
                <w:sz w:val="20"/>
                <w:szCs w:val="20"/>
              </w:rPr>
              <w:t>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ind w:hanging="720"/>
        <w:divId w:val="143089883"/>
        <w:rPr>
          <w:rFonts w:eastAsia="Times New Roman"/>
        </w:rPr>
      </w:pPr>
      <w:r>
        <w:rPr>
          <w:rFonts w:eastAsia="Times New Roman"/>
          <w:color w:val="000000"/>
          <w:sz w:val="18"/>
          <w:szCs w:val="18"/>
        </w:rPr>
        <w:t>______________</w:t>
      </w:r>
    </w:p>
    <w:p w:rsidR="00000000" w:rsidRDefault="005B0BC3">
      <w:pPr>
        <w:ind w:hanging="360"/>
        <w:divId w:val="1161504626"/>
        <w:rPr>
          <w:rFonts w:eastAsia="Times New Roman"/>
        </w:rPr>
      </w:pPr>
      <w:r>
        <w:rPr>
          <w:rFonts w:eastAsia="Times New Roman"/>
          <w:color w:val="000000"/>
          <w:sz w:val="18"/>
          <w:szCs w:val="18"/>
        </w:rPr>
        <w:t>(1)</w:t>
      </w:r>
      <w:r>
        <w:rPr>
          <w:rFonts w:eastAsia="Times New Roman"/>
          <w:color w:val="000000"/>
          <w:sz w:val="18"/>
          <w:szCs w:val="18"/>
        </w:rPr>
        <w:t>Cost for fixed maturities represents original cost, reduced by repayments and write-downs and adjusted for amortization of premiums or accretion of discount; cost for equity securities represents original cost reduced by write-downs; cost for other limited</w:t>
      </w:r>
      <w:r>
        <w:rPr>
          <w:rFonts w:eastAsia="Times New Roman"/>
          <w:color w:val="000000"/>
          <w:sz w:val="18"/>
          <w:szCs w:val="18"/>
        </w:rPr>
        <w:t xml:space="preserve"> partnership interests represents original cost adjusted for equity in earnings and reduced by distributions.</w:t>
      </w:r>
    </w:p>
    <w:p w:rsidR="00000000" w:rsidRDefault="005B0BC3">
      <w:pPr>
        <w:ind w:hanging="360"/>
        <w:divId w:val="1631087370"/>
        <w:rPr>
          <w:rFonts w:eastAsia="Times New Roman"/>
        </w:rPr>
      </w:pPr>
      <w:r>
        <w:rPr>
          <w:rFonts w:eastAsia="Times New Roman"/>
          <w:color w:val="000000"/>
          <w:sz w:val="18"/>
          <w:szCs w:val="18"/>
        </w:rPr>
        <w:t>(2)Carrying value for mortgage loans on real estate represents original cost adjusted for amortization of premiums or accretion of discount and re</w:t>
      </w:r>
      <w:r>
        <w:rPr>
          <w:rFonts w:eastAsia="Times New Roman"/>
          <w:color w:val="000000"/>
          <w:sz w:val="18"/>
          <w:szCs w:val="18"/>
        </w:rPr>
        <w:t>duced by credit loss allowance.</w:t>
      </w:r>
    </w:p>
    <w:p w:rsidR="00000000" w:rsidRDefault="005B0BC3">
      <w:pPr>
        <w:jc w:val="center"/>
        <w:divId w:val="295065531"/>
        <w:rPr>
          <w:rFonts w:eastAsia="Times New Roman"/>
        </w:rPr>
      </w:pPr>
      <w:r>
        <w:rPr>
          <w:rFonts w:eastAsia="Times New Roman"/>
          <w:color w:val="000000"/>
          <w:sz w:val="20"/>
          <w:szCs w:val="20"/>
        </w:rPr>
        <w:t>233</w:t>
      </w:r>
    </w:p>
    <w:p w:rsidR="00000000" w:rsidRDefault="005B0BC3">
      <w:pPr>
        <w:rPr>
          <w:rFonts w:eastAsia="Times New Roman"/>
        </w:rPr>
      </w:pPr>
      <w:r>
        <w:rPr>
          <w:rFonts w:eastAsia="Times New Roman"/>
        </w:rPr>
        <w:pict>
          <v:rect id="_x0000_i1271" style="width:0;height:1.5pt" o:hralign="center" o:hrstd="t" o:hr="t" fillcolor="#a0a0a0" stroked="f"/>
        </w:pict>
      </w:r>
    </w:p>
    <w:p w:rsidR="00000000" w:rsidRDefault="005B0BC3">
      <w:pPr>
        <w:jc w:val="center"/>
        <w:divId w:val="291402680"/>
        <w:rPr>
          <w:rFonts w:eastAsia="Times New Roman"/>
        </w:rPr>
      </w:pPr>
      <w:r>
        <w:rPr>
          <w:rFonts w:eastAsia="Times New Roman"/>
          <w:b/>
          <w:bCs/>
          <w:color w:val="000000"/>
          <w:sz w:val="20"/>
          <w:szCs w:val="20"/>
        </w:rPr>
        <w:t>EQUITABLE HOLDINGS, INC.</w:t>
      </w:r>
    </w:p>
    <w:p w:rsidR="00000000" w:rsidRDefault="005B0BC3">
      <w:pPr>
        <w:jc w:val="center"/>
        <w:divId w:val="291402680"/>
        <w:rPr>
          <w:rFonts w:eastAsia="Times New Roman"/>
        </w:rPr>
      </w:pPr>
      <w:r>
        <w:rPr>
          <w:rFonts w:eastAsia="Times New Roman"/>
          <w:b/>
          <w:bCs/>
          <w:color w:val="000000"/>
          <w:sz w:val="20"/>
          <w:szCs w:val="20"/>
        </w:rPr>
        <w:t>SCHEDULE II</w:t>
      </w:r>
    </w:p>
    <w:p w:rsidR="00000000" w:rsidRDefault="005B0BC3">
      <w:pPr>
        <w:jc w:val="center"/>
        <w:rPr>
          <w:rFonts w:eastAsia="Times New Roman"/>
        </w:rPr>
      </w:pPr>
      <w:r>
        <w:rPr>
          <w:rFonts w:eastAsia="Times New Roman"/>
          <w:b/>
          <w:bCs/>
          <w:color w:val="000000"/>
          <w:sz w:val="20"/>
          <w:szCs w:val="20"/>
        </w:rPr>
        <w:t>Balance Sheets (Parent Company)</w:t>
      </w:r>
    </w:p>
    <w:p w:rsidR="00000000" w:rsidRDefault="005B0BC3">
      <w:pPr>
        <w:jc w:val="center"/>
        <w:rPr>
          <w:rFonts w:eastAsia="Times New Roman"/>
        </w:rPr>
      </w:pPr>
      <w:r>
        <w:rPr>
          <w:rFonts w:eastAsia="Times New Roman"/>
          <w:b/>
          <w:bCs/>
          <w:color w:val="000000"/>
          <w:sz w:val="20"/>
          <w:szCs w:val="20"/>
        </w:rPr>
        <w:t>December 31, 2021 and 2020</w:t>
      </w:r>
    </w:p>
    <w:tbl>
      <w:tblPr>
        <w:tblW w:w="5000" w:type="pct"/>
        <w:tblCellMar>
          <w:top w:w="15" w:type="dxa"/>
          <w:left w:w="15" w:type="dxa"/>
          <w:bottom w:w="15" w:type="dxa"/>
          <w:right w:w="15" w:type="dxa"/>
        </w:tblCellMar>
        <w:tblLook w:val="04A0" w:firstRow="1" w:lastRow="0" w:firstColumn="1" w:lastColumn="0" w:noHBand="0" w:noVBand="1"/>
      </w:tblPr>
      <w:tblGrid>
        <w:gridCol w:w="40"/>
        <w:gridCol w:w="5793"/>
        <w:gridCol w:w="38"/>
        <w:gridCol w:w="120"/>
        <w:gridCol w:w="886"/>
        <w:gridCol w:w="36"/>
        <w:gridCol w:w="36"/>
        <w:gridCol w:w="36"/>
        <w:gridCol w:w="36"/>
        <w:gridCol w:w="120"/>
        <w:gridCol w:w="1129"/>
        <w:gridCol w:w="36"/>
      </w:tblGrid>
      <w:tr w:rsidR="00000000">
        <w:trPr>
          <w:divId w:val="1448743468"/>
        </w:trPr>
        <w:tc>
          <w:tcPr>
            <w:tcW w:w="50" w:type="pct"/>
            <w:vAlign w:val="center"/>
            <w:hideMark/>
          </w:tcPr>
          <w:p w:rsidR="00000000" w:rsidRDefault="005B0BC3">
            <w:pPr>
              <w:jc w:val="center"/>
              <w:rPr>
                <w:rFonts w:eastAsia="Times New Roman"/>
              </w:rPr>
            </w:pPr>
          </w:p>
        </w:tc>
        <w:tc>
          <w:tcPr>
            <w:tcW w:w="351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5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72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448743468"/>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December 31,</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December 31,</w:t>
            </w:r>
          </w:p>
        </w:tc>
      </w:tr>
      <w:tr w:rsidR="00000000">
        <w:trPr>
          <w:divId w:val="1448743468"/>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r>
      <w:tr w:rsidR="00000000">
        <w:trPr>
          <w:divId w:val="1448743468"/>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 except share amounts)</w:t>
            </w:r>
          </w:p>
        </w:tc>
      </w:tr>
      <w:tr w:rsidR="00000000">
        <w:trPr>
          <w:divId w:val="1448743468"/>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ASSETS</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448743468"/>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Investment in consolidated subsidiaries</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13,128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15,603 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448743468"/>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divId w:val="355664678"/>
              <w:rPr>
                <w:rFonts w:eastAsia="Times New Roman"/>
              </w:rPr>
            </w:pPr>
            <w:r>
              <w:rPr>
                <w:rFonts w:eastAsia="Times New Roman"/>
                <w:color w:val="000000"/>
                <w:sz w:val="20"/>
                <w:szCs w:val="20"/>
              </w:rPr>
              <w:t>Fixed maturities available-for-sale, at fair value (amortized cost of $884 and $183)</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874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1,116 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448743468"/>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Other equity investments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448743468"/>
        </w:trPr>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448743468"/>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investments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14,094</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16,785 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448743468"/>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Cash and cash equivalents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1,972 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448743468"/>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Goodwill and other intangible assets, net</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1,255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1,245 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448743468"/>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Loans to affiliates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755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675 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448743468"/>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Current and deferred income taxes assets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209 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448743468"/>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547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903 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448743468"/>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Total Assets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18,118</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21,789 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448743468"/>
          <w:trHeight w:val="280"/>
        </w:trPr>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448743468"/>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LIABILITIES</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448743468"/>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Short-term and long-term debt</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3,839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4,115 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448743468"/>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Employee benefits liabilities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853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1,177 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448743468"/>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Loans from affiliates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1,900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900 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448743468"/>
        </w:trPr>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448743468"/>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Accrued liabilities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448743468"/>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Total Liabilities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6,599</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6,213 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448743468"/>
          <w:trHeight w:val="280"/>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448743468"/>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EQUITY ATTRIBUTABLE TO HOLDINGS</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448743468"/>
        </w:trPr>
        <w:tc>
          <w:tcPr>
            <w:tcW w:w="0" w:type="auto"/>
            <w:gridSpan w:val="3"/>
            <w:shd w:val="clear" w:color="auto" w:fill="FFFFFF"/>
            <w:tcMar>
              <w:top w:w="30" w:type="dxa"/>
              <w:left w:w="20" w:type="dxa"/>
              <w:bottom w:w="30" w:type="dxa"/>
              <w:right w:w="20" w:type="dxa"/>
            </w:tcMar>
            <w:hideMark/>
          </w:tcPr>
          <w:p w:rsidR="00000000" w:rsidRDefault="005B0BC3">
            <w:pPr>
              <w:spacing w:after="100"/>
              <w:divId w:val="1643852823"/>
              <w:rPr>
                <w:rFonts w:eastAsia="Times New Roman"/>
              </w:rPr>
            </w:pPr>
            <w:r>
              <w:rPr>
                <w:rFonts w:eastAsia="Times New Roman"/>
                <w:color w:val="000000"/>
                <w:sz w:val="20"/>
                <w:szCs w:val="20"/>
              </w:rPr>
              <w:t>Preferred stock and additional paid-in capital, $1 par value and $25,000 liquidation preference</w:t>
            </w: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1,562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1,269 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448743468"/>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divId w:val="1830292556"/>
              <w:rPr>
                <w:rFonts w:eastAsia="Times New Roman"/>
              </w:rPr>
            </w:pPr>
            <w:r>
              <w:rPr>
                <w:rFonts w:eastAsia="Times New Roman"/>
                <w:color w:val="000000"/>
                <w:sz w:val="20"/>
                <w:szCs w:val="20"/>
              </w:rPr>
              <w:t>Common stock, $0.01 par value, 2,000,000,000 shares authorized; 520,918,331 and 552,896,328 shares issued, respectively; 391,290,224 and 440,776,011 shares outstanding, respectively</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448743468"/>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Additional paid-in capital</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1,919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1,985 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448743468"/>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divId w:val="1040664344"/>
              <w:rPr>
                <w:rFonts w:eastAsia="Times New Roman"/>
              </w:rPr>
            </w:pPr>
            <w:r>
              <w:rPr>
                <w:rFonts w:eastAsia="Times New Roman"/>
                <w:color w:val="000000"/>
                <w:sz w:val="20"/>
                <w:szCs w:val="20"/>
              </w:rPr>
              <w:t>Treasury stock, at cost, 129,628,107 and 112,120,317 shares, respectively</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(2,850)</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(2,245)</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448743468"/>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Retained earnings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8,880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10,699 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448743468"/>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Accumulated other comprehensive income (loss)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2,004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3,863 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448743468"/>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equity attributable to Holdings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11,519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15,576 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448743468"/>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Total Liabilities and Equity Attributable to Holdings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18,118</w:t>
            </w: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21,789 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divId w:val="699550679"/>
        <w:rPr>
          <w:rFonts w:eastAsia="Times New Roman"/>
        </w:rPr>
      </w:pPr>
    </w:p>
    <w:p w:rsidR="00000000" w:rsidRDefault="005B0BC3">
      <w:pPr>
        <w:divId w:val="298415711"/>
        <w:rPr>
          <w:rFonts w:eastAsia="Times New Roman"/>
        </w:rPr>
      </w:pPr>
      <w:r>
        <w:rPr>
          <w:rFonts w:eastAsia="Times New Roman"/>
          <w:color w:val="000000"/>
          <w:sz w:val="20"/>
          <w:szCs w:val="20"/>
        </w:rPr>
        <w:t>The financial information of Equitable Holdings, Inc. should be read in conjunction with the Consolidated Financial Statements and Notes thereto.</w:t>
      </w:r>
    </w:p>
    <w:p w:rsidR="00000000" w:rsidRDefault="005B0BC3">
      <w:pPr>
        <w:divId w:val="910850656"/>
        <w:rPr>
          <w:rFonts w:eastAsia="Times New Roman"/>
        </w:rPr>
      </w:pPr>
    </w:p>
    <w:p w:rsidR="00000000" w:rsidRDefault="005B0BC3">
      <w:pPr>
        <w:divId w:val="1690453026"/>
        <w:rPr>
          <w:rFonts w:eastAsia="Times New Roman"/>
        </w:rPr>
      </w:pPr>
    </w:p>
    <w:p w:rsidR="00000000" w:rsidRDefault="005B0BC3">
      <w:pPr>
        <w:divId w:val="2062167935"/>
        <w:rPr>
          <w:rFonts w:eastAsia="Times New Roman"/>
        </w:rPr>
      </w:pPr>
    </w:p>
    <w:p w:rsidR="00000000" w:rsidRDefault="005B0BC3">
      <w:pPr>
        <w:divId w:val="1016544455"/>
        <w:rPr>
          <w:rFonts w:eastAsia="Times New Roman"/>
        </w:rPr>
      </w:pPr>
    </w:p>
    <w:p w:rsidR="00000000" w:rsidRDefault="005B0BC3">
      <w:pPr>
        <w:divId w:val="1012142340"/>
        <w:rPr>
          <w:rFonts w:eastAsia="Times New Roman"/>
        </w:rPr>
      </w:pPr>
    </w:p>
    <w:p w:rsidR="00000000" w:rsidRDefault="005B0BC3">
      <w:pPr>
        <w:divId w:val="1363894668"/>
        <w:rPr>
          <w:rFonts w:eastAsia="Times New Roman"/>
        </w:rPr>
      </w:pPr>
    </w:p>
    <w:p w:rsidR="00000000" w:rsidRDefault="005B0BC3">
      <w:pPr>
        <w:divId w:val="1694959997"/>
        <w:rPr>
          <w:rFonts w:eastAsia="Times New Roman"/>
        </w:rPr>
      </w:pPr>
    </w:p>
    <w:p w:rsidR="00000000" w:rsidRDefault="005B0BC3">
      <w:pPr>
        <w:divId w:val="2123451352"/>
        <w:rPr>
          <w:rFonts w:eastAsia="Times New Roman"/>
        </w:rPr>
      </w:pPr>
    </w:p>
    <w:p w:rsidR="00000000" w:rsidRDefault="005B0BC3">
      <w:pPr>
        <w:divId w:val="1196164016"/>
        <w:rPr>
          <w:rFonts w:eastAsia="Times New Roman"/>
        </w:rPr>
      </w:pPr>
    </w:p>
    <w:p w:rsidR="00000000" w:rsidRDefault="005B0BC3">
      <w:pPr>
        <w:divId w:val="1845514784"/>
        <w:rPr>
          <w:rFonts w:eastAsia="Times New Roman"/>
        </w:rPr>
      </w:pPr>
    </w:p>
    <w:p w:rsidR="00000000" w:rsidRDefault="005B0BC3">
      <w:pPr>
        <w:divId w:val="1157651136"/>
        <w:rPr>
          <w:rFonts w:eastAsia="Times New Roman"/>
        </w:rPr>
      </w:pPr>
    </w:p>
    <w:p w:rsidR="00000000" w:rsidRDefault="005B0BC3">
      <w:pPr>
        <w:divId w:val="417215028"/>
        <w:rPr>
          <w:rFonts w:eastAsia="Times New Roman"/>
        </w:rPr>
      </w:pPr>
    </w:p>
    <w:p w:rsidR="00000000" w:rsidRDefault="005B0BC3">
      <w:pPr>
        <w:divId w:val="74208863"/>
        <w:rPr>
          <w:rFonts w:eastAsia="Times New Roman"/>
        </w:rPr>
      </w:pPr>
    </w:p>
    <w:p w:rsidR="00000000" w:rsidRDefault="005B0BC3">
      <w:pPr>
        <w:jc w:val="center"/>
        <w:divId w:val="354960615"/>
        <w:rPr>
          <w:rFonts w:eastAsia="Times New Roman"/>
        </w:rPr>
      </w:pPr>
      <w:r>
        <w:rPr>
          <w:rFonts w:eastAsia="Times New Roman"/>
          <w:color w:val="000000"/>
          <w:sz w:val="20"/>
          <w:szCs w:val="20"/>
        </w:rPr>
        <w:t>234</w:t>
      </w:r>
    </w:p>
    <w:p w:rsidR="00000000" w:rsidRDefault="005B0BC3">
      <w:pPr>
        <w:rPr>
          <w:rFonts w:eastAsia="Times New Roman"/>
        </w:rPr>
      </w:pPr>
      <w:r>
        <w:rPr>
          <w:rFonts w:eastAsia="Times New Roman"/>
        </w:rPr>
        <w:pict>
          <v:rect id="_x0000_i1272" style="width:0;height:1.5pt" o:hralign="center" o:hrstd="t" o:hr="t" fillcolor="#a0a0a0" stroked="f"/>
        </w:pict>
      </w:r>
    </w:p>
    <w:p w:rsidR="00000000" w:rsidRDefault="005B0BC3">
      <w:pPr>
        <w:jc w:val="center"/>
        <w:divId w:val="1619531548"/>
        <w:rPr>
          <w:rFonts w:eastAsia="Times New Roman"/>
        </w:rPr>
      </w:pPr>
      <w:r>
        <w:rPr>
          <w:rFonts w:eastAsia="Times New Roman"/>
          <w:b/>
          <w:bCs/>
          <w:color w:val="000000"/>
          <w:sz w:val="20"/>
          <w:szCs w:val="20"/>
        </w:rPr>
        <w:t>EQUITABLE HOLDINGS, INC.</w:t>
      </w:r>
    </w:p>
    <w:p w:rsidR="00000000" w:rsidRDefault="005B0BC3">
      <w:pPr>
        <w:jc w:val="center"/>
        <w:divId w:val="1619531548"/>
        <w:rPr>
          <w:rFonts w:eastAsia="Times New Roman"/>
        </w:rPr>
      </w:pPr>
      <w:r>
        <w:rPr>
          <w:rFonts w:eastAsia="Times New Roman"/>
          <w:b/>
          <w:bCs/>
          <w:color w:val="000000"/>
          <w:sz w:val="20"/>
          <w:szCs w:val="20"/>
        </w:rPr>
        <w:t>SCHEDULE II</w:t>
      </w:r>
    </w:p>
    <w:p w:rsidR="00000000" w:rsidRDefault="005B0BC3">
      <w:pPr>
        <w:jc w:val="center"/>
        <w:rPr>
          <w:rFonts w:eastAsia="Times New Roman"/>
        </w:rPr>
      </w:pPr>
    </w:p>
    <w:p w:rsidR="00000000" w:rsidRDefault="005B0BC3">
      <w:pPr>
        <w:jc w:val="center"/>
        <w:rPr>
          <w:rFonts w:eastAsia="Times New Roman"/>
        </w:rPr>
      </w:pPr>
      <w:r>
        <w:rPr>
          <w:rFonts w:eastAsia="Times New Roman"/>
          <w:b/>
          <w:bCs/>
          <w:color w:val="000000"/>
          <w:sz w:val="20"/>
          <w:szCs w:val="20"/>
        </w:rPr>
        <w:t>STATEMENTS OF INCOME (LOSS) AND COMPREHENSIVE INCOME (LOSS) (PARENT COMPANY)</w:t>
      </w:r>
    </w:p>
    <w:p w:rsidR="00000000" w:rsidRDefault="005B0BC3">
      <w:pPr>
        <w:jc w:val="center"/>
        <w:rPr>
          <w:rFonts w:eastAsia="Times New Roman"/>
        </w:rPr>
      </w:pPr>
      <w:r>
        <w:rPr>
          <w:rFonts w:eastAsia="Times New Roman"/>
          <w:b/>
          <w:bCs/>
          <w:color w:val="000000"/>
          <w:sz w:val="20"/>
          <w:szCs w:val="20"/>
        </w:rPr>
        <w:t>YEARS ENDED DECEMBER 31, 2021, 2020, AND 2019</w:t>
      </w:r>
    </w:p>
    <w:tbl>
      <w:tblPr>
        <w:tblW w:w="5000" w:type="pct"/>
        <w:tblCellMar>
          <w:top w:w="15" w:type="dxa"/>
          <w:left w:w="15" w:type="dxa"/>
          <w:bottom w:w="15" w:type="dxa"/>
          <w:right w:w="15" w:type="dxa"/>
        </w:tblCellMar>
        <w:tblLook w:val="04A0" w:firstRow="1" w:lastRow="0" w:firstColumn="1" w:lastColumn="0" w:noHBand="0" w:noVBand="1"/>
      </w:tblPr>
      <w:tblGrid>
        <w:gridCol w:w="38"/>
        <w:gridCol w:w="5311"/>
        <w:gridCol w:w="37"/>
        <w:gridCol w:w="120"/>
        <w:gridCol w:w="772"/>
        <w:gridCol w:w="36"/>
        <w:gridCol w:w="36"/>
        <w:gridCol w:w="36"/>
        <w:gridCol w:w="36"/>
        <w:gridCol w:w="120"/>
        <w:gridCol w:w="732"/>
        <w:gridCol w:w="36"/>
        <w:gridCol w:w="36"/>
        <w:gridCol w:w="36"/>
        <w:gridCol w:w="36"/>
        <w:gridCol w:w="120"/>
        <w:gridCol w:w="732"/>
        <w:gridCol w:w="36"/>
      </w:tblGrid>
      <w:tr w:rsidR="00000000">
        <w:trPr>
          <w:divId w:val="270358703"/>
        </w:trPr>
        <w:tc>
          <w:tcPr>
            <w:tcW w:w="50" w:type="pct"/>
            <w:vAlign w:val="center"/>
            <w:hideMark/>
          </w:tcPr>
          <w:p w:rsidR="00000000" w:rsidRDefault="005B0BC3">
            <w:pPr>
              <w:jc w:val="center"/>
              <w:rPr>
                <w:rFonts w:eastAsia="Times New Roman"/>
              </w:rPr>
            </w:pPr>
          </w:p>
        </w:tc>
        <w:tc>
          <w:tcPr>
            <w:tcW w:w="3227"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9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9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9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270358703"/>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270358703"/>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270358703"/>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REVENUES</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270358703"/>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Equity in income (losses) from continuing operations of consolidated subsidiaries</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(152)</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(668)</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(1,592)</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70358703"/>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Net investment income (loss)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70358703"/>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Investment gains (losses), net</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70358703"/>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Other income</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70358703"/>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revenues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(138)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(642)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(1,552)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70358703"/>
          <w:trHeight w:val="280"/>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270358703"/>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EXPENSES</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270358703"/>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241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229 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237 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70358703"/>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Other operating costs and expenses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70358703"/>
        </w:trPr>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270358703"/>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270358703"/>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expenses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299</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70358703"/>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Income (loss) from continuing operations,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(437)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(911)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(1,872)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70358703"/>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Income tax (expense) benefit</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263 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70358703"/>
        </w:trPr>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270358703"/>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270358703"/>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270358703"/>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Net income (loss) attributable to Holdings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(439)</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(648)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(1,764)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70358703"/>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Less: Preferred stock dividends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70358703"/>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Net income (loss) available to Holdings' common shareholders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(518)</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(701)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(1,764)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70358703"/>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Other comprehensive income (loss)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(1,859)</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3,019 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2,252 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270358703"/>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Total comprehensive income (loss) attributable to Holdings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(2,377)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2,318 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488 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divId w:val="1175148452"/>
        <w:rPr>
          <w:rFonts w:eastAsia="Times New Roman"/>
        </w:rPr>
      </w:pPr>
    </w:p>
    <w:p w:rsidR="00000000" w:rsidRDefault="005B0BC3">
      <w:pPr>
        <w:divId w:val="1211844076"/>
        <w:rPr>
          <w:rFonts w:eastAsia="Times New Roman"/>
        </w:rPr>
      </w:pPr>
      <w:r>
        <w:rPr>
          <w:rFonts w:eastAsia="Times New Roman"/>
          <w:color w:val="000000"/>
          <w:sz w:val="20"/>
          <w:szCs w:val="20"/>
        </w:rPr>
        <w:t>The financial information of Equitable Holdings, Inc. should be read in conjunction with the Consolidated Financial Statements and Notes thereto.</w:t>
      </w:r>
    </w:p>
    <w:p w:rsidR="00000000" w:rsidRDefault="005B0BC3">
      <w:pPr>
        <w:jc w:val="center"/>
        <w:divId w:val="286357845"/>
        <w:rPr>
          <w:rFonts w:eastAsia="Times New Roman"/>
        </w:rPr>
      </w:pPr>
      <w:r>
        <w:rPr>
          <w:rFonts w:eastAsia="Times New Roman"/>
          <w:color w:val="000000"/>
          <w:sz w:val="20"/>
          <w:szCs w:val="20"/>
        </w:rPr>
        <w:t>235</w:t>
      </w:r>
    </w:p>
    <w:p w:rsidR="00000000" w:rsidRDefault="005B0BC3">
      <w:pPr>
        <w:rPr>
          <w:rFonts w:eastAsia="Times New Roman"/>
        </w:rPr>
      </w:pPr>
      <w:r>
        <w:rPr>
          <w:rFonts w:eastAsia="Times New Roman"/>
        </w:rPr>
        <w:pict>
          <v:rect id="_x0000_i1273" style="width:0;height:1.5pt" o:hralign="center" o:hrstd="t" o:hr="t" fillcolor="#a0a0a0" stroked="f"/>
        </w:pict>
      </w:r>
    </w:p>
    <w:p w:rsidR="00000000" w:rsidRDefault="005B0BC3">
      <w:pPr>
        <w:jc w:val="center"/>
        <w:divId w:val="700590993"/>
        <w:rPr>
          <w:rFonts w:eastAsia="Times New Roman"/>
        </w:rPr>
      </w:pPr>
      <w:r>
        <w:rPr>
          <w:rFonts w:eastAsia="Times New Roman"/>
          <w:b/>
          <w:bCs/>
          <w:color w:val="000000"/>
          <w:sz w:val="20"/>
          <w:szCs w:val="20"/>
        </w:rPr>
        <w:t>EQUITABLE HOLDINGS, INC.</w:t>
      </w:r>
    </w:p>
    <w:p w:rsidR="00000000" w:rsidRDefault="005B0BC3">
      <w:pPr>
        <w:jc w:val="center"/>
        <w:divId w:val="700590993"/>
        <w:rPr>
          <w:rFonts w:eastAsia="Times New Roman"/>
        </w:rPr>
      </w:pPr>
      <w:r>
        <w:rPr>
          <w:rFonts w:eastAsia="Times New Roman"/>
          <w:b/>
          <w:bCs/>
          <w:color w:val="000000"/>
          <w:sz w:val="20"/>
          <w:szCs w:val="20"/>
        </w:rPr>
        <w:t>SCHEDULE II</w:t>
      </w:r>
    </w:p>
    <w:p w:rsidR="00000000" w:rsidRDefault="005B0BC3">
      <w:pPr>
        <w:jc w:val="center"/>
        <w:rPr>
          <w:rFonts w:eastAsia="Times New Roman"/>
        </w:rPr>
      </w:pPr>
      <w:r>
        <w:rPr>
          <w:rFonts w:eastAsia="Times New Roman"/>
          <w:b/>
          <w:bCs/>
          <w:color w:val="000000"/>
          <w:sz w:val="20"/>
          <w:szCs w:val="20"/>
        </w:rPr>
        <w:t xml:space="preserve">STATEMENTS OF CASH FLOWS (PARENT </w:t>
      </w:r>
      <w:r>
        <w:rPr>
          <w:rFonts w:eastAsia="Times New Roman"/>
          <w:b/>
          <w:bCs/>
          <w:color w:val="000000"/>
          <w:sz w:val="20"/>
          <w:szCs w:val="20"/>
        </w:rPr>
        <w:t>COMPANY)</w:t>
      </w:r>
    </w:p>
    <w:p w:rsidR="00000000" w:rsidRDefault="005B0BC3">
      <w:pPr>
        <w:jc w:val="center"/>
        <w:rPr>
          <w:rFonts w:eastAsia="Times New Roman"/>
        </w:rPr>
      </w:pPr>
      <w:r>
        <w:rPr>
          <w:rFonts w:eastAsia="Times New Roman"/>
          <w:b/>
          <w:bCs/>
          <w:color w:val="000000"/>
          <w:sz w:val="20"/>
          <w:szCs w:val="20"/>
        </w:rPr>
        <w:t>YEARS ENDED DECEMBER 31, 2021, 2020, AND 2019</w:t>
      </w:r>
    </w:p>
    <w:tbl>
      <w:tblPr>
        <w:tblW w:w="5000" w:type="pct"/>
        <w:tblCellMar>
          <w:top w:w="15" w:type="dxa"/>
          <w:left w:w="15" w:type="dxa"/>
          <w:bottom w:w="15" w:type="dxa"/>
          <w:right w:w="15" w:type="dxa"/>
        </w:tblCellMar>
        <w:tblLook w:val="04A0" w:firstRow="1" w:lastRow="0" w:firstColumn="1" w:lastColumn="0" w:noHBand="0" w:noVBand="1"/>
      </w:tblPr>
      <w:tblGrid>
        <w:gridCol w:w="40"/>
        <w:gridCol w:w="4898"/>
        <w:gridCol w:w="39"/>
        <w:gridCol w:w="120"/>
        <w:gridCol w:w="916"/>
        <w:gridCol w:w="36"/>
        <w:gridCol w:w="36"/>
        <w:gridCol w:w="36"/>
        <w:gridCol w:w="36"/>
        <w:gridCol w:w="120"/>
        <w:gridCol w:w="876"/>
        <w:gridCol w:w="36"/>
        <w:gridCol w:w="36"/>
        <w:gridCol w:w="36"/>
        <w:gridCol w:w="36"/>
        <w:gridCol w:w="120"/>
        <w:gridCol w:w="853"/>
        <w:gridCol w:w="36"/>
      </w:tblGrid>
      <w:tr w:rsidR="00000000">
        <w:trPr>
          <w:divId w:val="1393433106"/>
        </w:trPr>
        <w:tc>
          <w:tcPr>
            <w:tcW w:w="50" w:type="pct"/>
            <w:vAlign w:val="center"/>
            <w:hideMark/>
          </w:tcPr>
          <w:p w:rsidR="00000000" w:rsidRDefault="005B0BC3">
            <w:pPr>
              <w:jc w:val="center"/>
              <w:rPr>
                <w:rFonts w:eastAsia="Times New Roman"/>
              </w:rPr>
            </w:pPr>
          </w:p>
        </w:tc>
        <w:tc>
          <w:tcPr>
            <w:tcW w:w="297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8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80"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6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393433106"/>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2020</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2019</w:t>
            </w:r>
          </w:p>
        </w:tc>
      </w:tr>
      <w:tr w:rsidR="00000000">
        <w:trPr>
          <w:divId w:val="1393433106"/>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1393433106"/>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Net income (loss) attributable to Holdings</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(439)</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(648)</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(1,764)</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93433106"/>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Adjustments to reconcile net income (loss) to net cash provided by (used in) operating activities:</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393433106"/>
        </w:trPr>
        <w:tc>
          <w:tcPr>
            <w:tcW w:w="0" w:type="auto"/>
            <w:gridSpan w:val="3"/>
            <w:shd w:val="clear" w:color="auto" w:fill="CCEE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Equity in net (earnings) loss of subsidiaries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152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668 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1,592 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93433106"/>
        </w:trPr>
        <w:tc>
          <w:tcPr>
            <w:tcW w:w="0" w:type="auto"/>
            <w:gridSpan w:val="3"/>
            <w:shd w:val="clear" w:color="auto" w:fill="FFFF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Non-cash long term incentive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93433106"/>
        </w:trPr>
        <w:tc>
          <w:tcPr>
            <w:tcW w:w="0" w:type="auto"/>
            <w:gridSpan w:val="3"/>
            <w:shd w:val="clear" w:color="auto" w:fill="CCEE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Amortization and depreciation</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93433106"/>
        </w:trPr>
        <w:tc>
          <w:tcPr>
            <w:tcW w:w="0" w:type="auto"/>
            <w:gridSpan w:val="3"/>
            <w:shd w:val="clear" w:color="auto" w:fill="FFFF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Equity (income) loss limited partnerships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(19)</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93433106"/>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Changes in:</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393433106"/>
        </w:trPr>
        <w:tc>
          <w:tcPr>
            <w:tcW w:w="0" w:type="auto"/>
            <w:gridSpan w:val="3"/>
            <w:shd w:val="clear" w:color="auto" w:fill="FFFF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Current and deferred taxes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(151)</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(250)</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202 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93433106"/>
        </w:trPr>
        <w:tc>
          <w:tcPr>
            <w:tcW w:w="0" w:type="auto"/>
            <w:gridSpan w:val="3"/>
            <w:shd w:val="clear" w:color="auto" w:fill="CCEE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Dividends from subsidiaries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792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2,877 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1,341 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93433106"/>
        </w:trPr>
        <w:tc>
          <w:tcPr>
            <w:tcW w:w="0" w:type="auto"/>
            <w:gridSpan w:val="3"/>
            <w:shd w:val="clear" w:color="auto" w:fill="FFFF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Other, net</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(135)</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(76)</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93433106"/>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Net cash provided by (used in) operating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424</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2,571 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93433106"/>
          <w:trHeight w:val="120"/>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393433106"/>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Cash flows from investing activities:</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393433106"/>
        </w:trPr>
        <w:tc>
          <w:tcPr>
            <w:tcW w:w="0" w:type="auto"/>
            <w:gridSpan w:val="3"/>
            <w:shd w:val="clear" w:color="auto" w:fill="FFFF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Proceeds from the sale/maturity/prepayment of:</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393433106"/>
        </w:trPr>
        <w:tc>
          <w:tcPr>
            <w:tcW w:w="0" w:type="auto"/>
            <w:gridSpan w:val="3"/>
            <w:shd w:val="clear" w:color="auto" w:fill="CCEE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Fixed maturities, available-for-sale</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93433106"/>
        </w:trPr>
        <w:tc>
          <w:tcPr>
            <w:tcW w:w="0" w:type="auto"/>
            <w:gridSpan w:val="3"/>
            <w:shd w:val="clear" w:color="auto" w:fill="FFFF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Short-term investments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93433106"/>
        </w:trPr>
        <w:tc>
          <w:tcPr>
            <w:tcW w:w="0" w:type="auto"/>
            <w:gridSpan w:val="3"/>
            <w:shd w:val="clear" w:color="auto" w:fill="CCEE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Payment for the purchase/origination of:</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393433106"/>
        </w:trPr>
        <w:tc>
          <w:tcPr>
            <w:tcW w:w="0" w:type="auto"/>
            <w:gridSpan w:val="3"/>
            <w:shd w:val="clear" w:color="auto" w:fill="FFFF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Fixed maturities, available-for-sale</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(1,011)</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93433106"/>
        </w:trPr>
        <w:tc>
          <w:tcPr>
            <w:tcW w:w="0" w:type="auto"/>
            <w:gridSpan w:val="3"/>
            <w:shd w:val="clear" w:color="auto" w:fill="CCEE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Short-term investments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93433106"/>
        </w:trPr>
        <w:tc>
          <w:tcPr>
            <w:tcW w:w="0" w:type="auto"/>
            <w:gridSpan w:val="3"/>
            <w:shd w:val="clear" w:color="auto" w:fill="FFFFFF"/>
            <w:tcMar>
              <w:top w:w="30" w:type="dxa"/>
              <w:left w:w="24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93433106"/>
        </w:trPr>
        <w:tc>
          <w:tcPr>
            <w:tcW w:w="0" w:type="auto"/>
            <w:gridSpan w:val="3"/>
            <w:shd w:val="clear" w:color="auto" w:fill="CCEE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Net issuance on credit facilities to affiliates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(80)</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(115)</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(560)</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93433106"/>
        </w:trPr>
        <w:tc>
          <w:tcPr>
            <w:tcW w:w="0" w:type="auto"/>
            <w:gridSpan w:val="3"/>
            <w:shd w:val="clear" w:color="auto" w:fill="FFFF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Repayments of loans to affiliates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572 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93433106"/>
        </w:trPr>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393433106"/>
        </w:trPr>
        <w:tc>
          <w:tcPr>
            <w:tcW w:w="0" w:type="auto"/>
            <w:gridSpan w:val="3"/>
            <w:shd w:val="clear" w:color="auto" w:fill="CCEEFF"/>
            <w:tcMar>
              <w:top w:w="30" w:type="dxa"/>
              <w:left w:w="14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Proceeds from the sale of subsidiary</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215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93433106"/>
        </w:trPr>
        <w:tc>
          <w:tcPr>
            <w:tcW w:w="0" w:type="auto"/>
            <w:gridSpan w:val="3"/>
            <w:shd w:val="clear" w:color="auto" w:fill="FFFF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xml:space="preserve"> Increase in cash and cash equivalents from merger of AXA Tech </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93433106"/>
        </w:trPr>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393433106"/>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393433106"/>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Net cash provided by (used in) investing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338</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(1,016)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93433106"/>
          <w:trHeight w:val="120"/>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393433106"/>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20"/>
                <w:szCs w:val="20"/>
              </w:rPr>
              <w:t>Cash flows from financing activities:</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393433106"/>
        </w:trPr>
        <w:tc>
          <w:tcPr>
            <w:tcW w:w="0" w:type="auto"/>
            <w:gridSpan w:val="3"/>
            <w:shd w:val="clear" w:color="auto" w:fill="FFFF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xml:space="preserve">Issuance of preferred stock </w:t>
            </w: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494 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775 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93433106"/>
        </w:trPr>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393433106"/>
        </w:trPr>
        <w:tc>
          <w:tcPr>
            <w:tcW w:w="0" w:type="auto"/>
            <w:gridSpan w:val="3"/>
            <w:shd w:val="clear" w:color="auto" w:fill="CCEE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xml:space="preserve">Repayment of long-term debt </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(280)</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(300)</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93433106"/>
        </w:trPr>
        <w:tc>
          <w:tcPr>
            <w:tcW w:w="0" w:type="auto"/>
            <w:gridSpan w:val="3"/>
            <w:shd w:val="clear" w:color="auto" w:fill="FFFF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Proceeds from loans from affiliates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1,000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900 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93433106"/>
        </w:trPr>
        <w:tc>
          <w:tcPr>
            <w:tcW w:w="0" w:type="auto"/>
            <w:gridSpan w:val="3"/>
            <w:shd w:val="clear" w:color="auto" w:fill="CCEE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Repayments of loans from affiliates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(300)</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(300)</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93433106"/>
        </w:trPr>
        <w:tc>
          <w:tcPr>
            <w:tcW w:w="0" w:type="auto"/>
            <w:gridSpan w:val="3"/>
            <w:shd w:val="clear" w:color="auto" w:fill="FFFF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Shareholder dividends paid</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(296)</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(297)</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(285)</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93433106"/>
        </w:trPr>
        <w:tc>
          <w:tcPr>
            <w:tcW w:w="0" w:type="auto"/>
            <w:gridSpan w:val="3"/>
            <w:shd w:val="clear" w:color="auto" w:fill="CCEE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Preferred dividends paid</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(79)</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(53)</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93433106"/>
        </w:trPr>
        <w:tc>
          <w:tcPr>
            <w:tcW w:w="0" w:type="auto"/>
            <w:gridSpan w:val="3"/>
            <w:shd w:val="clear" w:color="auto" w:fill="FFFF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Purchase of treasury shares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(1,637)</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(430)</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(1,350)</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93433106"/>
        </w:trPr>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393433106"/>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393433106"/>
        </w:trPr>
        <w:tc>
          <w:tcPr>
            <w:tcW w:w="0" w:type="auto"/>
            <w:gridSpan w:val="3"/>
            <w:shd w:val="clear" w:color="auto" w:fill="CCEE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Capital contribution to subsidiaries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(815)</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(350)</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(86)</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93433106"/>
        </w:trPr>
        <w:tc>
          <w:tcPr>
            <w:tcW w:w="0" w:type="auto"/>
            <w:gridSpan w:val="3"/>
            <w:shd w:val="clear" w:color="auto" w:fill="FFFFFF"/>
            <w:tcMar>
              <w:top w:w="30" w:type="dxa"/>
              <w:left w:w="155"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Other, net</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(53)</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93433106"/>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Net cash provided by (used in) financing activities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(1,867)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(936)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(646)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93433106"/>
          <w:trHeight w:val="120"/>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393433106"/>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Change in cash and cash equivalents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(1,105)</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619 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946 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93433106"/>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Cash and cash equivalents, beginning of year</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1,972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1,353 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407 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93433106"/>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Cash and cash equivalents, end of year</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867</w:t>
            </w: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1,972 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93433106"/>
          <w:trHeight w:val="120"/>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393433106"/>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Non-cash transactions from investing and financing activities:</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393433106"/>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Dividend of AB Units from subsidiary</w:t>
            </w: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93433106"/>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Other assets</w:t>
            </w: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tcBorders>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93433106"/>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Other liabilities</w:t>
            </w: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(16)</w:t>
            </w:r>
          </w:p>
        </w:tc>
        <w:tc>
          <w:tcPr>
            <w:tcW w:w="0" w:type="auto"/>
            <w:tcBorders>
              <w:top w:val="double" w:sz="6"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93433106"/>
        </w:trPr>
        <w:tc>
          <w:tcPr>
            <w:tcW w:w="0" w:type="auto"/>
            <w:gridSpan w:val="3"/>
            <w:vAlign w:val="center"/>
            <w:hideMark/>
          </w:tcPr>
          <w:p w:rsidR="00000000" w:rsidRDefault="005B0BC3">
            <w:pPr>
              <w:spacing w:after="100"/>
              <w:jc w:val="right"/>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393433106"/>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393433106"/>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393433106"/>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393433106"/>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393433106"/>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r w:rsidR="00000000">
        <w:trPr>
          <w:divId w:val="1393433106"/>
        </w:trPr>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c>
          <w:tcPr>
            <w:tcW w:w="0" w:type="auto"/>
            <w:gridSpan w:val="3"/>
            <w:vAlign w:val="center"/>
            <w:hideMark/>
          </w:tcPr>
          <w:p w:rsidR="00000000" w:rsidRDefault="005B0BC3">
            <w:pPr>
              <w:spacing w:after="100"/>
              <w:rPr>
                <w:rFonts w:eastAsia="Times New Roman"/>
                <w:sz w:val="20"/>
                <w:szCs w:val="20"/>
              </w:rPr>
            </w:pPr>
          </w:p>
        </w:tc>
      </w:tr>
    </w:tbl>
    <w:p w:rsidR="00000000" w:rsidRDefault="005B0BC3">
      <w:pPr>
        <w:divId w:val="1191382679"/>
        <w:rPr>
          <w:rFonts w:eastAsia="Times New Roman"/>
        </w:rPr>
      </w:pPr>
      <w:r>
        <w:rPr>
          <w:rFonts w:eastAsia="Times New Roman"/>
          <w:color w:val="000000"/>
          <w:sz w:val="20"/>
          <w:szCs w:val="20"/>
        </w:rPr>
        <w:t>The financial information of Equitable Holdings, Inc. should be read in conjunction with the Consolidated Financial Statements and Notes thereto.</w:t>
      </w:r>
    </w:p>
    <w:p w:rsidR="00000000" w:rsidRDefault="005B0BC3">
      <w:pPr>
        <w:jc w:val="center"/>
        <w:divId w:val="1095516099"/>
        <w:rPr>
          <w:rFonts w:eastAsia="Times New Roman"/>
        </w:rPr>
      </w:pPr>
      <w:r>
        <w:rPr>
          <w:rFonts w:eastAsia="Times New Roman"/>
          <w:color w:val="000000"/>
          <w:sz w:val="20"/>
          <w:szCs w:val="20"/>
        </w:rPr>
        <w:t>236</w:t>
      </w:r>
    </w:p>
    <w:p w:rsidR="00000000" w:rsidRDefault="005B0BC3">
      <w:pPr>
        <w:rPr>
          <w:rFonts w:eastAsia="Times New Roman"/>
        </w:rPr>
      </w:pPr>
      <w:r>
        <w:rPr>
          <w:rFonts w:eastAsia="Times New Roman"/>
        </w:rPr>
        <w:pict>
          <v:rect id="_x0000_i1274" style="width:0;height:1.5pt" o:hralign="center" o:hrstd="t" o:hr="t" fillcolor="#a0a0a0" stroked="f"/>
        </w:pict>
      </w:r>
    </w:p>
    <w:p w:rsidR="00000000" w:rsidRDefault="005B0BC3">
      <w:pPr>
        <w:jc w:val="center"/>
        <w:divId w:val="896941558"/>
        <w:rPr>
          <w:rFonts w:eastAsia="Times New Roman"/>
        </w:rPr>
      </w:pPr>
      <w:r>
        <w:rPr>
          <w:rFonts w:eastAsia="Times New Roman"/>
          <w:b/>
          <w:bCs/>
          <w:color w:val="000000"/>
          <w:sz w:val="20"/>
          <w:szCs w:val="20"/>
        </w:rPr>
        <w:t>EQUITABLE HOLDINGS, INC.</w:t>
      </w:r>
    </w:p>
    <w:p w:rsidR="00000000" w:rsidRDefault="005B0BC3">
      <w:pPr>
        <w:jc w:val="center"/>
        <w:divId w:val="896941558"/>
        <w:rPr>
          <w:rFonts w:eastAsia="Times New Roman"/>
        </w:rPr>
      </w:pPr>
      <w:r>
        <w:rPr>
          <w:rFonts w:eastAsia="Times New Roman"/>
          <w:b/>
          <w:bCs/>
          <w:color w:val="000000"/>
          <w:sz w:val="20"/>
          <w:szCs w:val="20"/>
        </w:rPr>
        <w:t>SCHEDULE II</w:t>
      </w:r>
    </w:p>
    <w:p w:rsidR="00000000" w:rsidRDefault="005B0BC3">
      <w:pPr>
        <w:jc w:val="center"/>
        <w:divId w:val="741609628"/>
        <w:rPr>
          <w:rFonts w:eastAsia="Times New Roman"/>
        </w:rPr>
      </w:pPr>
      <w:r>
        <w:rPr>
          <w:rFonts w:eastAsia="Times New Roman"/>
          <w:b/>
          <w:bCs/>
          <w:color w:val="000000"/>
          <w:sz w:val="20"/>
          <w:szCs w:val="20"/>
        </w:rPr>
        <w:t>NOTES TO PARENT COMPANY FINANCIAL</w:t>
      </w:r>
      <w:r>
        <w:rPr>
          <w:rFonts w:eastAsia="Times New Roman"/>
          <w:b/>
          <w:bCs/>
          <w:color w:val="000000"/>
          <w:sz w:val="20"/>
          <w:szCs w:val="20"/>
        </w:rPr>
        <w:t xml:space="preserve"> STATEMENTS</w:t>
      </w:r>
    </w:p>
    <w:p w:rsidR="00000000" w:rsidRDefault="005B0BC3">
      <w:pPr>
        <w:divId w:val="1054894847"/>
        <w:rPr>
          <w:rFonts w:eastAsia="Times New Roman"/>
        </w:rPr>
      </w:pPr>
      <w:r>
        <w:rPr>
          <w:rFonts w:eastAsia="Times New Roman"/>
          <w:b/>
          <w:bCs/>
          <w:color w:val="000000"/>
          <w:sz w:val="20"/>
          <w:szCs w:val="20"/>
        </w:rPr>
        <w:t>1)    BASIS OF PRESENTATION</w:t>
      </w:r>
    </w:p>
    <w:p w:rsidR="00000000" w:rsidRDefault="005B0BC3">
      <w:pPr>
        <w:divId w:val="1559315591"/>
        <w:rPr>
          <w:rFonts w:eastAsia="Times New Roman"/>
        </w:rPr>
      </w:pPr>
      <w:r>
        <w:rPr>
          <w:rFonts w:eastAsia="Times New Roman"/>
          <w:color w:val="000000"/>
          <w:sz w:val="20"/>
          <w:szCs w:val="20"/>
        </w:rPr>
        <w:t xml:space="preserve">The financial information of Holdings should be read in conjunction with the Consolidated Financial Statements and Notes thereto. The Company is the holding company for a diversified financial services organization. </w:t>
      </w:r>
    </w:p>
    <w:p w:rsidR="00000000" w:rsidRDefault="005B0BC3">
      <w:pPr>
        <w:divId w:val="439103920"/>
        <w:rPr>
          <w:rFonts w:eastAsia="Times New Roman"/>
        </w:rPr>
      </w:pPr>
      <w:r>
        <w:rPr>
          <w:rFonts w:eastAsia="Times New Roman"/>
          <w:b/>
          <w:bCs/>
          <w:color w:val="000000"/>
          <w:sz w:val="20"/>
          <w:szCs w:val="20"/>
        </w:rPr>
        <w:t>2)    LOANS TO AFFILIATES</w:t>
      </w:r>
    </w:p>
    <w:p w:rsidR="00000000" w:rsidRDefault="005B0BC3">
      <w:pPr>
        <w:divId w:val="867911099"/>
        <w:rPr>
          <w:rFonts w:eastAsia="Times New Roman"/>
        </w:rPr>
      </w:pPr>
      <w:r>
        <w:rPr>
          <w:rFonts w:eastAsia="Times New Roman"/>
          <w:color w:val="000000"/>
          <w:sz w:val="20"/>
          <w:szCs w:val="20"/>
        </w:rPr>
        <w:t>On November 4, 2019, Holdings made available to AB a $900 million committed, unsecured senior credit facility (the “EQH Facility”). The EQH Facility matures on November 4, 2024 and is available for AB's general business purposes.</w:t>
      </w:r>
      <w:r>
        <w:rPr>
          <w:rFonts w:eastAsia="Times New Roman"/>
          <w:color w:val="000000"/>
          <w:sz w:val="20"/>
          <w:szCs w:val="20"/>
        </w:rPr>
        <w:t xml:space="preserve"> Borrowings by AB under the EQH Facility generally bear interest at a rate per annum based on prevailing overnight commercial paper rates. The EQH Facility contains affirmative, negative and financial covenants which are substantially similar to those in A</w:t>
      </w:r>
      <w:r>
        <w:rPr>
          <w:rFonts w:eastAsia="Times New Roman"/>
          <w:color w:val="000000"/>
          <w:sz w:val="20"/>
          <w:szCs w:val="20"/>
        </w:rPr>
        <w:t xml:space="preserve">B’s committed bank facilities. The EQH Facility also includes customary events of default substantially similar to those in AB’s committed bank facilities, including provisions under which, upon the occurrence of an event of default, all outstanding loans </w:t>
      </w:r>
      <w:r>
        <w:rPr>
          <w:rFonts w:eastAsia="Times New Roman"/>
          <w:color w:val="000000"/>
          <w:sz w:val="20"/>
          <w:szCs w:val="20"/>
        </w:rPr>
        <w:t>may be accelerated and/or the lender’s commitment may be terminated. Amounts under the EQH Facility may be borrowed, repaid and re-borrowed by AB from time to time until the maturity of the facility. AB or Holdings may reduce or terminate the commitment at</w:t>
      </w:r>
      <w:r>
        <w:rPr>
          <w:rFonts w:eastAsia="Times New Roman"/>
          <w:color w:val="000000"/>
          <w:sz w:val="20"/>
          <w:szCs w:val="20"/>
        </w:rPr>
        <w:t xml:space="preserve"> any time without penalty upon proper notice. Holdings also may terminate the facility immediately upon a change of control of the general partner. In As of December 31, 2021 and 2020, $755 million and $675 million were outstanding under the EQH Facility r</w:t>
      </w:r>
      <w:r>
        <w:rPr>
          <w:rFonts w:eastAsia="Times New Roman"/>
          <w:color w:val="000000"/>
          <w:sz w:val="20"/>
          <w:szCs w:val="20"/>
        </w:rPr>
        <w:t>espectively .</w:t>
      </w:r>
    </w:p>
    <w:p w:rsidR="00000000" w:rsidRDefault="005B0BC3">
      <w:pPr>
        <w:divId w:val="620578982"/>
        <w:rPr>
          <w:rFonts w:eastAsia="Times New Roman"/>
        </w:rPr>
      </w:pPr>
      <w:r>
        <w:rPr>
          <w:rFonts w:eastAsia="Times New Roman"/>
          <w:color w:val="000000"/>
          <w:sz w:val="20"/>
          <w:szCs w:val="20"/>
        </w:rPr>
        <w:t>In 2018, Equitable Financial received a $572 million loan from Holdings. The loan had an interest rate of 3.75% and was repaid in March 2019.</w:t>
      </w:r>
    </w:p>
    <w:p w:rsidR="00000000" w:rsidRDefault="005B0BC3">
      <w:pPr>
        <w:divId w:val="579487636"/>
        <w:rPr>
          <w:rFonts w:eastAsia="Times New Roman"/>
        </w:rPr>
      </w:pPr>
      <w:r>
        <w:rPr>
          <w:rFonts w:eastAsia="Times New Roman"/>
          <w:b/>
          <w:bCs/>
          <w:color w:val="000000"/>
          <w:sz w:val="20"/>
          <w:szCs w:val="20"/>
        </w:rPr>
        <w:t>3)    LOANS FROM AFFILIATES</w:t>
      </w:r>
    </w:p>
    <w:p w:rsidR="00000000" w:rsidRDefault="005B0BC3">
      <w:pPr>
        <w:divId w:val="64451355"/>
        <w:rPr>
          <w:rFonts w:eastAsia="Times New Roman"/>
        </w:rPr>
      </w:pPr>
      <w:r>
        <w:rPr>
          <w:rFonts w:eastAsia="Times New Roman"/>
          <w:color w:val="000000"/>
          <w:sz w:val="20"/>
          <w:szCs w:val="20"/>
        </w:rPr>
        <w:t>In June 2021, Holdings received a $1.0 billion 10-year term loan from Eq</w:t>
      </w:r>
      <w:r>
        <w:rPr>
          <w:rFonts w:eastAsia="Times New Roman"/>
          <w:color w:val="000000"/>
          <w:sz w:val="20"/>
          <w:szCs w:val="20"/>
        </w:rPr>
        <w:t>uitable Financial. The loan has an interest rate of 3.23% and matures in June 2031.</w:t>
      </w:r>
    </w:p>
    <w:p w:rsidR="00000000" w:rsidRDefault="005B0BC3">
      <w:pPr>
        <w:divId w:val="1943494829"/>
        <w:rPr>
          <w:rFonts w:eastAsia="Times New Roman"/>
        </w:rPr>
      </w:pPr>
      <w:r>
        <w:rPr>
          <w:rFonts w:eastAsia="Times New Roman"/>
          <w:color w:val="000000"/>
          <w:sz w:val="20"/>
          <w:szCs w:val="20"/>
        </w:rPr>
        <w:t>In November 2019, Holdings received a $900 million loan from Equitable Financial. The loan has an interest rate of one- month LIBOR plus 1.33%. The loan matures on November</w:t>
      </w:r>
      <w:r>
        <w:rPr>
          <w:rFonts w:eastAsia="Times New Roman"/>
          <w:color w:val="000000"/>
          <w:sz w:val="20"/>
          <w:szCs w:val="20"/>
        </w:rPr>
        <w:t> 4, 2024. As of December 31, 2021, $900 million was outstanding on the loan.</w:t>
      </w:r>
    </w:p>
    <w:p w:rsidR="00000000" w:rsidRDefault="005B0BC3">
      <w:pPr>
        <w:divId w:val="1946646688"/>
        <w:rPr>
          <w:rFonts w:eastAsia="Times New Roman"/>
        </w:rPr>
      </w:pPr>
      <w:r>
        <w:rPr>
          <w:rFonts w:eastAsia="Times New Roman"/>
          <w:color w:val="000000"/>
          <w:sz w:val="20"/>
          <w:szCs w:val="20"/>
        </w:rPr>
        <w:t>In April 2018, Holdings received a $800 million loan from Equitable Financial. The loan has an interest rate of 3.69% and would mature in April 2021. In December 2018, Holdings re</w:t>
      </w:r>
      <w:r>
        <w:rPr>
          <w:rFonts w:eastAsia="Times New Roman"/>
          <w:color w:val="000000"/>
          <w:sz w:val="20"/>
          <w:szCs w:val="20"/>
        </w:rPr>
        <w:t xml:space="preserve">paid $200 million of this loan. In December 2019, Holdings repaid $300 million. On December 30, 2020, the remainder of this loan was repaid. </w:t>
      </w:r>
    </w:p>
    <w:p w:rsidR="00000000" w:rsidRDefault="005B0BC3">
      <w:pPr>
        <w:divId w:val="996885938"/>
        <w:rPr>
          <w:rFonts w:eastAsia="Times New Roman"/>
        </w:rPr>
      </w:pPr>
      <w:r>
        <w:rPr>
          <w:rFonts w:eastAsia="Times New Roman"/>
          <w:color w:val="000000"/>
          <w:sz w:val="20"/>
          <w:szCs w:val="20"/>
        </w:rPr>
        <w:t>Interest cost related to loans from affiliates totaled $30 million, $32 million and $26 million for the years ende</w:t>
      </w:r>
      <w:r>
        <w:rPr>
          <w:rFonts w:eastAsia="Times New Roman"/>
          <w:color w:val="000000"/>
          <w:sz w:val="20"/>
          <w:szCs w:val="20"/>
        </w:rPr>
        <w:t>d December 31, 2021, 2020 and 2019, respectively.</w:t>
      </w:r>
    </w:p>
    <w:p w:rsidR="00000000" w:rsidRDefault="005B0BC3">
      <w:pPr>
        <w:divId w:val="1391733457"/>
        <w:rPr>
          <w:rFonts w:eastAsia="Times New Roman"/>
        </w:rPr>
      </w:pPr>
      <w:r>
        <w:rPr>
          <w:rFonts w:eastAsia="Times New Roman"/>
          <w:b/>
          <w:bCs/>
          <w:color w:val="000000"/>
          <w:sz w:val="20"/>
          <w:szCs w:val="20"/>
        </w:rPr>
        <w:t>4)    INCOME TAXES</w:t>
      </w:r>
    </w:p>
    <w:p w:rsidR="00000000" w:rsidRDefault="005B0BC3">
      <w:pPr>
        <w:divId w:val="589192899"/>
        <w:rPr>
          <w:rFonts w:eastAsia="Times New Roman"/>
        </w:rPr>
      </w:pPr>
      <w:r>
        <w:rPr>
          <w:rFonts w:eastAsia="Times New Roman"/>
          <w:color w:val="000000"/>
          <w:sz w:val="20"/>
          <w:szCs w:val="20"/>
        </w:rPr>
        <w:t>Holdings and certain of its consolidated subsidiaries and affiliates file a consolidated federal income tax return. Holdings has tax sharing agreements with certain of its subsidiaries an</w:t>
      </w:r>
      <w:r>
        <w:rPr>
          <w:rFonts w:eastAsia="Times New Roman"/>
          <w:color w:val="000000"/>
          <w:sz w:val="20"/>
          <w:szCs w:val="20"/>
        </w:rPr>
        <w:t>d generally will either receive or pay these subsidiaries for utilization of the subsidiaries’ tax benefits or expense. Holdings settles these amounts annually.</w:t>
      </w:r>
    </w:p>
    <w:p w:rsidR="00000000" w:rsidRDefault="005B0BC3">
      <w:pPr>
        <w:ind w:hanging="720"/>
        <w:divId w:val="211692093"/>
        <w:rPr>
          <w:rFonts w:eastAsia="Times New Roman"/>
        </w:rPr>
      </w:pPr>
      <w:r>
        <w:rPr>
          <w:rFonts w:eastAsia="Times New Roman"/>
          <w:b/>
          <w:bCs/>
          <w:color w:val="000000"/>
          <w:sz w:val="20"/>
          <w:szCs w:val="20"/>
        </w:rPr>
        <w:t xml:space="preserve">5)    ISSUANCE OF SERIES A, SERIES B AND SERIES C FIXED RATE NONCUMULATIVE PERPETUAL PREFERRED </w:t>
      </w:r>
      <w:r>
        <w:rPr>
          <w:rFonts w:eastAsia="Times New Roman"/>
          <w:b/>
          <w:bCs/>
          <w:color w:val="000000"/>
          <w:sz w:val="20"/>
          <w:szCs w:val="20"/>
        </w:rPr>
        <w:t>STOCK</w:t>
      </w:r>
    </w:p>
    <w:p w:rsidR="00000000" w:rsidRDefault="005B0BC3">
      <w:pPr>
        <w:divId w:val="56250118"/>
        <w:rPr>
          <w:rFonts w:eastAsia="Times New Roman"/>
        </w:rPr>
      </w:pPr>
      <w:r>
        <w:rPr>
          <w:rFonts w:eastAsia="Times New Roman"/>
          <w:color w:val="000000"/>
          <w:sz w:val="20"/>
          <w:szCs w:val="20"/>
        </w:rPr>
        <w:t>See Note 20 of the Notes to these Consolidated Financial Statements.</w:t>
      </w:r>
    </w:p>
    <w:p w:rsidR="00000000" w:rsidRDefault="005B0BC3">
      <w:pPr>
        <w:divId w:val="998659039"/>
        <w:rPr>
          <w:rFonts w:eastAsia="Times New Roman"/>
        </w:rPr>
      </w:pPr>
      <w:r>
        <w:rPr>
          <w:rFonts w:eastAsia="Times New Roman"/>
          <w:b/>
          <w:bCs/>
          <w:color w:val="000000"/>
          <w:sz w:val="20"/>
          <w:szCs w:val="20"/>
        </w:rPr>
        <w:t>6)    SHARE REPURCHASE</w:t>
      </w:r>
    </w:p>
    <w:p w:rsidR="00000000" w:rsidRDefault="005B0BC3">
      <w:pPr>
        <w:divId w:val="1022246880"/>
        <w:rPr>
          <w:rFonts w:eastAsia="Times New Roman"/>
        </w:rPr>
      </w:pPr>
      <w:r>
        <w:rPr>
          <w:rFonts w:eastAsia="Times New Roman"/>
          <w:color w:val="000000"/>
          <w:sz w:val="20"/>
          <w:szCs w:val="20"/>
        </w:rPr>
        <w:t>See Note 20 of the Notes to these Consolidated Financial Statements.</w:t>
      </w:r>
    </w:p>
    <w:p w:rsidR="00000000" w:rsidRDefault="005B0BC3">
      <w:pPr>
        <w:jc w:val="center"/>
        <w:divId w:val="200244078"/>
        <w:rPr>
          <w:rFonts w:eastAsia="Times New Roman"/>
        </w:rPr>
      </w:pPr>
      <w:r>
        <w:rPr>
          <w:rFonts w:eastAsia="Times New Roman"/>
          <w:color w:val="000000"/>
          <w:sz w:val="20"/>
          <w:szCs w:val="20"/>
        </w:rPr>
        <w:t>237</w:t>
      </w:r>
    </w:p>
    <w:p w:rsidR="00000000" w:rsidRDefault="005B0BC3">
      <w:pPr>
        <w:rPr>
          <w:rFonts w:eastAsia="Times New Roman"/>
        </w:rPr>
      </w:pPr>
      <w:r>
        <w:rPr>
          <w:rFonts w:eastAsia="Times New Roman"/>
        </w:rPr>
        <w:pict>
          <v:rect id="_x0000_i1275" style="width:0;height:1.5pt" o:hralign="center" o:hrstd="t" o:hr="t" fillcolor="#a0a0a0" stroked="f"/>
        </w:pict>
      </w:r>
    </w:p>
    <w:p w:rsidR="00000000" w:rsidRDefault="005B0BC3">
      <w:pPr>
        <w:divId w:val="1667510942"/>
        <w:rPr>
          <w:rFonts w:eastAsia="Times New Roman"/>
        </w:rPr>
      </w:pPr>
      <w:hyperlink w:anchor="i2ac35847634046b3a89f93d9b422e8f5_421" w:history="1">
        <w:r>
          <w:rPr>
            <w:rStyle w:val="a3"/>
            <w:rFonts w:eastAsia="Times New Roman"/>
            <w:b/>
            <w:bCs/>
            <w:sz w:val="20"/>
            <w:szCs w:val="20"/>
          </w:rPr>
          <w:t>Table of Contents</w:t>
        </w:r>
      </w:hyperlink>
      <w:hyperlink w:anchor="i2ac35847634046b3a89f93d9b422e8f5_421" w:history="1">
        <w:r>
          <w:rPr>
            <w:rStyle w:val="a3"/>
            <w:rFonts w:eastAsia="Times New Roman"/>
            <w:b/>
            <w:bCs/>
            <w:sz w:val="20"/>
            <w:szCs w:val="20"/>
          </w:rPr>
          <w:t>    </w:t>
        </w:r>
      </w:hyperlink>
      <w:hyperlink w:anchor="i2ac35847634046b3a89f93d9b422e8f5_421" w:history="1">
        <w:r>
          <w:rPr>
            <w:rStyle w:val="a3"/>
            <w:rFonts w:eastAsia="Times New Roman"/>
            <w:b/>
            <w:bCs/>
            <w:sz w:val="20"/>
            <w:szCs w:val="20"/>
          </w:rPr>
          <w:t>    </w:t>
        </w:r>
      </w:hyperlink>
      <w:hyperlink w:anchor="i2ac35847634046b3a89f93d9b422e8f5_421" w:history="1">
        <w:r>
          <w:rPr>
            <w:rStyle w:val="a3"/>
            <w:rFonts w:eastAsia="Times New Roman"/>
            <w:b/>
            <w:bCs/>
            <w:sz w:val="20"/>
            <w:szCs w:val="20"/>
          </w:rPr>
          <w:t>    </w:t>
        </w:r>
      </w:hyperlink>
    </w:p>
    <w:p w:rsidR="00000000" w:rsidRDefault="005B0BC3">
      <w:pPr>
        <w:jc w:val="center"/>
        <w:divId w:val="1828745084"/>
        <w:rPr>
          <w:rFonts w:eastAsia="Times New Roman"/>
        </w:rPr>
      </w:pPr>
      <w:r>
        <w:rPr>
          <w:rFonts w:eastAsia="Times New Roman"/>
          <w:b/>
          <w:bCs/>
          <w:color w:val="000000"/>
          <w:sz w:val="20"/>
          <w:szCs w:val="20"/>
        </w:rPr>
        <w:t xml:space="preserve">EQUITABLE HOLDINGS, INC. </w:t>
      </w:r>
    </w:p>
    <w:p w:rsidR="00000000" w:rsidRDefault="005B0BC3">
      <w:pPr>
        <w:jc w:val="center"/>
        <w:divId w:val="1828745084"/>
        <w:rPr>
          <w:rFonts w:eastAsia="Times New Roman"/>
        </w:rPr>
      </w:pPr>
    </w:p>
    <w:p w:rsidR="00000000" w:rsidRDefault="005B0BC3">
      <w:pPr>
        <w:ind w:firstLine="720"/>
        <w:jc w:val="center"/>
        <w:rPr>
          <w:rFonts w:eastAsia="Times New Roman"/>
        </w:rPr>
      </w:pPr>
      <w:r>
        <w:rPr>
          <w:rFonts w:eastAsia="Times New Roman"/>
          <w:b/>
          <w:bCs/>
          <w:color w:val="000000"/>
          <w:sz w:val="20"/>
          <w:szCs w:val="20"/>
        </w:rPr>
        <w:t>SCHEDULE III</w:t>
      </w:r>
    </w:p>
    <w:p w:rsidR="00000000" w:rsidRDefault="005B0BC3">
      <w:pPr>
        <w:jc w:val="center"/>
        <w:rPr>
          <w:rFonts w:eastAsia="Times New Roman"/>
        </w:rPr>
      </w:pPr>
      <w:r>
        <w:rPr>
          <w:rFonts w:eastAsia="Times New Roman"/>
          <w:b/>
          <w:bCs/>
          <w:color w:val="000000"/>
          <w:sz w:val="20"/>
          <w:szCs w:val="20"/>
        </w:rPr>
        <w:t>SUPPLEMENTARY INSURANCE INFORMATION</w:t>
      </w:r>
    </w:p>
    <w:p w:rsidR="00000000" w:rsidRDefault="005B0BC3">
      <w:pPr>
        <w:jc w:val="center"/>
        <w:divId w:val="101733306"/>
        <w:rPr>
          <w:rFonts w:eastAsia="Times New Roman"/>
        </w:rPr>
      </w:pPr>
      <w:r>
        <w:rPr>
          <w:rFonts w:eastAsia="Times New Roman"/>
          <w:b/>
          <w:bCs/>
          <w:color w:val="000000"/>
          <w:sz w:val="20"/>
          <w:szCs w:val="20"/>
        </w:rPr>
        <w:t xml:space="preserve">AS OF AND FOR THE YEAR ENDED DECEMBER 31, 2021 </w:t>
      </w:r>
    </w:p>
    <w:tbl>
      <w:tblPr>
        <w:tblW w:w="5000" w:type="pct"/>
        <w:tblCellMar>
          <w:top w:w="15" w:type="dxa"/>
          <w:left w:w="15" w:type="dxa"/>
          <w:bottom w:w="15" w:type="dxa"/>
          <w:right w:w="15" w:type="dxa"/>
        </w:tblCellMar>
        <w:tblLook w:val="04A0" w:firstRow="1" w:lastRow="0" w:firstColumn="1" w:lastColumn="0" w:noHBand="0" w:noVBand="1"/>
      </w:tblPr>
      <w:tblGrid>
        <w:gridCol w:w="38"/>
        <w:gridCol w:w="2679"/>
        <w:gridCol w:w="37"/>
        <w:gridCol w:w="121"/>
        <w:gridCol w:w="711"/>
        <w:gridCol w:w="36"/>
        <w:gridCol w:w="36"/>
        <w:gridCol w:w="36"/>
        <w:gridCol w:w="36"/>
        <w:gridCol w:w="121"/>
        <w:gridCol w:w="711"/>
        <w:gridCol w:w="36"/>
        <w:gridCol w:w="36"/>
        <w:gridCol w:w="36"/>
        <w:gridCol w:w="36"/>
        <w:gridCol w:w="121"/>
        <w:gridCol w:w="835"/>
        <w:gridCol w:w="36"/>
        <w:gridCol w:w="36"/>
        <w:gridCol w:w="36"/>
        <w:gridCol w:w="36"/>
        <w:gridCol w:w="121"/>
        <w:gridCol w:w="657"/>
        <w:gridCol w:w="36"/>
        <w:gridCol w:w="36"/>
        <w:gridCol w:w="36"/>
        <w:gridCol w:w="36"/>
        <w:gridCol w:w="121"/>
        <w:gridCol w:w="657"/>
        <w:gridCol w:w="36"/>
        <w:gridCol w:w="36"/>
        <w:gridCol w:w="36"/>
        <w:gridCol w:w="36"/>
        <w:gridCol w:w="120"/>
        <w:gridCol w:w="500"/>
        <w:gridCol w:w="36"/>
      </w:tblGrid>
      <w:tr w:rsidR="00000000">
        <w:trPr>
          <w:divId w:val="1976519269"/>
        </w:trPr>
        <w:tc>
          <w:tcPr>
            <w:tcW w:w="50" w:type="pct"/>
            <w:vAlign w:val="center"/>
            <w:hideMark/>
          </w:tcPr>
          <w:p w:rsidR="00000000" w:rsidRDefault="005B0BC3">
            <w:pPr>
              <w:jc w:val="center"/>
              <w:rPr>
                <w:rFonts w:eastAsia="Times New Roman"/>
              </w:rPr>
            </w:pPr>
          </w:p>
        </w:tc>
        <w:tc>
          <w:tcPr>
            <w:tcW w:w="206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8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8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4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8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8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8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976519269"/>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Individual Retirement</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Group Retirement</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Investment Management and Research</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Protection Solutions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Corporate and Other</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Total</w:t>
            </w:r>
          </w:p>
        </w:tc>
      </w:tr>
      <w:tr w:rsidR="00000000">
        <w:trPr>
          <w:divId w:val="1976519269"/>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1976519269"/>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Deferred policy acquisition costs</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3,639</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776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1,066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5,491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976519269"/>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Policyholders’ account balances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38,456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13,049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15,027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12,825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79,357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976519269"/>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Future policy benefits and other policyholders' liabilities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22,904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4,843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8,967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36,717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976519269"/>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Policy charges and premium revenue</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1,867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371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2,016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343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4,597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976519269"/>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Net derivative gains (losses)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(4,386)</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(29)</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(13)</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(83)</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46</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(4,465)</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976519269"/>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Net investment income (loss)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1,221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751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747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3,846</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976519269"/>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Policyholders’ benefits and interest credited</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912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2,478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4,437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976519269"/>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Amortization of deferred policy acquisition costs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294</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393</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976519269"/>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All other operating expenses (1)</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814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362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3,241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780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1,178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6,375</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ind w:firstLine="360"/>
        <w:divId w:val="868640764"/>
        <w:rPr>
          <w:rFonts w:eastAsia="Times New Roman"/>
        </w:rPr>
      </w:pPr>
    </w:p>
    <w:p w:rsidR="00000000" w:rsidRDefault="005B0BC3">
      <w:pPr>
        <w:jc w:val="center"/>
        <w:divId w:val="1581524432"/>
        <w:rPr>
          <w:rFonts w:eastAsia="Times New Roman"/>
        </w:rPr>
      </w:pPr>
      <w:r>
        <w:rPr>
          <w:rFonts w:eastAsia="Times New Roman"/>
          <w:b/>
          <w:bCs/>
          <w:color w:val="000000"/>
          <w:sz w:val="20"/>
          <w:szCs w:val="20"/>
        </w:rPr>
        <w:t xml:space="preserve">AS OF AND FOR THE YEAR ENDED DECEMBER 31, 2020 </w:t>
      </w:r>
    </w:p>
    <w:tbl>
      <w:tblPr>
        <w:tblW w:w="5000" w:type="pct"/>
        <w:tblCellMar>
          <w:top w:w="15" w:type="dxa"/>
          <w:left w:w="15" w:type="dxa"/>
          <w:bottom w:w="15" w:type="dxa"/>
          <w:right w:w="15" w:type="dxa"/>
        </w:tblCellMar>
        <w:tblLook w:val="04A0" w:firstRow="1" w:lastRow="0" w:firstColumn="1" w:lastColumn="0" w:noHBand="0" w:noVBand="1"/>
      </w:tblPr>
      <w:tblGrid>
        <w:gridCol w:w="38"/>
        <w:gridCol w:w="2682"/>
        <w:gridCol w:w="37"/>
        <w:gridCol w:w="121"/>
        <w:gridCol w:w="709"/>
        <w:gridCol w:w="36"/>
        <w:gridCol w:w="36"/>
        <w:gridCol w:w="36"/>
        <w:gridCol w:w="36"/>
        <w:gridCol w:w="121"/>
        <w:gridCol w:w="709"/>
        <w:gridCol w:w="36"/>
        <w:gridCol w:w="36"/>
        <w:gridCol w:w="36"/>
        <w:gridCol w:w="36"/>
        <w:gridCol w:w="121"/>
        <w:gridCol w:w="840"/>
        <w:gridCol w:w="36"/>
        <w:gridCol w:w="36"/>
        <w:gridCol w:w="36"/>
        <w:gridCol w:w="36"/>
        <w:gridCol w:w="121"/>
        <w:gridCol w:w="655"/>
        <w:gridCol w:w="36"/>
        <w:gridCol w:w="36"/>
        <w:gridCol w:w="36"/>
        <w:gridCol w:w="36"/>
        <w:gridCol w:w="121"/>
        <w:gridCol w:w="655"/>
        <w:gridCol w:w="36"/>
        <w:gridCol w:w="36"/>
        <w:gridCol w:w="36"/>
        <w:gridCol w:w="36"/>
        <w:gridCol w:w="120"/>
        <w:gridCol w:w="500"/>
        <w:gridCol w:w="36"/>
      </w:tblGrid>
      <w:tr w:rsidR="00000000">
        <w:trPr>
          <w:divId w:val="1530215498"/>
        </w:trPr>
        <w:tc>
          <w:tcPr>
            <w:tcW w:w="50" w:type="pct"/>
            <w:vAlign w:val="center"/>
            <w:hideMark/>
          </w:tcPr>
          <w:p w:rsidR="00000000" w:rsidRDefault="005B0BC3">
            <w:pPr>
              <w:jc w:val="center"/>
              <w:rPr>
                <w:rFonts w:eastAsia="Times New Roman"/>
              </w:rPr>
            </w:pPr>
          </w:p>
        </w:tc>
        <w:tc>
          <w:tcPr>
            <w:tcW w:w="207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7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7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7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7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7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7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530215498"/>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Individual Retirement</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Group Retirement</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Investment Management and Research</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Protection Solutions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Corporate and Other</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Total</w:t>
            </w:r>
          </w:p>
        </w:tc>
      </w:tr>
      <w:tr w:rsidR="00000000">
        <w:trPr>
          <w:divId w:val="1530215498"/>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1530215498"/>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Deferred policy acquisition costs (2)</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3,178 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632 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418 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4,243 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530215498"/>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Policyholders’ account balances (2)</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30,736 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12,828 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14,875 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8,381 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66,820 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530215498"/>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Future policy benefits and other policyholders' liabilities (2)</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25,212 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5,031 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9,629 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39,881 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530215498"/>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Policy charges and premium revenue</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2,034 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295 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2,013 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390 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4,732 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530215498"/>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Net derivative gains (losses)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(1,999)</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(36)</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413 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(98)</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(1,722)</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530215498"/>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Net investment income (loss)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1,337 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644 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36 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941 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519 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3,477 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530215498"/>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Policyholders’ benefits and interest credited</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3,086 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305 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2,372 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785 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6,548 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530215498"/>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Amortization of deferred policy acquisition costs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321 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1,220 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1,613 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530215498"/>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All other operating expenses (1)</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724 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284 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2,815 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546 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978 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5,347 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ind w:hanging="720"/>
        <w:divId w:val="2128427394"/>
        <w:rPr>
          <w:rFonts w:eastAsia="Times New Roman"/>
        </w:rPr>
      </w:pPr>
    </w:p>
    <w:p w:rsidR="00000000" w:rsidRDefault="005B0BC3">
      <w:pPr>
        <w:jc w:val="center"/>
        <w:divId w:val="1316835524"/>
        <w:rPr>
          <w:rFonts w:eastAsia="Times New Roman"/>
        </w:rPr>
      </w:pPr>
      <w:r>
        <w:rPr>
          <w:rFonts w:eastAsia="Times New Roman"/>
          <w:b/>
          <w:bCs/>
          <w:color w:val="000000"/>
          <w:sz w:val="20"/>
          <w:szCs w:val="20"/>
        </w:rPr>
        <w:t xml:space="preserve">AS OF AND FOR THE YEAR ENDED DECEMBER 31, 2019 </w:t>
      </w:r>
    </w:p>
    <w:tbl>
      <w:tblPr>
        <w:tblW w:w="5000" w:type="pct"/>
        <w:tblCellMar>
          <w:top w:w="15" w:type="dxa"/>
          <w:left w:w="15" w:type="dxa"/>
          <w:bottom w:w="15" w:type="dxa"/>
          <w:right w:w="15" w:type="dxa"/>
        </w:tblCellMar>
        <w:tblLook w:val="04A0" w:firstRow="1" w:lastRow="0" w:firstColumn="1" w:lastColumn="0" w:noHBand="0" w:noVBand="1"/>
      </w:tblPr>
      <w:tblGrid>
        <w:gridCol w:w="38"/>
        <w:gridCol w:w="2684"/>
        <w:gridCol w:w="37"/>
        <w:gridCol w:w="121"/>
        <w:gridCol w:w="709"/>
        <w:gridCol w:w="36"/>
        <w:gridCol w:w="36"/>
        <w:gridCol w:w="36"/>
        <w:gridCol w:w="36"/>
        <w:gridCol w:w="121"/>
        <w:gridCol w:w="709"/>
        <w:gridCol w:w="36"/>
        <w:gridCol w:w="36"/>
        <w:gridCol w:w="36"/>
        <w:gridCol w:w="36"/>
        <w:gridCol w:w="121"/>
        <w:gridCol w:w="838"/>
        <w:gridCol w:w="36"/>
        <w:gridCol w:w="36"/>
        <w:gridCol w:w="36"/>
        <w:gridCol w:w="36"/>
        <w:gridCol w:w="121"/>
        <w:gridCol w:w="655"/>
        <w:gridCol w:w="36"/>
        <w:gridCol w:w="36"/>
        <w:gridCol w:w="36"/>
        <w:gridCol w:w="36"/>
        <w:gridCol w:w="121"/>
        <w:gridCol w:w="655"/>
        <w:gridCol w:w="36"/>
        <w:gridCol w:w="36"/>
        <w:gridCol w:w="36"/>
        <w:gridCol w:w="36"/>
        <w:gridCol w:w="120"/>
        <w:gridCol w:w="500"/>
        <w:gridCol w:w="36"/>
      </w:tblGrid>
      <w:tr w:rsidR="00000000">
        <w:trPr>
          <w:divId w:val="1329671914"/>
        </w:trPr>
        <w:tc>
          <w:tcPr>
            <w:tcW w:w="50" w:type="pct"/>
            <w:vAlign w:val="center"/>
            <w:hideMark/>
          </w:tcPr>
          <w:p w:rsidR="00000000" w:rsidRDefault="005B0BC3">
            <w:pPr>
              <w:jc w:val="center"/>
              <w:rPr>
                <w:rFonts w:eastAsia="Times New Roman"/>
              </w:rPr>
            </w:pPr>
          </w:p>
        </w:tc>
        <w:tc>
          <w:tcPr>
            <w:tcW w:w="208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7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7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6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7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7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7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329671914"/>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Individual Retirement</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Group Retirement</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Investment Management and Research</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Protection Solutions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Corporate and Other</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Total</w:t>
            </w:r>
          </w:p>
        </w:tc>
      </w:tr>
      <w:tr w:rsidR="00000000">
        <w:trPr>
          <w:divId w:val="1329671914"/>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gridSpan w:val="3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r>
      <w:tr w:rsidR="00000000">
        <w:trPr>
          <w:divId w:val="1329671914"/>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Deferred policy acquisition costs (2)</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3,285 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659 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1,880 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5,837 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29671914"/>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Policyholders’ account balances (2)</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26,359 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12,068 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14,090 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6,362 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58,879 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29671914"/>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Future policy benefits and other policyholders' liabilities (2)</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20,401 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4,156 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10,071 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34,635 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29671914"/>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Policy charges and premium revenue</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2,085 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279 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2,148 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413 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4,925 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29671914"/>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Net derivative gains (losses)</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(3,850)</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(38)</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(28)</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(102)</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(4,012)</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29671914"/>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Net investment income (loss)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1,478 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593 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967 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562 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3,699 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29671914"/>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Policyholders’ benefits and interest credited</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2,321 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304 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2,172 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851 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5,648 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29671914"/>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Amortization of deferred policy acquisition costs</w:t>
            </w: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283 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274 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597 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r>
      <w:tr w:rsidR="00000000">
        <w:trPr>
          <w:divId w:val="1329671914"/>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All other operating expenses (1)</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785 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318 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2,709 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576 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1,046 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5,434 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r>
    </w:tbl>
    <w:p w:rsidR="00000000" w:rsidRDefault="005B0BC3">
      <w:pPr>
        <w:ind w:hanging="720"/>
        <w:divId w:val="1321273177"/>
        <w:rPr>
          <w:rFonts w:eastAsia="Times New Roman"/>
        </w:rPr>
      </w:pPr>
      <w:r>
        <w:rPr>
          <w:rFonts w:eastAsia="Times New Roman"/>
          <w:color w:val="000000"/>
          <w:sz w:val="18"/>
          <w:szCs w:val="18"/>
        </w:rPr>
        <w:t>_____________</w:t>
      </w:r>
    </w:p>
    <w:p w:rsidR="00000000" w:rsidRDefault="005B0BC3">
      <w:pPr>
        <w:ind w:hanging="360"/>
        <w:divId w:val="1577596251"/>
        <w:rPr>
          <w:rFonts w:eastAsia="Times New Roman"/>
        </w:rPr>
      </w:pPr>
      <w:r>
        <w:rPr>
          <w:rFonts w:eastAsia="Times New Roman"/>
          <w:color w:val="000000"/>
          <w:sz w:val="18"/>
          <w:szCs w:val="18"/>
        </w:rPr>
        <w:t>(1)</w:t>
      </w:r>
      <w:r>
        <w:rPr>
          <w:rFonts w:eastAsia="Times New Roman"/>
          <w:color w:val="000000"/>
          <w:sz w:val="18"/>
          <w:szCs w:val="18"/>
        </w:rPr>
        <w:t>Operating expenses are allocated to segments.</w:t>
      </w:r>
    </w:p>
    <w:p w:rsidR="00000000" w:rsidRDefault="005B0BC3">
      <w:pPr>
        <w:ind w:hanging="360"/>
        <w:divId w:val="3824984"/>
        <w:rPr>
          <w:rFonts w:eastAsia="Times New Roman"/>
        </w:rPr>
      </w:pPr>
      <w:r>
        <w:rPr>
          <w:rFonts w:eastAsia="Times New Roman"/>
          <w:color w:val="000000"/>
          <w:sz w:val="18"/>
          <w:szCs w:val="18"/>
        </w:rPr>
        <w:t>(2)Excludes amounts reclassified as HFS.</w:t>
      </w:r>
    </w:p>
    <w:p w:rsidR="00000000" w:rsidRDefault="005B0BC3">
      <w:pPr>
        <w:jc w:val="center"/>
        <w:divId w:val="547180742"/>
        <w:rPr>
          <w:rFonts w:eastAsia="Times New Roman"/>
        </w:rPr>
      </w:pPr>
      <w:r>
        <w:rPr>
          <w:rFonts w:eastAsia="Times New Roman"/>
          <w:color w:val="000000"/>
          <w:sz w:val="20"/>
          <w:szCs w:val="20"/>
        </w:rPr>
        <w:t>238</w:t>
      </w:r>
    </w:p>
    <w:p w:rsidR="00000000" w:rsidRDefault="005B0BC3">
      <w:pPr>
        <w:rPr>
          <w:rFonts w:eastAsia="Times New Roman"/>
        </w:rPr>
      </w:pPr>
      <w:r>
        <w:rPr>
          <w:rFonts w:eastAsia="Times New Roman"/>
        </w:rPr>
        <w:pict>
          <v:rect id="_x0000_i1276" style="width:0;height:1.5pt" o:hralign="center" o:hrstd="t" o:hr="t" fillcolor="#a0a0a0" stroked="f"/>
        </w:pict>
      </w:r>
    </w:p>
    <w:p w:rsidR="00000000" w:rsidRDefault="005B0BC3">
      <w:pPr>
        <w:divId w:val="1741440446"/>
        <w:rPr>
          <w:rFonts w:eastAsia="Times New Roman"/>
        </w:rPr>
      </w:pPr>
      <w:hyperlink w:anchor="i2ac35847634046b3a89f93d9b422e8f5_421" w:history="1">
        <w:r>
          <w:rPr>
            <w:rStyle w:val="a3"/>
            <w:rFonts w:eastAsia="Times New Roman"/>
            <w:b/>
            <w:bCs/>
            <w:sz w:val="20"/>
            <w:szCs w:val="20"/>
          </w:rPr>
          <w:t>Table of Contents</w:t>
        </w:r>
      </w:hyperlink>
      <w:hyperlink w:anchor="i2ac35847634046b3a89f93d9b422e8f5_421" w:history="1">
        <w:r>
          <w:rPr>
            <w:rStyle w:val="a3"/>
            <w:rFonts w:eastAsia="Times New Roman"/>
            <w:b/>
            <w:bCs/>
            <w:sz w:val="20"/>
            <w:szCs w:val="20"/>
          </w:rPr>
          <w:t>    </w:t>
        </w:r>
      </w:hyperlink>
      <w:hyperlink w:anchor="i2ac35847634046b3a89f93d9b422e8f5_421" w:history="1">
        <w:r>
          <w:rPr>
            <w:rStyle w:val="a3"/>
            <w:rFonts w:eastAsia="Times New Roman"/>
            <w:b/>
            <w:bCs/>
            <w:sz w:val="20"/>
            <w:szCs w:val="20"/>
          </w:rPr>
          <w:t>    </w:t>
        </w:r>
      </w:hyperlink>
      <w:hyperlink w:anchor="i2ac35847634046b3a89f93d9b422e8f5_421" w:history="1">
        <w:r>
          <w:rPr>
            <w:rStyle w:val="a3"/>
            <w:rFonts w:eastAsia="Times New Roman"/>
            <w:b/>
            <w:bCs/>
            <w:sz w:val="20"/>
            <w:szCs w:val="20"/>
          </w:rPr>
          <w:t>    </w:t>
        </w:r>
      </w:hyperlink>
    </w:p>
    <w:p w:rsidR="00000000" w:rsidRDefault="005B0BC3">
      <w:pPr>
        <w:jc w:val="center"/>
        <w:divId w:val="436800393"/>
        <w:rPr>
          <w:rFonts w:eastAsia="Times New Roman"/>
        </w:rPr>
      </w:pPr>
      <w:r>
        <w:rPr>
          <w:rFonts w:eastAsia="Times New Roman"/>
          <w:b/>
          <w:bCs/>
          <w:color w:val="000000"/>
          <w:sz w:val="20"/>
          <w:szCs w:val="20"/>
        </w:rPr>
        <w:t xml:space="preserve">EQUITABLE HOLDINGS, INC. </w:t>
      </w:r>
    </w:p>
    <w:p w:rsidR="00000000" w:rsidRDefault="005B0BC3">
      <w:pPr>
        <w:jc w:val="center"/>
        <w:divId w:val="436800393"/>
        <w:rPr>
          <w:rFonts w:eastAsia="Times New Roman"/>
        </w:rPr>
      </w:pPr>
    </w:p>
    <w:p w:rsidR="00000000" w:rsidRDefault="005B0BC3">
      <w:pPr>
        <w:ind w:hanging="360"/>
        <w:divId w:val="391273901"/>
        <w:rPr>
          <w:rFonts w:eastAsia="Times New Roman"/>
        </w:rPr>
      </w:pPr>
    </w:p>
    <w:p w:rsidR="00000000" w:rsidRDefault="005B0BC3">
      <w:pPr>
        <w:ind w:firstLine="720"/>
        <w:jc w:val="center"/>
        <w:rPr>
          <w:rFonts w:eastAsia="Times New Roman"/>
        </w:rPr>
      </w:pPr>
      <w:r>
        <w:rPr>
          <w:rFonts w:eastAsia="Times New Roman"/>
          <w:b/>
          <w:bCs/>
          <w:color w:val="000000"/>
          <w:sz w:val="20"/>
          <w:szCs w:val="20"/>
        </w:rPr>
        <w:t>SCHEDULE IV</w:t>
      </w:r>
    </w:p>
    <w:p w:rsidR="00000000" w:rsidRDefault="005B0BC3">
      <w:pPr>
        <w:jc w:val="center"/>
        <w:rPr>
          <w:rFonts w:eastAsia="Times New Roman"/>
        </w:rPr>
      </w:pPr>
      <w:r>
        <w:rPr>
          <w:rFonts w:eastAsia="Times New Roman"/>
          <w:b/>
          <w:bCs/>
          <w:color w:val="000000"/>
          <w:sz w:val="20"/>
          <w:szCs w:val="20"/>
        </w:rPr>
        <w:t>REINSURANCE (1)</w:t>
      </w:r>
    </w:p>
    <w:p w:rsidR="00000000" w:rsidRDefault="005B0BC3">
      <w:pPr>
        <w:jc w:val="center"/>
        <w:divId w:val="1756782197"/>
        <w:rPr>
          <w:rFonts w:eastAsia="Times New Roman"/>
        </w:rPr>
      </w:pPr>
      <w:r>
        <w:rPr>
          <w:rFonts w:eastAsia="Times New Roman"/>
          <w:b/>
          <w:bCs/>
          <w:color w:val="000000"/>
          <w:sz w:val="20"/>
          <w:szCs w:val="20"/>
        </w:rPr>
        <w:t>AS OF AND FOR THE YEARS ENDED DECEMBER 31, 2021, 2020 AN</w:t>
      </w:r>
      <w:r>
        <w:rPr>
          <w:rFonts w:eastAsia="Times New Roman"/>
          <w:b/>
          <w:bCs/>
          <w:color w:val="000000"/>
          <w:sz w:val="20"/>
          <w:szCs w:val="20"/>
        </w:rPr>
        <w:t xml:space="preserve">D 2019 </w:t>
      </w:r>
    </w:p>
    <w:tbl>
      <w:tblPr>
        <w:tblW w:w="5000" w:type="pct"/>
        <w:tblCellMar>
          <w:top w:w="15" w:type="dxa"/>
          <w:left w:w="15" w:type="dxa"/>
          <w:bottom w:w="15" w:type="dxa"/>
          <w:right w:w="15" w:type="dxa"/>
        </w:tblCellMar>
        <w:tblLook w:val="04A0" w:firstRow="1" w:lastRow="0" w:firstColumn="1" w:lastColumn="0" w:noHBand="0" w:noVBand="1"/>
      </w:tblPr>
      <w:tblGrid>
        <w:gridCol w:w="39"/>
        <w:gridCol w:w="2736"/>
        <w:gridCol w:w="37"/>
        <w:gridCol w:w="120"/>
        <w:gridCol w:w="880"/>
        <w:gridCol w:w="36"/>
        <w:gridCol w:w="36"/>
        <w:gridCol w:w="36"/>
        <w:gridCol w:w="36"/>
        <w:gridCol w:w="120"/>
        <w:gridCol w:w="827"/>
        <w:gridCol w:w="36"/>
        <w:gridCol w:w="36"/>
        <w:gridCol w:w="36"/>
        <w:gridCol w:w="36"/>
        <w:gridCol w:w="121"/>
        <w:gridCol w:w="828"/>
        <w:gridCol w:w="36"/>
        <w:gridCol w:w="36"/>
        <w:gridCol w:w="36"/>
        <w:gridCol w:w="36"/>
        <w:gridCol w:w="120"/>
        <w:gridCol w:w="829"/>
        <w:gridCol w:w="36"/>
        <w:gridCol w:w="36"/>
        <w:gridCol w:w="36"/>
        <w:gridCol w:w="36"/>
        <w:gridCol w:w="65"/>
        <w:gridCol w:w="788"/>
        <w:gridCol w:w="220"/>
      </w:tblGrid>
      <w:tr w:rsidR="00000000">
        <w:trPr>
          <w:divId w:val="946162917"/>
        </w:trPr>
        <w:tc>
          <w:tcPr>
            <w:tcW w:w="50" w:type="pct"/>
            <w:vAlign w:val="center"/>
            <w:hideMark/>
          </w:tcPr>
          <w:p w:rsidR="00000000" w:rsidRDefault="005B0BC3">
            <w:pPr>
              <w:jc w:val="center"/>
              <w:rPr>
                <w:rFonts w:eastAsia="Times New Roman"/>
              </w:rPr>
            </w:pPr>
          </w:p>
        </w:tc>
        <w:tc>
          <w:tcPr>
            <w:tcW w:w="169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6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6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6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6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56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946162917"/>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16"/>
                <w:szCs w:val="16"/>
              </w:rPr>
              <w:t> </w:t>
            </w: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Gross Amount</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Ceded to Other Companies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Assumed from Other Companies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Net Amount</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Percentage of Amount Assumed to Net</w:t>
            </w:r>
          </w:p>
        </w:tc>
      </w:tr>
      <w:tr w:rsidR="00000000">
        <w:trPr>
          <w:divId w:val="946162917"/>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(in millions)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946162917"/>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2021</w:t>
            </w: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946162917"/>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Life insurance in-force</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484,082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185,203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31,971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330,850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9.7</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p>
        </w:tc>
      </w:tr>
      <w:tr w:rsidR="00000000">
        <w:trPr>
          <w:divId w:val="946162917"/>
          <w:trHeight w:val="280"/>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946162917"/>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Premiums:</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946162917"/>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Life insurance and annuities</w:t>
            </w: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802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155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181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828</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21.9</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p>
        </w:tc>
      </w:tr>
      <w:tr w:rsidR="00000000">
        <w:trPr>
          <w:divId w:val="946162917"/>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Accident and health</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168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44</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8</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132</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6.1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p>
        </w:tc>
      </w:tr>
      <w:tr w:rsidR="00000000">
        <w:trPr>
          <w:divId w:val="946162917"/>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Total premiums</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970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199</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189</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b/>
                <w:bCs/>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960</w:t>
            </w:r>
            <w:r>
              <w:rPr>
                <w:rFonts w:eastAsia="Times New Roman"/>
                <w:color w:val="000000"/>
                <w:sz w:val="20"/>
                <w:szCs w:val="20"/>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b/>
                <w:bCs/>
                <w:color w:val="000000"/>
                <w:sz w:val="20"/>
                <w:szCs w:val="20"/>
              </w:rPr>
              <w:t>19.7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b/>
                <w:bCs/>
                <w:color w:val="000000"/>
                <w:sz w:val="20"/>
                <w:szCs w:val="20"/>
              </w:rPr>
              <w:t>%</w:t>
            </w:r>
          </w:p>
        </w:tc>
      </w:tr>
      <w:tr w:rsidR="00000000">
        <w:trPr>
          <w:divId w:val="946162917"/>
          <w:trHeight w:val="280"/>
        </w:trPr>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946162917"/>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2020</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946162917"/>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Life insurance in-force</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473,514 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94,231 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33,098 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412,381 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r>
      <w:tr w:rsidR="00000000">
        <w:trPr>
          <w:divId w:val="946162917"/>
          <w:trHeight w:val="280"/>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946162917"/>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Premiums:</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946162917"/>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Life insurance and annuities</w:t>
            </w: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805 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905 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23.5 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r>
      <w:tr w:rsidR="00000000">
        <w:trPr>
          <w:divId w:val="946162917"/>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Accident and health</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124 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41 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92 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r>
      <w:tr w:rsidR="00000000">
        <w:trPr>
          <w:divId w:val="946162917"/>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Total premiums</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929 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154 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222 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997 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22.3 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r>
      <w:tr w:rsidR="00000000">
        <w:trPr>
          <w:divId w:val="946162917"/>
          <w:trHeight w:val="280"/>
        </w:trPr>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946162917"/>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2019</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946162917"/>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Life insurance in-force</w:t>
            </w: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492,780 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65,427 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32,365 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459,718 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7.0 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r>
      <w:tr w:rsidR="00000000">
        <w:trPr>
          <w:divId w:val="946162917"/>
          <w:trHeight w:val="280"/>
        </w:trPr>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946162917"/>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Premiums:</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946162917"/>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Life insurance and annuities</w:t>
            </w: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971 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211 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1,081 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19.5 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r>
      <w:tr w:rsidR="00000000">
        <w:trPr>
          <w:divId w:val="946162917"/>
        </w:trPr>
        <w:tc>
          <w:tcPr>
            <w:tcW w:w="0" w:type="auto"/>
            <w:gridSpan w:val="3"/>
            <w:shd w:val="clear" w:color="auto" w:fill="CCEE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Accident and health</w:t>
            </w: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97 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40 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9 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66 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13.6 </w:t>
            </w:r>
          </w:p>
        </w:tc>
        <w:tc>
          <w:tcPr>
            <w:tcW w:w="0" w:type="auto"/>
            <w:shd w:val="clear" w:color="auto" w:fill="CCEE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r>
      <w:tr w:rsidR="00000000">
        <w:trPr>
          <w:divId w:val="946162917"/>
        </w:trPr>
        <w:tc>
          <w:tcPr>
            <w:tcW w:w="0" w:type="auto"/>
            <w:gridSpan w:val="3"/>
            <w:shd w:val="clear" w:color="auto" w:fill="FFFFFF"/>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Total premiums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1,068 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141 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220 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5B0BC3">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1,147 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5B0BC3">
            <w:pPr>
              <w:spacing w:after="100"/>
              <w:jc w:val="right"/>
              <w:rPr>
                <w:rFonts w:eastAsia="Times New Roman"/>
              </w:rPr>
            </w:pPr>
            <w:r>
              <w:rPr>
                <w:rFonts w:eastAsia="Times New Roman"/>
                <w:color w:val="000000"/>
                <w:sz w:val="20"/>
                <w:szCs w:val="20"/>
              </w:rPr>
              <w:t>19.2 </w:t>
            </w:r>
          </w:p>
        </w:tc>
        <w:tc>
          <w:tcPr>
            <w:tcW w:w="0" w:type="auto"/>
            <w:shd w:val="clear" w:color="auto" w:fill="FFFFFF"/>
            <w:tcMar>
              <w:top w:w="30" w:type="dxa"/>
              <w:left w:w="0" w:type="dxa"/>
              <w:bottom w:w="30" w:type="dxa"/>
              <w:right w:w="20" w:type="dxa"/>
            </w:tcMar>
            <w:vAlign w:val="bottom"/>
            <w:hideMark/>
          </w:tcPr>
          <w:p w:rsidR="00000000" w:rsidRDefault="005B0BC3">
            <w:pPr>
              <w:spacing w:after="100"/>
              <w:jc w:val="right"/>
              <w:rPr>
                <w:rFonts w:eastAsia="Times New Roman"/>
              </w:rPr>
            </w:pPr>
            <w:r>
              <w:rPr>
                <w:rFonts w:eastAsia="Times New Roman"/>
                <w:color w:val="000000"/>
                <w:sz w:val="20"/>
                <w:szCs w:val="20"/>
              </w:rPr>
              <w:t>%</w:t>
            </w:r>
          </w:p>
        </w:tc>
      </w:tr>
    </w:tbl>
    <w:p w:rsidR="00000000" w:rsidRDefault="005B0BC3">
      <w:pPr>
        <w:ind w:hanging="720"/>
        <w:divId w:val="7218647"/>
        <w:rPr>
          <w:rFonts w:eastAsia="Times New Roman"/>
        </w:rPr>
      </w:pPr>
      <w:r>
        <w:rPr>
          <w:rFonts w:eastAsia="Times New Roman"/>
          <w:color w:val="000000"/>
          <w:sz w:val="20"/>
          <w:szCs w:val="20"/>
        </w:rPr>
        <w:t>______________</w:t>
      </w:r>
    </w:p>
    <w:p w:rsidR="00000000" w:rsidRDefault="005B0BC3">
      <w:pPr>
        <w:ind w:hanging="360"/>
        <w:divId w:val="700320078"/>
        <w:rPr>
          <w:rFonts w:eastAsia="Times New Roman"/>
        </w:rPr>
      </w:pPr>
      <w:r>
        <w:rPr>
          <w:rFonts w:eastAsia="Times New Roman"/>
          <w:color w:val="000000"/>
          <w:sz w:val="18"/>
          <w:szCs w:val="18"/>
        </w:rPr>
        <w:t>(1)    Includes amounts related to the discontinued group life and health business.</w:t>
      </w:r>
    </w:p>
    <w:p w:rsidR="00000000" w:rsidRDefault="005B0BC3">
      <w:pPr>
        <w:divId w:val="1928726616"/>
        <w:rPr>
          <w:rFonts w:eastAsia="Times New Roman"/>
        </w:rPr>
      </w:pPr>
    </w:p>
    <w:p w:rsidR="00000000" w:rsidRDefault="005B0BC3">
      <w:pPr>
        <w:divId w:val="705837904"/>
        <w:rPr>
          <w:rFonts w:eastAsia="Times New Roman"/>
        </w:rPr>
      </w:pPr>
      <w:r>
        <w:rPr>
          <w:rFonts w:eastAsia="Times New Roman"/>
          <w:b/>
          <w:bCs/>
          <w:color w:val="000000"/>
          <w:sz w:val="20"/>
          <w:szCs w:val="20"/>
        </w:rPr>
        <w:t xml:space="preserve">Part II, Item 9. </w:t>
      </w:r>
    </w:p>
    <w:p w:rsidR="00000000" w:rsidRDefault="005B0BC3">
      <w:pPr>
        <w:jc w:val="center"/>
        <w:divId w:val="377364590"/>
        <w:rPr>
          <w:rFonts w:eastAsia="Times New Roman"/>
        </w:rPr>
      </w:pPr>
      <w:r>
        <w:rPr>
          <w:rFonts w:eastAsia="Times New Roman"/>
          <w:b/>
          <w:bCs/>
          <w:color w:val="000000"/>
          <w:sz w:val="20"/>
          <w:szCs w:val="20"/>
        </w:rPr>
        <w:t>CHANGES IN AND DISAGREEMENTS WITH ACCOUNTANTS ON ACCOUNTING AND FINANCIAL DISCLOSURE</w:t>
      </w:r>
      <w:r>
        <w:rPr>
          <w:rFonts w:eastAsia="Times New Roman"/>
          <w:color w:val="000000"/>
          <w:sz w:val="20"/>
          <w:szCs w:val="20"/>
        </w:rPr>
        <w:t xml:space="preserve"> </w:t>
      </w:r>
    </w:p>
    <w:p w:rsidR="00000000" w:rsidRDefault="005B0BC3">
      <w:pPr>
        <w:divId w:val="876233119"/>
        <w:rPr>
          <w:rFonts w:eastAsia="Times New Roman"/>
        </w:rPr>
      </w:pPr>
      <w:r>
        <w:rPr>
          <w:rFonts w:eastAsia="Times New Roman"/>
          <w:color w:val="000000"/>
          <w:sz w:val="20"/>
          <w:szCs w:val="20"/>
        </w:rPr>
        <w:t>None.</w:t>
      </w:r>
    </w:p>
    <w:p w:rsidR="00000000" w:rsidRDefault="005B0BC3">
      <w:pPr>
        <w:divId w:val="494303409"/>
        <w:rPr>
          <w:rFonts w:eastAsia="Times New Roman"/>
        </w:rPr>
      </w:pPr>
      <w:r>
        <w:rPr>
          <w:rFonts w:eastAsia="Times New Roman"/>
          <w:b/>
          <w:bCs/>
          <w:color w:val="000000"/>
          <w:sz w:val="20"/>
          <w:szCs w:val="20"/>
        </w:rPr>
        <w:t>Part II, Item 9A</w:t>
      </w:r>
      <w:r>
        <w:rPr>
          <w:rFonts w:eastAsia="Times New Roman"/>
          <w:color w:val="000000"/>
          <w:sz w:val="20"/>
          <w:szCs w:val="20"/>
        </w:rPr>
        <w:t>    </w:t>
      </w:r>
      <w:r>
        <w:rPr>
          <w:rFonts w:eastAsia="Times New Roman"/>
          <w:b/>
          <w:bCs/>
          <w:color w:val="000000"/>
          <w:sz w:val="20"/>
          <w:szCs w:val="20"/>
        </w:rPr>
        <w:t xml:space="preserve"> </w:t>
      </w:r>
    </w:p>
    <w:p w:rsidR="00000000" w:rsidRDefault="005B0BC3">
      <w:pPr>
        <w:jc w:val="center"/>
        <w:rPr>
          <w:rFonts w:eastAsia="Times New Roman"/>
        </w:rPr>
      </w:pPr>
      <w:r>
        <w:rPr>
          <w:rFonts w:eastAsia="Times New Roman"/>
          <w:b/>
          <w:bCs/>
          <w:color w:val="000000"/>
          <w:sz w:val="20"/>
          <w:szCs w:val="20"/>
        </w:rPr>
        <w:t>CONTROLS AND PROCEDURES</w:t>
      </w:r>
    </w:p>
    <w:p w:rsidR="00000000" w:rsidRDefault="005B0BC3">
      <w:pPr>
        <w:divId w:val="1358896414"/>
        <w:rPr>
          <w:rFonts w:eastAsia="Times New Roman"/>
        </w:rPr>
      </w:pPr>
      <w:r>
        <w:rPr>
          <w:rFonts w:eastAsia="Times New Roman"/>
          <w:b/>
          <w:bCs/>
          <w:color w:val="000000"/>
          <w:sz w:val="20"/>
          <w:szCs w:val="20"/>
        </w:rPr>
        <w:t>Evaluation of Disclosure Controls and Procedures</w:t>
      </w:r>
    </w:p>
    <w:p w:rsidR="00000000" w:rsidRDefault="005B0BC3">
      <w:pPr>
        <w:ind w:firstLine="360"/>
        <w:divId w:val="579750297"/>
        <w:rPr>
          <w:rFonts w:eastAsia="Times New Roman"/>
        </w:rPr>
      </w:pPr>
      <w:r>
        <w:rPr>
          <w:rFonts w:eastAsia="Times New Roman"/>
          <w:color w:val="000000"/>
          <w:sz w:val="20"/>
          <w:szCs w:val="20"/>
        </w:rPr>
        <w:t>The management of the Company, with the participation of the Company’s Chief Executive Officer (CEO) and Chief Financial Officer (CFO), has evaluated the effectiveness of the Company’</w:t>
      </w:r>
      <w:r>
        <w:rPr>
          <w:rFonts w:eastAsia="Times New Roman"/>
          <w:color w:val="000000"/>
          <w:sz w:val="20"/>
          <w:szCs w:val="20"/>
        </w:rPr>
        <w:t>s disclosure controls and procedures (as defined in Rule 13a-15(e) under the Securities and Exchange Act of 1934, as amended) as of December 31, 2021. This evaluation is performed to determine if our disclosure controls and procedures are effective to prov</w:t>
      </w:r>
      <w:r>
        <w:rPr>
          <w:rFonts w:eastAsia="Times New Roman"/>
          <w:color w:val="000000"/>
          <w:sz w:val="20"/>
          <w:szCs w:val="20"/>
        </w:rPr>
        <w:t xml:space="preserve">ide reasonable assurance that (i) information required to be disclosed by the Company in the reports that it files or submits under the Securities and Exchange Act of 1934, as amended, is accumulated and communicated to management, including the Company’s </w:t>
      </w:r>
      <w:r>
        <w:rPr>
          <w:rFonts w:eastAsia="Times New Roman"/>
          <w:color w:val="000000"/>
          <w:sz w:val="20"/>
          <w:szCs w:val="20"/>
        </w:rPr>
        <w:t xml:space="preserve">CEO and CFO, as </w:t>
      </w:r>
    </w:p>
    <w:p w:rsidR="00000000" w:rsidRDefault="005B0BC3">
      <w:pPr>
        <w:jc w:val="center"/>
        <w:divId w:val="216014160"/>
        <w:rPr>
          <w:rFonts w:eastAsia="Times New Roman"/>
        </w:rPr>
      </w:pPr>
      <w:r>
        <w:rPr>
          <w:rFonts w:eastAsia="Times New Roman"/>
          <w:color w:val="000000"/>
          <w:sz w:val="20"/>
          <w:szCs w:val="20"/>
        </w:rPr>
        <w:t>239</w:t>
      </w:r>
    </w:p>
    <w:p w:rsidR="00000000" w:rsidRDefault="005B0BC3">
      <w:pPr>
        <w:rPr>
          <w:rFonts w:eastAsia="Times New Roman"/>
        </w:rPr>
      </w:pPr>
      <w:r>
        <w:rPr>
          <w:rFonts w:eastAsia="Times New Roman"/>
        </w:rPr>
        <w:pict>
          <v:rect id="_x0000_i1277" style="width:0;height:1.5pt" o:hralign="center" o:hrstd="t" o:hr="t" fillcolor="#a0a0a0" stroked="f"/>
        </w:pict>
      </w:r>
    </w:p>
    <w:p w:rsidR="00000000" w:rsidRDefault="005B0BC3">
      <w:pPr>
        <w:divId w:val="1949309082"/>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divId w:val="1245607538"/>
        <w:rPr>
          <w:rFonts w:eastAsia="Times New Roman"/>
        </w:rPr>
      </w:pPr>
      <w:r>
        <w:rPr>
          <w:rFonts w:eastAsia="Times New Roman"/>
          <w:color w:val="000000"/>
          <w:sz w:val="20"/>
          <w:szCs w:val="20"/>
        </w:rPr>
        <w:t>appropriate, to allow timely decisions regarding required disclosure and (ii) such information is recorded, processed, s</w:t>
      </w:r>
      <w:r>
        <w:rPr>
          <w:rFonts w:eastAsia="Times New Roman"/>
          <w:color w:val="000000"/>
          <w:sz w:val="20"/>
          <w:szCs w:val="20"/>
        </w:rPr>
        <w:t>ummarized and reported within the time periods specified by the Securities and Exchange Commission’s rules and forms.</w:t>
      </w:r>
    </w:p>
    <w:p w:rsidR="00000000" w:rsidRDefault="005B0BC3">
      <w:pPr>
        <w:ind w:firstLine="360"/>
        <w:divId w:val="417484772"/>
        <w:rPr>
          <w:rFonts w:eastAsia="Times New Roman"/>
        </w:rPr>
      </w:pPr>
      <w:r>
        <w:rPr>
          <w:rFonts w:eastAsia="Times New Roman"/>
          <w:color w:val="000000"/>
          <w:sz w:val="20"/>
          <w:szCs w:val="20"/>
        </w:rPr>
        <w:t>Based on this evaluation, the Company’s CEO and CFO concluded that the Company’s disclosure controls and procedures were effective as of D</w:t>
      </w:r>
      <w:r>
        <w:rPr>
          <w:rFonts w:eastAsia="Times New Roman"/>
          <w:color w:val="000000"/>
          <w:sz w:val="20"/>
          <w:szCs w:val="20"/>
        </w:rPr>
        <w:t>ecember 31, 2021.</w:t>
      </w:r>
    </w:p>
    <w:p w:rsidR="00000000" w:rsidRDefault="005B0BC3">
      <w:pPr>
        <w:divId w:val="2028405017"/>
        <w:rPr>
          <w:rFonts w:eastAsia="Times New Roman"/>
        </w:rPr>
      </w:pPr>
      <w:r>
        <w:rPr>
          <w:rFonts w:eastAsia="Times New Roman"/>
          <w:b/>
          <w:bCs/>
          <w:color w:val="000000"/>
          <w:sz w:val="20"/>
          <w:szCs w:val="20"/>
        </w:rPr>
        <w:t>Management’s Annual Report on Internal Control Over Financial Reporting</w:t>
      </w:r>
    </w:p>
    <w:p w:rsidR="00000000" w:rsidRDefault="005B0BC3">
      <w:pPr>
        <w:divId w:val="420830818"/>
        <w:rPr>
          <w:rFonts w:eastAsia="Times New Roman"/>
        </w:rPr>
      </w:pPr>
      <w:r>
        <w:rPr>
          <w:rFonts w:eastAsia="Times New Roman"/>
          <w:color w:val="000000"/>
          <w:sz w:val="20"/>
          <w:szCs w:val="20"/>
        </w:rPr>
        <w:t>Management is responsible for establishing and maintaining adequate internal control over financial reporting. Management evaluated the design and operating effective</w:t>
      </w:r>
      <w:r>
        <w:rPr>
          <w:rFonts w:eastAsia="Times New Roman"/>
          <w:color w:val="000000"/>
          <w:sz w:val="20"/>
          <w:szCs w:val="20"/>
        </w:rPr>
        <w:t>ness of the Company’s internal control over financial reporting based on the criteria established in the Internal Control-Integrated Framework (2013) issued by the Committee of Sponsoring Organizations of the Treadway Commission (the “COSO framework”). Bas</w:t>
      </w:r>
      <w:r>
        <w:rPr>
          <w:rFonts w:eastAsia="Times New Roman"/>
          <w:color w:val="000000"/>
          <w:sz w:val="20"/>
          <w:szCs w:val="20"/>
        </w:rPr>
        <w:t>ed on the evaluation, management concluded that the Company’s internal control over financial reporting was effective as of December 31, 2021. Because of its inherent limitations, internal control over financial reporting may not prevent or detect misstate</w:t>
      </w:r>
      <w:r>
        <w:rPr>
          <w:rFonts w:eastAsia="Times New Roman"/>
          <w:color w:val="000000"/>
          <w:sz w:val="20"/>
          <w:szCs w:val="20"/>
        </w:rPr>
        <w:t>ments. Also, projections of any evaluation of effectiveness to future periods are subject to the risk that controls may become inadequate because of changes in conditions, or that the degree of compliance with the policies or procedures may deteriorate.</w:t>
      </w:r>
    </w:p>
    <w:p w:rsidR="00000000" w:rsidRDefault="005B0BC3">
      <w:pPr>
        <w:divId w:val="1924219380"/>
        <w:rPr>
          <w:rFonts w:eastAsia="Times New Roman"/>
        </w:rPr>
      </w:pPr>
    </w:p>
    <w:p w:rsidR="00000000" w:rsidRDefault="005B0BC3">
      <w:pPr>
        <w:ind w:firstLine="360"/>
        <w:divId w:val="1219128780"/>
        <w:rPr>
          <w:rFonts w:eastAsia="Times New Roman"/>
        </w:rPr>
      </w:pPr>
      <w:r>
        <w:rPr>
          <w:rFonts w:eastAsia="Times New Roman"/>
          <w:color w:val="000000"/>
          <w:sz w:val="20"/>
          <w:szCs w:val="20"/>
        </w:rPr>
        <w:t>The effectiveness of the Company’s internal control over financial reporting as of December 31, 2021 has been audited by PricewaterhouseCoopers LLP, an independent registered public accounting firm, as stated in their report, which is included in this Annu</w:t>
      </w:r>
      <w:r>
        <w:rPr>
          <w:rFonts w:eastAsia="Times New Roman"/>
          <w:color w:val="000000"/>
          <w:sz w:val="20"/>
          <w:szCs w:val="20"/>
        </w:rPr>
        <w:t>al Report on Form 10-K.</w:t>
      </w:r>
    </w:p>
    <w:p w:rsidR="00000000" w:rsidRDefault="005B0BC3">
      <w:pPr>
        <w:divId w:val="1171141384"/>
        <w:rPr>
          <w:rFonts w:eastAsia="Times New Roman"/>
        </w:rPr>
      </w:pPr>
      <w:r>
        <w:rPr>
          <w:rFonts w:eastAsia="Times New Roman"/>
          <w:b/>
          <w:bCs/>
          <w:color w:val="000000"/>
          <w:sz w:val="20"/>
          <w:szCs w:val="20"/>
        </w:rPr>
        <w:t>Changes in Internal Control Over Financial Reporting</w:t>
      </w:r>
    </w:p>
    <w:p w:rsidR="00000000" w:rsidRDefault="005B0BC3">
      <w:pPr>
        <w:divId w:val="1504200495"/>
        <w:rPr>
          <w:rFonts w:eastAsia="Times New Roman"/>
        </w:rPr>
      </w:pPr>
      <w:r>
        <w:rPr>
          <w:rFonts w:eastAsia="Times New Roman"/>
          <w:color w:val="000000"/>
          <w:sz w:val="20"/>
          <w:szCs w:val="20"/>
        </w:rPr>
        <w:t>There were no changes in the Company’s internal control over financial reporting as defined in Rule 13a-15(f) under the Exchange Act during the quarter ended December 31, 2021, th</w:t>
      </w:r>
      <w:r>
        <w:rPr>
          <w:rFonts w:eastAsia="Times New Roman"/>
          <w:color w:val="000000"/>
          <w:sz w:val="20"/>
          <w:szCs w:val="20"/>
        </w:rPr>
        <w:t>at have affected, or are reasonably likely to materially affect, the Company’s internal control over financial reporting.</w:t>
      </w:r>
    </w:p>
    <w:p w:rsidR="00000000" w:rsidRDefault="005B0BC3">
      <w:pPr>
        <w:divId w:val="1718577840"/>
        <w:rPr>
          <w:rFonts w:eastAsia="Times New Roman"/>
        </w:rPr>
      </w:pPr>
      <w:r>
        <w:rPr>
          <w:rFonts w:eastAsia="Times New Roman"/>
          <w:b/>
          <w:bCs/>
          <w:color w:val="000000"/>
          <w:sz w:val="20"/>
          <w:szCs w:val="20"/>
        </w:rPr>
        <w:t>Part II, Item 9B.</w:t>
      </w:r>
      <w:r>
        <w:rPr>
          <w:rFonts w:eastAsia="Times New Roman"/>
          <w:color w:val="000000"/>
          <w:sz w:val="20"/>
          <w:szCs w:val="20"/>
        </w:rPr>
        <w:t xml:space="preserve"> </w:t>
      </w:r>
    </w:p>
    <w:p w:rsidR="00000000" w:rsidRDefault="005B0BC3">
      <w:pPr>
        <w:jc w:val="center"/>
        <w:divId w:val="192887403"/>
        <w:rPr>
          <w:rFonts w:eastAsia="Times New Roman"/>
        </w:rPr>
      </w:pPr>
      <w:r>
        <w:rPr>
          <w:rFonts w:eastAsia="Times New Roman"/>
          <w:b/>
          <w:bCs/>
          <w:color w:val="000000"/>
          <w:sz w:val="20"/>
          <w:szCs w:val="20"/>
        </w:rPr>
        <w:t>OTHER INFORMATION</w:t>
      </w:r>
      <w:r>
        <w:rPr>
          <w:rFonts w:eastAsia="Times New Roman"/>
          <w:color w:val="000000"/>
          <w:sz w:val="20"/>
          <w:szCs w:val="20"/>
        </w:rPr>
        <w:t xml:space="preserve"> </w:t>
      </w:r>
    </w:p>
    <w:p w:rsidR="00000000" w:rsidRDefault="005B0BC3">
      <w:pPr>
        <w:ind w:firstLine="360"/>
        <w:divId w:val="937523940"/>
        <w:rPr>
          <w:rFonts w:eastAsia="Times New Roman"/>
        </w:rPr>
      </w:pPr>
      <w:r>
        <w:rPr>
          <w:rFonts w:eastAsia="Times New Roman"/>
          <w:color w:val="000000"/>
          <w:sz w:val="20"/>
          <w:szCs w:val="20"/>
        </w:rPr>
        <w:t>None.</w:t>
      </w:r>
    </w:p>
    <w:p w:rsidR="00000000" w:rsidRDefault="005B0BC3">
      <w:pPr>
        <w:divId w:val="712735014"/>
        <w:rPr>
          <w:rFonts w:eastAsia="Times New Roman"/>
        </w:rPr>
      </w:pPr>
      <w:r>
        <w:rPr>
          <w:rFonts w:eastAsia="Times New Roman"/>
          <w:b/>
          <w:bCs/>
          <w:color w:val="000000"/>
          <w:sz w:val="20"/>
          <w:szCs w:val="20"/>
        </w:rPr>
        <w:t>Part II, Item 9C.</w:t>
      </w:r>
    </w:p>
    <w:p w:rsidR="00000000" w:rsidRDefault="005B0BC3">
      <w:pPr>
        <w:jc w:val="center"/>
        <w:divId w:val="1590655876"/>
        <w:rPr>
          <w:rFonts w:eastAsia="Times New Roman"/>
        </w:rPr>
      </w:pPr>
      <w:r>
        <w:rPr>
          <w:rFonts w:eastAsia="Times New Roman"/>
          <w:b/>
          <w:bCs/>
          <w:color w:val="000000"/>
          <w:sz w:val="20"/>
          <w:szCs w:val="20"/>
        </w:rPr>
        <w:t>DISCLOSURE REGARDING FOREIGN JURISDICTIONS THAT PREVENT INSPECTIONS</w:t>
      </w:r>
    </w:p>
    <w:p w:rsidR="00000000" w:rsidRDefault="005B0BC3">
      <w:pPr>
        <w:divId w:val="472406053"/>
        <w:rPr>
          <w:rFonts w:eastAsia="Times New Roman"/>
        </w:rPr>
      </w:pPr>
    </w:p>
    <w:p w:rsidR="00000000" w:rsidRDefault="005B0BC3">
      <w:pPr>
        <w:divId w:val="859977198"/>
        <w:rPr>
          <w:rFonts w:eastAsia="Times New Roman"/>
        </w:rPr>
      </w:pPr>
      <w:r>
        <w:rPr>
          <w:rFonts w:eastAsia="Times New Roman"/>
          <w:color w:val="000000"/>
          <w:sz w:val="20"/>
          <w:szCs w:val="20"/>
        </w:rPr>
        <w:t>Not applicable.</w:t>
      </w:r>
    </w:p>
    <w:p w:rsidR="00000000" w:rsidRDefault="005B0BC3">
      <w:pPr>
        <w:divId w:val="232547576"/>
        <w:rPr>
          <w:rFonts w:eastAsia="Times New Roman"/>
        </w:rPr>
      </w:pPr>
    </w:p>
    <w:p w:rsidR="00000000" w:rsidRDefault="005B0BC3">
      <w:pPr>
        <w:divId w:val="914820329"/>
        <w:rPr>
          <w:rFonts w:eastAsia="Times New Roman"/>
        </w:rPr>
      </w:pPr>
      <w:r>
        <w:rPr>
          <w:rFonts w:eastAsia="Times New Roman"/>
          <w:b/>
          <w:bCs/>
          <w:color w:val="000000"/>
          <w:sz w:val="20"/>
          <w:szCs w:val="20"/>
        </w:rPr>
        <w:t>Part III, Item 10.</w:t>
      </w:r>
      <w:r>
        <w:rPr>
          <w:rFonts w:eastAsia="Times New Roman"/>
          <w:color w:val="000000"/>
          <w:sz w:val="20"/>
          <w:szCs w:val="20"/>
        </w:rPr>
        <w:t xml:space="preserve"> </w:t>
      </w:r>
    </w:p>
    <w:p w:rsidR="00000000" w:rsidRDefault="005B0BC3">
      <w:pPr>
        <w:jc w:val="center"/>
        <w:divId w:val="1114321392"/>
        <w:rPr>
          <w:rFonts w:eastAsia="Times New Roman"/>
        </w:rPr>
      </w:pPr>
      <w:r>
        <w:rPr>
          <w:rFonts w:eastAsia="Times New Roman"/>
          <w:b/>
          <w:bCs/>
          <w:color w:val="000000"/>
          <w:sz w:val="20"/>
          <w:szCs w:val="20"/>
        </w:rPr>
        <w:t>DIRECTORS, EXECUTIVE OFFICERS AND CORPORATE GOVERNANCE</w:t>
      </w:r>
      <w:r>
        <w:rPr>
          <w:rFonts w:eastAsia="Times New Roman"/>
          <w:color w:val="000000"/>
          <w:sz w:val="20"/>
          <w:szCs w:val="20"/>
        </w:rPr>
        <w:t xml:space="preserve"> </w:t>
      </w:r>
    </w:p>
    <w:p w:rsidR="00000000" w:rsidRDefault="005B0BC3">
      <w:pPr>
        <w:ind w:firstLine="360"/>
        <w:divId w:val="1682656835"/>
        <w:rPr>
          <w:rFonts w:eastAsia="Times New Roman"/>
        </w:rPr>
      </w:pPr>
      <w:r>
        <w:rPr>
          <w:rFonts w:eastAsia="Times New Roman"/>
          <w:color w:val="000000"/>
          <w:sz w:val="20"/>
          <w:szCs w:val="20"/>
        </w:rPr>
        <w:t>The information required by this item is incorporated by reference to, and will be contained</w:t>
      </w:r>
      <w:r>
        <w:rPr>
          <w:rFonts w:eastAsia="Times New Roman"/>
          <w:color w:val="000000"/>
          <w:sz w:val="20"/>
          <w:szCs w:val="20"/>
        </w:rPr>
        <w:t xml:space="preserve"> in, the Company’s 2022 Proxy Statement.</w:t>
      </w:r>
    </w:p>
    <w:p w:rsidR="00000000" w:rsidRDefault="005B0BC3">
      <w:pPr>
        <w:divId w:val="1923223084"/>
        <w:rPr>
          <w:rFonts w:eastAsia="Times New Roman"/>
        </w:rPr>
      </w:pPr>
      <w:r>
        <w:rPr>
          <w:rFonts w:eastAsia="Times New Roman"/>
          <w:b/>
          <w:bCs/>
          <w:color w:val="000000"/>
          <w:sz w:val="20"/>
          <w:szCs w:val="20"/>
        </w:rPr>
        <w:t xml:space="preserve">Part III, Item 11. </w:t>
      </w:r>
    </w:p>
    <w:p w:rsidR="00000000" w:rsidRDefault="005B0BC3">
      <w:pPr>
        <w:jc w:val="center"/>
        <w:divId w:val="702706046"/>
        <w:rPr>
          <w:rFonts w:eastAsia="Times New Roman"/>
        </w:rPr>
      </w:pPr>
      <w:r>
        <w:rPr>
          <w:rFonts w:eastAsia="Times New Roman"/>
          <w:b/>
          <w:bCs/>
          <w:color w:val="000000"/>
          <w:sz w:val="20"/>
          <w:szCs w:val="20"/>
        </w:rPr>
        <w:t xml:space="preserve">EXECUTIVE COMPENSATION </w:t>
      </w:r>
    </w:p>
    <w:p w:rsidR="00000000" w:rsidRDefault="005B0BC3">
      <w:pPr>
        <w:ind w:firstLine="360"/>
        <w:divId w:val="200478084"/>
        <w:rPr>
          <w:rFonts w:eastAsia="Times New Roman"/>
        </w:rPr>
      </w:pPr>
      <w:r>
        <w:rPr>
          <w:rFonts w:eastAsia="Times New Roman"/>
          <w:color w:val="000000"/>
          <w:sz w:val="20"/>
          <w:szCs w:val="20"/>
        </w:rPr>
        <w:t>The information required by this item is incorporated by reference to, and will be contained in, the Company’s 2022 Proxy Statement.</w:t>
      </w:r>
    </w:p>
    <w:p w:rsidR="00000000" w:rsidRDefault="005B0BC3">
      <w:pPr>
        <w:divId w:val="153421109"/>
        <w:rPr>
          <w:rFonts w:eastAsia="Times New Roman"/>
        </w:rPr>
      </w:pPr>
    </w:p>
    <w:p w:rsidR="00000000" w:rsidRDefault="005B0BC3">
      <w:pPr>
        <w:rPr>
          <w:rFonts w:eastAsia="Times New Roman"/>
        </w:rPr>
      </w:pPr>
      <w:r>
        <w:rPr>
          <w:rFonts w:eastAsia="Times New Roman"/>
        </w:rPr>
        <w:pict>
          <v:rect id="_x0000_i1278" style="width:0;height:1.5pt" o:hralign="center" o:hrstd="t" o:hr="t" fillcolor="#a0a0a0" stroked="f"/>
        </w:pict>
      </w:r>
    </w:p>
    <w:p w:rsidR="00000000" w:rsidRDefault="005B0BC3">
      <w:pPr>
        <w:divId w:val="595332447"/>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divId w:val="38677400"/>
        <w:rPr>
          <w:rFonts w:eastAsia="Times New Roman"/>
        </w:rPr>
      </w:pPr>
      <w:r>
        <w:rPr>
          <w:rFonts w:eastAsia="Times New Roman"/>
          <w:b/>
          <w:bCs/>
          <w:color w:val="000000"/>
          <w:sz w:val="20"/>
          <w:szCs w:val="20"/>
        </w:rPr>
        <w:t>Part I</w:t>
      </w:r>
      <w:r>
        <w:rPr>
          <w:rFonts w:eastAsia="Times New Roman"/>
          <w:b/>
          <w:bCs/>
          <w:color w:val="000000"/>
          <w:sz w:val="20"/>
          <w:szCs w:val="20"/>
        </w:rPr>
        <w:t>II, Item 12.</w:t>
      </w:r>
      <w:r>
        <w:rPr>
          <w:rFonts w:eastAsia="Times New Roman"/>
          <w:color w:val="000000"/>
          <w:sz w:val="20"/>
          <w:szCs w:val="20"/>
        </w:rPr>
        <w:t xml:space="preserve"> </w:t>
      </w:r>
    </w:p>
    <w:p w:rsidR="00000000" w:rsidRDefault="005B0BC3">
      <w:pPr>
        <w:jc w:val="center"/>
        <w:divId w:val="1756121973"/>
        <w:rPr>
          <w:rFonts w:eastAsia="Times New Roman"/>
        </w:rPr>
      </w:pPr>
      <w:r>
        <w:rPr>
          <w:rFonts w:eastAsia="Times New Roman"/>
          <w:b/>
          <w:bCs/>
          <w:color w:val="000000"/>
          <w:sz w:val="20"/>
          <w:szCs w:val="20"/>
        </w:rPr>
        <w:t>SECURITY OWNERSHIP OF CERTAIN BENEFICIAL OWNERS AND MANAGEMENT AND RELATED STOCKHOLDER MATTERS</w:t>
      </w:r>
      <w:r>
        <w:rPr>
          <w:rFonts w:eastAsia="Times New Roman"/>
          <w:color w:val="000000"/>
          <w:sz w:val="20"/>
          <w:szCs w:val="20"/>
        </w:rPr>
        <w:t xml:space="preserve"> </w:t>
      </w:r>
    </w:p>
    <w:p w:rsidR="00000000" w:rsidRDefault="005B0BC3">
      <w:pPr>
        <w:divId w:val="1665668904"/>
        <w:rPr>
          <w:rFonts w:eastAsia="Times New Roman"/>
        </w:rPr>
      </w:pPr>
      <w:r>
        <w:rPr>
          <w:rFonts w:eastAsia="Times New Roman"/>
          <w:b/>
          <w:bCs/>
          <w:color w:val="000000"/>
          <w:sz w:val="20"/>
          <w:szCs w:val="20"/>
        </w:rPr>
        <w:t xml:space="preserve">Equity Compensation Plan Information </w:t>
      </w:r>
    </w:p>
    <w:p w:rsidR="00000000" w:rsidRDefault="005B0BC3">
      <w:pPr>
        <w:ind w:firstLine="360"/>
        <w:jc w:val="both"/>
        <w:divId w:val="1988363598"/>
        <w:rPr>
          <w:rFonts w:eastAsia="Times New Roman"/>
        </w:rPr>
      </w:pPr>
      <w:r>
        <w:rPr>
          <w:rFonts w:eastAsia="Times New Roman"/>
          <w:color w:val="000000"/>
          <w:sz w:val="20"/>
          <w:szCs w:val="20"/>
        </w:rPr>
        <w:t>The following table provides information as of December 31, 2021, regarding securities authorized for issuan</w:t>
      </w:r>
      <w:r>
        <w:rPr>
          <w:rFonts w:eastAsia="Times New Roman"/>
          <w:color w:val="000000"/>
          <w:sz w:val="20"/>
          <w:szCs w:val="20"/>
        </w:rPr>
        <w:t>ce under our equity compensation plans. All outstanding awards relate to our common stock. For additional information about our equity compensation plans, see Note 15 of Notes to these Consolidated Financial Statements.</w:t>
      </w:r>
    </w:p>
    <w:tbl>
      <w:tblPr>
        <w:tblW w:w="5000" w:type="pct"/>
        <w:tblCellMar>
          <w:top w:w="15" w:type="dxa"/>
          <w:left w:w="15" w:type="dxa"/>
          <w:bottom w:w="15" w:type="dxa"/>
          <w:right w:w="15" w:type="dxa"/>
        </w:tblCellMar>
        <w:tblLook w:val="04A0" w:firstRow="1" w:lastRow="0" w:firstColumn="1" w:lastColumn="0" w:noHBand="0" w:noVBand="1"/>
      </w:tblPr>
      <w:tblGrid>
        <w:gridCol w:w="69"/>
        <w:gridCol w:w="2652"/>
        <w:gridCol w:w="36"/>
        <w:gridCol w:w="69"/>
        <w:gridCol w:w="1302"/>
        <w:gridCol w:w="36"/>
        <w:gridCol w:w="69"/>
        <w:gridCol w:w="174"/>
        <w:gridCol w:w="36"/>
        <w:gridCol w:w="69"/>
        <w:gridCol w:w="1253"/>
        <w:gridCol w:w="36"/>
        <w:gridCol w:w="70"/>
        <w:gridCol w:w="175"/>
        <w:gridCol w:w="36"/>
        <w:gridCol w:w="70"/>
        <w:gridCol w:w="2118"/>
        <w:gridCol w:w="36"/>
      </w:tblGrid>
      <w:tr w:rsidR="00000000">
        <w:trPr>
          <w:divId w:val="288240637"/>
        </w:trPr>
        <w:tc>
          <w:tcPr>
            <w:tcW w:w="50" w:type="pct"/>
            <w:vAlign w:val="center"/>
            <w:hideMark/>
          </w:tcPr>
          <w:p w:rsidR="00000000" w:rsidRDefault="005B0BC3">
            <w:pPr>
              <w:ind w:firstLine="360"/>
              <w:jc w:val="both"/>
              <w:rPr>
                <w:rFonts w:eastAsia="Times New Roman"/>
              </w:rPr>
            </w:pPr>
          </w:p>
        </w:tc>
        <w:tc>
          <w:tcPr>
            <w:tcW w:w="1604"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79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11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76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11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1282"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288240637"/>
        </w:trPr>
        <w:tc>
          <w:tcPr>
            <w:tcW w:w="0" w:type="auto"/>
            <w:gridSpan w:val="3"/>
            <w:tcMar>
              <w:top w:w="30" w:type="dxa"/>
              <w:left w:w="20" w:type="dxa"/>
              <w:bottom w:w="30" w:type="dxa"/>
              <w:right w:w="20" w:type="dxa"/>
            </w:tcMar>
            <w:vAlign w:val="bottom"/>
            <w:hideMark/>
          </w:tcPr>
          <w:p w:rsidR="00000000" w:rsidRDefault="005B0BC3">
            <w:pPr>
              <w:spacing w:after="100"/>
              <w:divId w:val="2010594639"/>
              <w:rPr>
                <w:rFonts w:eastAsia="Times New Roman"/>
              </w:rPr>
            </w:pPr>
            <w:r>
              <w:rPr>
                <w:rFonts w:eastAsia="Times New Roman"/>
                <w:b/>
                <w:bCs/>
                <w:color w:val="000000"/>
                <w:sz w:val="16"/>
                <w:szCs w:val="16"/>
              </w:rPr>
              <w:t>Plan category</w:t>
            </w: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Number of securities to be issued upon exercise of outstanding options, warrants and rights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Weighted-average exercise price of outstanding options, warrants and rights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b/>
                <w:bCs/>
                <w:color w:val="000000"/>
                <w:sz w:val="16"/>
                <w:szCs w:val="16"/>
              </w:rPr>
              <w:t>Number of securities remaining available for future issuance u</w:t>
            </w:r>
            <w:r>
              <w:rPr>
                <w:rFonts w:eastAsia="Times New Roman"/>
                <w:b/>
                <w:bCs/>
                <w:color w:val="000000"/>
                <w:sz w:val="16"/>
                <w:szCs w:val="16"/>
              </w:rPr>
              <w:t>nder equity compensation plans (excluding securities reflected in column (a))</w:t>
            </w:r>
          </w:p>
        </w:tc>
      </w:tr>
      <w:tr w:rsidR="00000000">
        <w:trPr>
          <w:divId w:val="288240637"/>
        </w:trPr>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(a)</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(b)</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(c)</w:t>
            </w:r>
          </w:p>
        </w:tc>
      </w:tr>
      <w:tr w:rsidR="00000000">
        <w:trPr>
          <w:divId w:val="288240637"/>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16"/>
                <w:szCs w:val="16"/>
              </w:rPr>
              <w:t>Equity compensation plans approved by security holders</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288240637"/>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16"/>
                <w:szCs w:val="16"/>
              </w:rPr>
              <w:t>     Omnibus Plan</w:t>
            </w: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8,321,336</w:t>
            </w: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16"/>
                <w:szCs w:val="16"/>
              </w:rPr>
              <w:t>(1)</w:t>
            </w: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21.30</w:t>
            </w: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16"/>
                <w:szCs w:val="16"/>
              </w:rPr>
              <w:t>(2)</w:t>
            </w: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22,081,126</w:t>
            </w:r>
          </w:p>
        </w:tc>
      </w:tr>
      <w:tr w:rsidR="00000000">
        <w:trPr>
          <w:divId w:val="288240637"/>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16"/>
                <w:szCs w:val="16"/>
              </w:rPr>
              <w:t>     </w:t>
            </w:r>
            <w:r>
              <w:rPr>
                <w:rFonts w:eastAsia="Times New Roman"/>
                <w:color w:val="000000"/>
                <w:sz w:val="16"/>
                <w:szCs w:val="16"/>
              </w:rPr>
              <w:t>Stock Purchase Plan (3) (4)</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5,718,317</w:t>
            </w:r>
          </w:p>
        </w:tc>
      </w:tr>
      <w:tr w:rsidR="00000000">
        <w:trPr>
          <w:divId w:val="288240637"/>
        </w:trPr>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b/>
                <w:bCs/>
                <w:color w:val="000000"/>
                <w:sz w:val="16"/>
                <w:szCs w:val="16"/>
              </w:rPr>
              <w:t>Equity compensation plans not approved by security holders</w:t>
            </w: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w:t>
            </w: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w:t>
            </w:r>
          </w:p>
        </w:tc>
      </w:tr>
      <w:tr w:rsidR="00000000">
        <w:trPr>
          <w:divId w:val="288240637"/>
        </w:trPr>
        <w:tc>
          <w:tcPr>
            <w:tcW w:w="0" w:type="auto"/>
            <w:gridSpan w:val="3"/>
            <w:shd w:val="clear" w:color="auto" w:fill="FFFFFF"/>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16"/>
                <w:szCs w:val="16"/>
              </w:rPr>
              <w:t>Total</w:t>
            </w:r>
          </w:p>
        </w:tc>
        <w:tc>
          <w:tcPr>
            <w:tcW w:w="0" w:type="auto"/>
            <w:gridSpan w:val="3"/>
            <w:tcBorders>
              <w:top w:val="single" w:sz="4"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8,321,336</w:t>
            </w: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4" w:space="0" w:color="000000"/>
              <w:bottom w:val="double" w:sz="6" w:space="0" w:color="000000"/>
            </w:tcBorders>
            <w:shd w:val="clear" w:color="auto" w:fill="FFFFFF"/>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16"/>
                <w:szCs w:val="16"/>
              </w:rPr>
              <w:t>27,799,443</w:t>
            </w:r>
          </w:p>
        </w:tc>
      </w:tr>
    </w:tbl>
    <w:p w:rsidR="00000000" w:rsidRDefault="005B0BC3">
      <w:pPr>
        <w:ind w:hanging="360"/>
        <w:divId w:val="42827200"/>
        <w:rPr>
          <w:rFonts w:eastAsia="Times New Roman"/>
        </w:rPr>
      </w:pPr>
      <w:r>
        <w:rPr>
          <w:rFonts w:eastAsia="Times New Roman"/>
          <w:color w:val="000000"/>
          <w:sz w:val="18"/>
          <w:szCs w:val="18"/>
        </w:rPr>
        <w:t>_____________</w:t>
      </w:r>
    </w:p>
    <w:p w:rsidR="00000000" w:rsidRDefault="005B0BC3">
      <w:pPr>
        <w:ind w:hanging="360"/>
        <w:divId w:val="1285887146"/>
        <w:rPr>
          <w:rFonts w:eastAsia="Times New Roman"/>
        </w:rPr>
      </w:pPr>
      <w:r>
        <w:rPr>
          <w:rFonts w:eastAsia="Times New Roman"/>
          <w:color w:val="000000"/>
          <w:sz w:val="18"/>
          <w:szCs w:val="18"/>
        </w:rPr>
        <w:t>(1)</w:t>
      </w:r>
      <w:r>
        <w:rPr>
          <w:rFonts w:eastAsia="Times New Roman"/>
          <w:color w:val="000000"/>
          <w:sz w:val="18"/>
          <w:szCs w:val="18"/>
        </w:rPr>
        <w:t>Represents 2,441,969 outstanding options, 3,032,385 outstanding RSUs and 2,846,982 outstanding performance shares as of December 31, 2021 under the 2018 &amp; 2019 Omnibus Plan. Totals include dividend equivalents on performance shares of 76,366 and on RSUs of</w:t>
      </w:r>
      <w:r>
        <w:rPr>
          <w:rFonts w:eastAsia="Times New Roman"/>
          <w:color w:val="000000"/>
          <w:sz w:val="18"/>
          <w:szCs w:val="18"/>
        </w:rPr>
        <w:t xml:space="preserve"> 176,807. The number of performance shares represents the number of shares that would be received based on maximum performance, reduced for cancellations through December 31, 2021. The actual number of shares the Compensation Committee will award at the en</w:t>
      </w:r>
      <w:r>
        <w:rPr>
          <w:rFonts w:eastAsia="Times New Roman"/>
          <w:color w:val="000000"/>
          <w:sz w:val="18"/>
          <w:szCs w:val="18"/>
        </w:rPr>
        <w:t>d of each performance period will range between 0% and 200% of the target number of units granted, based upon a measure of the reported performance of the Company relative to stated goals.</w:t>
      </w:r>
    </w:p>
    <w:p w:rsidR="00000000" w:rsidRDefault="005B0BC3">
      <w:pPr>
        <w:ind w:hanging="360"/>
        <w:divId w:val="974211775"/>
        <w:rPr>
          <w:rFonts w:eastAsia="Times New Roman"/>
        </w:rPr>
      </w:pPr>
      <w:r>
        <w:rPr>
          <w:rFonts w:eastAsia="Times New Roman"/>
          <w:color w:val="000000"/>
          <w:sz w:val="18"/>
          <w:szCs w:val="18"/>
        </w:rPr>
        <w:t>(2)Represents the weighted average exercise price of the options di</w:t>
      </w:r>
      <w:r>
        <w:rPr>
          <w:rFonts w:eastAsia="Times New Roman"/>
          <w:color w:val="000000"/>
          <w:sz w:val="18"/>
          <w:szCs w:val="18"/>
        </w:rPr>
        <w:t>sclosed in column (a).</w:t>
      </w:r>
    </w:p>
    <w:p w:rsidR="00000000" w:rsidRDefault="005B0BC3">
      <w:pPr>
        <w:ind w:hanging="360"/>
        <w:divId w:val="659044338"/>
        <w:rPr>
          <w:rFonts w:eastAsia="Times New Roman"/>
        </w:rPr>
      </w:pPr>
      <w:r>
        <w:rPr>
          <w:rFonts w:eastAsia="Times New Roman"/>
          <w:color w:val="000000"/>
          <w:sz w:val="18"/>
          <w:szCs w:val="18"/>
        </w:rPr>
        <w:t xml:space="preserve">(3) The Equitable Holdings, Inc. Stock Purchase Plan is a non-qualified Employee Stock Purchase Plan to which up to 8,000,000 shares of common stock were authorized for issuance, all of which have been registered on Form S-8. </w:t>
      </w:r>
    </w:p>
    <w:p w:rsidR="00000000" w:rsidRDefault="005B0BC3">
      <w:pPr>
        <w:ind w:firstLine="360"/>
        <w:divId w:val="1565263727"/>
        <w:rPr>
          <w:rFonts w:eastAsia="Times New Roman"/>
        </w:rPr>
      </w:pPr>
      <w:r>
        <w:rPr>
          <w:rFonts w:eastAsia="Times New Roman"/>
          <w:color w:val="000000"/>
          <w:sz w:val="18"/>
          <w:szCs w:val="18"/>
        </w:rPr>
        <w:t>(4) Th</w:t>
      </w:r>
      <w:r>
        <w:rPr>
          <w:rFonts w:eastAsia="Times New Roman"/>
          <w:color w:val="000000"/>
          <w:sz w:val="18"/>
          <w:szCs w:val="18"/>
        </w:rPr>
        <w:t xml:space="preserve">rough December 31, 2021, eligible participants received a 15% match on Holdings share purchases up to a maximum of $3,750 per </w:t>
      </w:r>
    </w:p>
    <w:p w:rsidR="00000000" w:rsidRDefault="005B0BC3">
      <w:pPr>
        <w:ind w:hanging="360"/>
        <w:divId w:val="1114248586"/>
        <w:rPr>
          <w:rFonts w:eastAsia="Times New Roman"/>
        </w:rPr>
      </w:pPr>
      <w:r>
        <w:rPr>
          <w:rFonts w:eastAsia="Times New Roman"/>
          <w:color w:val="000000"/>
          <w:sz w:val="18"/>
          <w:szCs w:val="18"/>
        </w:rPr>
        <w:t>calendar year. Beginning January 1, 2022, eligible participants will receive a 10% match on Holdings share purchases, up to a max</w:t>
      </w:r>
      <w:r>
        <w:rPr>
          <w:rFonts w:eastAsia="Times New Roman"/>
          <w:color w:val="000000"/>
          <w:sz w:val="18"/>
          <w:szCs w:val="18"/>
        </w:rPr>
        <w:t>imum of $1,000 per calendar year. Employer matching contributions will be used to purchase additional shares for the participant. Participants may not contribute more than $50,000 through payroll deductions during any calendar year.</w:t>
      </w:r>
    </w:p>
    <w:p w:rsidR="00000000" w:rsidRDefault="005B0BC3">
      <w:pPr>
        <w:ind w:firstLine="360"/>
        <w:divId w:val="1303849949"/>
        <w:rPr>
          <w:rFonts w:eastAsia="Times New Roman"/>
        </w:rPr>
      </w:pPr>
    </w:p>
    <w:p w:rsidR="00000000" w:rsidRDefault="005B0BC3">
      <w:pPr>
        <w:ind w:firstLine="360"/>
        <w:divId w:val="1219586555"/>
        <w:rPr>
          <w:rFonts w:eastAsia="Times New Roman"/>
        </w:rPr>
      </w:pPr>
      <w:r>
        <w:rPr>
          <w:rFonts w:eastAsia="Times New Roman"/>
          <w:color w:val="000000"/>
          <w:sz w:val="20"/>
          <w:szCs w:val="20"/>
        </w:rPr>
        <w:t>All of the other info</w:t>
      </w:r>
      <w:r>
        <w:rPr>
          <w:rFonts w:eastAsia="Times New Roman"/>
          <w:color w:val="000000"/>
          <w:sz w:val="20"/>
          <w:szCs w:val="20"/>
        </w:rPr>
        <w:t>rmation required by this item is incorporated by reference to, and will be contained in, the Company’s 2022 Proxy Statement.</w:t>
      </w:r>
    </w:p>
    <w:p w:rsidR="00000000" w:rsidRDefault="005B0BC3">
      <w:pPr>
        <w:jc w:val="center"/>
        <w:divId w:val="1809397539"/>
        <w:rPr>
          <w:rFonts w:eastAsia="Times New Roman"/>
        </w:rPr>
      </w:pPr>
      <w:r>
        <w:rPr>
          <w:rFonts w:eastAsia="Times New Roman"/>
          <w:color w:val="000000"/>
          <w:sz w:val="20"/>
          <w:szCs w:val="20"/>
        </w:rPr>
        <w:t>241</w:t>
      </w:r>
    </w:p>
    <w:p w:rsidR="00000000" w:rsidRDefault="005B0BC3">
      <w:pPr>
        <w:rPr>
          <w:rFonts w:eastAsia="Times New Roman"/>
        </w:rPr>
      </w:pPr>
      <w:r>
        <w:rPr>
          <w:rFonts w:eastAsia="Times New Roman"/>
        </w:rPr>
        <w:pict>
          <v:rect id="_x0000_i1279" style="width:0;height:1.5pt" o:hralign="center" o:hrstd="t" o:hr="t" fillcolor="#a0a0a0" stroked="f"/>
        </w:pict>
      </w:r>
    </w:p>
    <w:p w:rsidR="00000000" w:rsidRDefault="005B0BC3">
      <w:pPr>
        <w:divId w:val="1396121413"/>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divId w:val="886838583"/>
        <w:rPr>
          <w:rFonts w:eastAsia="Times New Roman"/>
        </w:rPr>
      </w:pPr>
      <w:r>
        <w:rPr>
          <w:rFonts w:eastAsia="Times New Roman"/>
          <w:b/>
          <w:bCs/>
          <w:color w:val="000000"/>
          <w:sz w:val="20"/>
          <w:szCs w:val="20"/>
        </w:rPr>
        <w:t>Part III, Item 13.</w:t>
      </w:r>
    </w:p>
    <w:p w:rsidR="00000000" w:rsidRDefault="005B0BC3">
      <w:pPr>
        <w:jc w:val="center"/>
        <w:divId w:val="1924410114"/>
        <w:rPr>
          <w:rFonts w:eastAsia="Times New Roman"/>
        </w:rPr>
      </w:pPr>
      <w:r>
        <w:rPr>
          <w:rFonts w:eastAsia="Times New Roman"/>
          <w:b/>
          <w:bCs/>
          <w:color w:val="000000"/>
          <w:sz w:val="20"/>
          <w:szCs w:val="20"/>
        </w:rPr>
        <w:t>CERTAIN RELATIONSHIPS AND RELATED TRANSACTIONS, AND DIRECTOR INDEPENDENCE</w:t>
      </w:r>
    </w:p>
    <w:p w:rsidR="00000000" w:rsidRDefault="005B0BC3">
      <w:pPr>
        <w:ind w:firstLine="360"/>
        <w:divId w:val="1987658975"/>
        <w:rPr>
          <w:rFonts w:eastAsia="Times New Roman"/>
        </w:rPr>
      </w:pPr>
      <w:r>
        <w:rPr>
          <w:rFonts w:eastAsia="Times New Roman"/>
          <w:color w:val="000000"/>
          <w:sz w:val="20"/>
          <w:szCs w:val="20"/>
        </w:rPr>
        <w:t>The information required by this item is incorporated by reference to, and will be contained in, the Company’s 2022 Proxy Statement.</w:t>
      </w:r>
    </w:p>
    <w:p w:rsidR="00000000" w:rsidRDefault="005B0BC3">
      <w:pPr>
        <w:divId w:val="1317612459"/>
        <w:rPr>
          <w:rFonts w:eastAsia="Times New Roman"/>
        </w:rPr>
      </w:pPr>
      <w:r>
        <w:rPr>
          <w:rFonts w:eastAsia="Times New Roman"/>
          <w:b/>
          <w:bCs/>
          <w:color w:val="000000"/>
          <w:sz w:val="20"/>
          <w:szCs w:val="20"/>
        </w:rPr>
        <w:t xml:space="preserve">Part III, Item 14. </w:t>
      </w:r>
    </w:p>
    <w:p w:rsidR="00000000" w:rsidRDefault="005B0BC3">
      <w:pPr>
        <w:jc w:val="center"/>
        <w:divId w:val="1116216730"/>
        <w:rPr>
          <w:rFonts w:eastAsia="Times New Roman"/>
        </w:rPr>
      </w:pPr>
      <w:r>
        <w:rPr>
          <w:rFonts w:eastAsia="Times New Roman"/>
          <w:b/>
          <w:bCs/>
          <w:color w:val="000000"/>
          <w:sz w:val="20"/>
          <w:szCs w:val="20"/>
        </w:rPr>
        <w:t xml:space="preserve">PRINCIPAL ACCOUNTANT FEES AND SERVICES </w:t>
      </w:r>
    </w:p>
    <w:p w:rsidR="00000000" w:rsidRDefault="005B0BC3">
      <w:pPr>
        <w:ind w:firstLine="360"/>
        <w:divId w:val="505291906"/>
        <w:rPr>
          <w:rFonts w:eastAsia="Times New Roman"/>
        </w:rPr>
      </w:pPr>
      <w:r>
        <w:rPr>
          <w:rFonts w:eastAsia="Times New Roman"/>
          <w:color w:val="000000"/>
          <w:sz w:val="20"/>
          <w:szCs w:val="20"/>
        </w:rPr>
        <w:t>The information required by this item is incorporated by refere</w:t>
      </w:r>
      <w:r>
        <w:rPr>
          <w:rFonts w:eastAsia="Times New Roman"/>
          <w:color w:val="000000"/>
          <w:sz w:val="20"/>
          <w:szCs w:val="20"/>
        </w:rPr>
        <w:t>nce to, and will be contained in, the Company’s 2022 Proxy Statement.</w:t>
      </w:r>
    </w:p>
    <w:p w:rsidR="00000000" w:rsidRDefault="005B0BC3">
      <w:pPr>
        <w:divId w:val="829637497"/>
        <w:rPr>
          <w:rFonts w:eastAsia="Times New Roman"/>
        </w:rPr>
      </w:pPr>
    </w:p>
    <w:p w:rsidR="00000000" w:rsidRDefault="005B0BC3">
      <w:pPr>
        <w:divId w:val="665010026"/>
        <w:rPr>
          <w:rFonts w:eastAsia="Times New Roman"/>
        </w:rPr>
      </w:pPr>
      <w:r>
        <w:rPr>
          <w:rFonts w:eastAsia="Times New Roman"/>
          <w:b/>
          <w:bCs/>
          <w:color w:val="000000"/>
          <w:sz w:val="20"/>
          <w:szCs w:val="20"/>
        </w:rPr>
        <w:t>Part IV, Item 15.</w:t>
      </w:r>
    </w:p>
    <w:p w:rsidR="00000000" w:rsidRDefault="005B0BC3">
      <w:pPr>
        <w:jc w:val="center"/>
        <w:divId w:val="1581214550"/>
        <w:rPr>
          <w:rFonts w:eastAsia="Times New Roman"/>
        </w:rPr>
      </w:pPr>
      <w:r>
        <w:rPr>
          <w:rFonts w:eastAsia="Times New Roman"/>
          <w:b/>
          <w:bCs/>
          <w:color w:val="000000"/>
          <w:sz w:val="20"/>
          <w:szCs w:val="20"/>
        </w:rPr>
        <w:t>EXHIBITS AND FINANCIAL STATEMENT SCHEDULES</w:t>
      </w:r>
      <w:r>
        <w:rPr>
          <w:rFonts w:eastAsia="Times New Roman"/>
          <w:color w:val="000000"/>
          <w:sz w:val="20"/>
          <w:szCs w:val="20"/>
        </w:rPr>
        <w:t xml:space="preserve"> </w:t>
      </w:r>
    </w:p>
    <w:p w:rsidR="00000000" w:rsidRDefault="005B0BC3">
      <w:pPr>
        <w:ind w:firstLine="360"/>
        <w:divId w:val="1931769420"/>
        <w:rPr>
          <w:rFonts w:eastAsia="Times New Roman"/>
        </w:rPr>
      </w:pPr>
      <w:r>
        <w:rPr>
          <w:rFonts w:eastAsia="Times New Roman"/>
          <w:color w:val="000000"/>
          <w:sz w:val="20"/>
          <w:szCs w:val="20"/>
        </w:rPr>
        <w:t>The following documents are filed as part of this report:</w:t>
      </w:r>
    </w:p>
    <w:tbl>
      <w:tblPr>
        <w:tblW w:w="9870" w:type="dxa"/>
        <w:jc w:val="center"/>
        <w:tblCellMar>
          <w:top w:w="15" w:type="dxa"/>
          <w:left w:w="15" w:type="dxa"/>
          <w:bottom w:w="15" w:type="dxa"/>
          <w:right w:w="15" w:type="dxa"/>
        </w:tblCellMar>
        <w:tblLook w:val="04A0" w:firstRow="1" w:lastRow="0" w:firstColumn="1" w:lastColumn="0" w:noHBand="0" w:noVBand="1"/>
      </w:tblPr>
      <w:tblGrid>
        <w:gridCol w:w="37"/>
        <w:gridCol w:w="266"/>
        <w:gridCol w:w="36"/>
        <w:gridCol w:w="49"/>
        <w:gridCol w:w="8316"/>
        <w:gridCol w:w="49"/>
        <w:gridCol w:w="36"/>
        <w:gridCol w:w="1045"/>
        <w:gridCol w:w="36"/>
      </w:tblGrid>
      <w:tr w:rsidR="00000000">
        <w:trPr>
          <w:divId w:val="1276328561"/>
          <w:jc w:val="center"/>
        </w:trPr>
        <w:tc>
          <w:tcPr>
            <w:tcW w:w="20" w:type="dxa"/>
            <w:vAlign w:val="center"/>
            <w:hideMark/>
          </w:tcPr>
          <w:p w:rsidR="00000000" w:rsidRDefault="005B0BC3">
            <w:pPr>
              <w:ind w:firstLine="360"/>
              <w:rPr>
                <w:rFonts w:eastAsia="Times New Roman"/>
              </w:rPr>
            </w:pPr>
          </w:p>
        </w:tc>
        <w:tc>
          <w:tcPr>
            <w:tcW w:w="365" w:type="dxa"/>
            <w:vAlign w:val="center"/>
            <w:hideMark/>
          </w:tcPr>
          <w:p w:rsidR="00000000" w:rsidRDefault="005B0BC3">
            <w:pPr>
              <w:spacing w:after="100"/>
              <w:rPr>
                <w:rFonts w:eastAsia="Times New Roman"/>
                <w:sz w:val="20"/>
                <w:szCs w:val="20"/>
              </w:rPr>
            </w:pPr>
          </w:p>
        </w:tc>
        <w:tc>
          <w:tcPr>
            <w:tcW w:w="20" w:type="dxa"/>
            <w:vAlign w:val="center"/>
            <w:hideMark/>
          </w:tcPr>
          <w:p w:rsidR="00000000" w:rsidRDefault="005B0BC3">
            <w:pPr>
              <w:spacing w:after="100"/>
              <w:rPr>
                <w:rFonts w:eastAsia="Times New Roman"/>
                <w:sz w:val="20"/>
                <w:szCs w:val="20"/>
              </w:rPr>
            </w:pPr>
          </w:p>
        </w:tc>
        <w:tc>
          <w:tcPr>
            <w:tcW w:w="20" w:type="dxa"/>
            <w:vAlign w:val="center"/>
            <w:hideMark/>
          </w:tcPr>
          <w:p w:rsidR="00000000" w:rsidRDefault="005B0BC3">
            <w:pPr>
              <w:spacing w:after="100"/>
              <w:rPr>
                <w:rFonts w:eastAsia="Times New Roman"/>
                <w:sz w:val="20"/>
                <w:szCs w:val="20"/>
              </w:rPr>
            </w:pPr>
          </w:p>
        </w:tc>
        <w:tc>
          <w:tcPr>
            <w:tcW w:w="8060" w:type="dxa"/>
            <w:vAlign w:val="center"/>
            <w:hideMark/>
          </w:tcPr>
          <w:p w:rsidR="00000000" w:rsidRDefault="005B0BC3">
            <w:pPr>
              <w:spacing w:after="100"/>
              <w:rPr>
                <w:rFonts w:eastAsia="Times New Roman"/>
                <w:sz w:val="20"/>
                <w:szCs w:val="20"/>
              </w:rPr>
            </w:pPr>
          </w:p>
        </w:tc>
        <w:tc>
          <w:tcPr>
            <w:tcW w:w="20" w:type="dxa"/>
            <w:vAlign w:val="center"/>
            <w:hideMark/>
          </w:tcPr>
          <w:p w:rsidR="00000000" w:rsidRDefault="005B0BC3">
            <w:pPr>
              <w:spacing w:after="100"/>
              <w:rPr>
                <w:rFonts w:eastAsia="Times New Roman"/>
                <w:sz w:val="20"/>
                <w:szCs w:val="20"/>
              </w:rPr>
            </w:pPr>
          </w:p>
        </w:tc>
        <w:tc>
          <w:tcPr>
            <w:tcW w:w="20" w:type="dxa"/>
            <w:vAlign w:val="center"/>
            <w:hideMark/>
          </w:tcPr>
          <w:p w:rsidR="00000000" w:rsidRDefault="005B0BC3">
            <w:pPr>
              <w:spacing w:after="100"/>
              <w:rPr>
                <w:rFonts w:eastAsia="Times New Roman"/>
                <w:sz w:val="20"/>
                <w:szCs w:val="20"/>
              </w:rPr>
            </w:pPr>
          </w:p>
        </w:tc>
        <w:tc>
          <w:tcPr>
            <w:tcW w:w="1325" w:type="dxa"/>
            <w:vAlign w:val="center"/>
            <w:hideMark/>
          </w:tcPr>
          <w:p w:rsidR="00000000" w:rsidRDefault="005B0BC3">
            <w:pPr>
              <w:spacing w:after="100"/>
              <w:rPr>
                <w:rFonts w:eastAsia="Times New Roman"/>
                <w:sz w:val="20"/>
                <w:szCs w:val="20"/>
              </w:rPr>
            </w:pPr>
          </w:p>
        </w:tc>
        <w:tc>
          <w:tcPr>
            <w:tcW w:w="20" w:type="dxa"/>
            <w:vAlign w:val="center"/>
            <w:hideMark/>
          </w:tcPr>
          <w:p w:rsidR="00000000" w:rsidRDefault="005B0BC3">
            <w:pPr>
              <w:spacing w:after="100"/>
              <w:rPr>
                <w:rFonts w:eastAsia="Times New Roman"/>
                <w:sz w:val="20"/>
                <w:szCs w:val="20"/>
              </w:rPr>
            </w:pPr>
          </w:p>
        </w:tc>
      </w:tr>
      <w:tr w:rsidR="00000000">
        <w:trPr>
          <w:divId w:val="1276328561"/>
          <w:trHeight w:val="30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Page Number</w:t>
            </w:r>
          </w:p>
        </w:tc>
      </w:tr>
      <w:tr w:rsidR="00000000">
        <w:trPr>
          <w:divId w:val="1276328561"/>
          <w:trHeight w:val="360"/>
          <w:jc w:val="center"/>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1.</w:t>
            </w:r>
          </w:p>
        </w:tc>
        <w:tc>
          <w:tcPr>
            <w:tcW w:w="0" w:type="auto"/>
            <w:gridSpan w:val="3"/>
            <w:tcMar>
              <w:top w:w="30" w:type="dxa"/>
              <w:left w:w="20" w:type="dxa"/>
              <w:bottom w:w="30" w:type="dxa"/>
              <w:right w:w="20" w:type="dxa"/>
            </w:tcMar>
            <w:vAlign w:val="bottom"/>
            <w:hideMark/>
          </w:tcPr>
          <w:p w:rsidR="00000000" w:rsidRDefault="005B0BC3">
            <w:pPr>
              <w:spacing w:after="100"/>
              <w:divId w:val="1875771646"/>
              <w:rPr>
                <w:rFonts w:eastAsia="Times New Roman"/>
              </w:rPr>
            </w:pPr>
            <w:hyperlink w:anchor="i2ac35847634046b3a89f93d9b422e8f5_19" w:history="1">
              <w:r>
                <w:rPr>
                  <w:rStyle w:val="a3"/>
                  <w:rFonts w:eastAsia="Times New Roman"/>
                  <w:sz w:val="20"/>
                  <w:szCs w:val="20"/>
                </w:rPr>
                <w:t>Financial Statements—Item 8. Financial Statements and Supplementary Data</w:t>
              </w:r>
            </w:hyperlink>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hyperlink w:anchor="i2ac35847634046b3a89f93d9b422e8f5_616" w:history="1">
              <w:r>
                <w:rPr>
                  <w:rStyle w:val="a3"/>
                  <w:rFonts w:eastAsia="Times New Roman"/>
                  <w:sz w:val="20"/>
                  <w:szCs w:val="20"/>
                </w:rPr>
                <w:t>126</w:t>
              </w:r>
            </w:hyperlink>
          </w:p>
        </w:tc>
      </w:tr>
      <w:tr w:rsidR="00000000">
        <w:trPr>
          <w:divId w:val="1276328561"/>
          <w:trHeight w:val="280"/>
          <w:jc w:val="center"/>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2.</w:t>
            </w:r>
          </w:p>
        </w:tc>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Financial Statement Schedules:</w:t>
            </w: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 </w:t>
            </w:r>
          </w:p>
        </w:tc>
      </w:tr>
      <w:tr w:rsidR="00000000">
        <w:trPr>
          <w:divId w:val="1276328561"/>
          <w:trHeight w:val="480"/>
          <w:jc w:val="center"/>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5B0BC3">
            <w:pPr>
              <w:spacing w:after="100"/>
              <w:divId w:val="511771029"/>
              <w:rPr>
                <w:rFonts w:eastAsia="Times New Roman"/>
              </w:rPr>
            </w:pPr>
            <w:hyperlink w:anchor="i2ac35847634046b3a89f93d9b422e8f5_871" w:history="1">
              <w:r>
                <w:rPr>
                  <w:rStyle w:val="a3"/>
                  <w:rFonts w:eastAsia="Times New Roman"/>
                  <w:sz w:val="20"/>
                  <w:szCs w:val="20"/>
                </w:rPr>
                <w:t>Schedule I—Summary of Investments Other Than Investments in Related Parties as of December 31, 202</w:t>
              </w:r>
            </w:hyperlink>
            <w:r>
              <w:rPr>
                <w:rFonts w:eastAsia="Times New Roman"/>
                <w:color w:val="000000"/>
                <w:sz w:val="20"/>
                <w:szCs w:val="20"/>
              </w:rPr>
              <w:t>1</w:t>
            </w: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hyperlink w:anchor="i2ac35847634046b3a89f93d9b422e8f5_871" w:history="1">
              <w:r>
                <w:rPr>
                  <w:rStyle w:val="a3"/>
                  <w:rFonts w:eastAsia="Times New Roman"/>
                  <w:sz w:val="20"/>
                  <w:szCs w:val="20"/>
                </w:rPr>
                <w:t>232</w:t>
              </w:r>
            </w:hyperlink>
          </w:p>
        </w:tc>
      </w:tr>
      <w:tr w:rsidR="00000000">
        <w:trPr>
          <w:divId w:val="1276328561"/>
          <w:trHeight w:val="480"/>
          <w:jc w:val="center"/>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5B0BC3">
            <w:pPr>
              <w:spacing w:after="100"/>
              <w:divId w:val="1191068691"/>
              <w:rPr>
                <w:rFonts w:eastAsia="Times New Roman"/>
              </w:rPr>
            </w:pPr>
            <w:hyperlink w:anchor="i2ac35847634046b3a89f93d9b422e8f5_874" w:history="1">
              <w:r>
                <w:rPr>
                  <w:rStyle w:val="a3"/>
                  <w:rFonts w:eastAsia="Times New Roman"/>
                  <w:sz w:val="20"/>
                  <w:szCs w:val="20"/>
                </w:rPr>
                <w:t>Schedule II—Condensed Financial Information of Parent Company as of December 31, 2020 and 2019, and for the years ended December 31, 202</w:t>
              </w:r>
            </w:hyperlink>
            <w:hyperlink w:anchor="i2ac35847634046b3a89f93d9b422e8f5_874" w:history="1">
              <w:r>
                <w:rPr>
                  <w:rStyle w:val="a3"/>
                  <w:rFonts w:eastAsia="Times New Roman"/>
                  <w:sz w:val="20"/>
                  <w:szCs w:val="20"/>
                </w:rPr>
                <w:t>1</w:t>
              </w:r>
            </w:hyperlink>
            <w:hyperlink w:anchor="i2ac35847634046b3a89f93d9b422e8f5_874" w:history="1">
              <w:r>
                <w:rPr>
                  <w:rStyle w:val="a3"/>
                  <w:rFonts w:eastAsia="Times New Roman"/>
                  <w:sz w:val="20"/>
                  <w:szCs w:val="20"/>
                </w:rPr>
                <w:t>, 20</w:t>
              </w:r>
            </w:hyperlink>
            <w:hyperlink w:anchor="i2ac35847634046b3a89f93d9b422e8f5_874" w:history="1">
              <w:r>
                <w:rPr>
                  <w:rStyle w:val="a3"/>
                  <w:rFonts w:eastAsia="Times New Roman"/>
                  <w:sz w:val="20"/>
                  <w:szCs w:val="20"/>
                </w:rPr>
                <w:t>20</w:t>
              </w:r>
            </w:hyperlink>
            <w:hyperlink w:anchor="i2ac35847634046b3a89f93d9b422e8f5_874" w:history="1">
              <w:r>
                <w:rPr>
                  <w:rStyle w:val="a3"/>
                  <w:rFonts w:eastAsia="Times New Roman"/>
                  <w:sz w:val="20"/>
                  <w:szCs w:val="20"/>
                </w:rPr>
                <w:t xml:space="preserve"> and 20</w:t>
              </w:r>
            </w:hyperlink>
            <w:hyperlink w:anchor="i2ac35847634046b3a89f93d9b422e8f5_874" w:history="1">
              <w:r>
                <w:rPr>
                  <w:rStyle w:val="a3"/>
                  <w:rFonts w:eastAsia="Times New Roman"/>
                  <w:sz w:val="20"/>
                  <w:szCs w:val="20"/>
                </w:rPr>
                <w:t>19</w:t>
              </w:r>
            </w:hyperlink>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hyperlink w:anchor="i2ac35847634046b3a89f93d9b422e8f5_874" w:history="1">
              <w:r>
                <w:rPr>
                  <w:rStyle w:val="a3"/>
                  <w:rFonts w:eastAsia="Times New Roman"/>
                  <w:sz w:val="20"/>
                  <w:szCs w:val="20"/>
                </w:rPr>
                <w:t>234</w:t>
              </w:r>
            </w:hyperlink>
          </w:p>
        </w:tc>
      </w:tr>
      <w:tr w:rsidR="00000000">
        <w:trPr>
          <w:divId w:val="1276328561"/>
          <w:trHeight w:val="480"/>
          <w:jc w:val="center"/>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5B0BC3">
            <w:pPr>
              <w:spacing w:after="100"/>
              <w:divId w:val="910846248"/>
              <w:rPr>
                <w:rFonts w:eastAsia="Times New Roman"/>
              </w:rPr>
            </w:pPr>
            <w:hyperlink w:anchor="i2ac35847634046b3a89f93d9b422e8f5_880" w:history="1">
              <w:r>
                <w:rPr>
                  <w:rStyle w:val="a3"/>
                  <w:rFonts w:eastAsia="Times New Roman"/>
                  <w:sz w:val="20"/>
                  <w:szCs w:val="20"/>
                </w:rPr>
                <w:t>Schedule III—</w:t>
              </w:r>
              <w:r>
                <w:rPr>
                  <w:rStyle w:val="a3"/>
                  <w:rFonts w:eastAsia="Times New Roman"/>
                  <w:sz w:val="20"/>
                  <w:szCs w:val="20"/>
                </w:rPr>
                <w:t>Supplementary Insurance Information as of December 31, 2020 and 2019 and for the years ended December 31, 202</w:t>
              </w:r>
            </w:hyperlink>
            <w:hyperlink w:anchor="i2ac35847634046b3a89f93d9b422e8f5_880" w:history="1">
              <w:r>
                <w:rPr>
                  <w:rStyle w:val="a3"/>
                  <w:rFonts w:eastAsia="Times New Roman"/>
                  <w:sz w:val="20"/>
                  <w:szCs w:val="20"/>
                </w:rPr>
                <w:t>1</w:t>
              </w:r>
            </w:hyperlink>
            <w:hyperlink w:anchor="i2ac35847634046b3a89f93d9b422e8f5_880" w:history="1">
              <w:r>
                <w:rPr>
                  <w:rStyle w:val="a3"/>
                  <w:rFonts w:eastAsia="Times New Roman"/>
                  <w:sz w:val="20"/>
                  <w:szCs w:val="20"/>
                </w:rPr>
                <w:t>, 20</w:t>
              </w:r>
            </w:hyperlink>
            <w:hyperlink w:anchor="i2ac35847634046b3a89f93d9b422e8f5_880" w:history="1">
              <w:r>
                <w:rPr>
                  <w:rStyle w:val="a3"/>
                  <w:rFonts w:eastAsia="Times New Roman"/>
                  <w:sz w:val="20"/>
                  <w:szCs w:val="20"/>
                </w:rPr>
                <w:t>20</w:t>
              </w:r>
            </w:hyperlink>
            <w:hyperlink w:anchor="i2ac35847634046b3a89f93d9b422e8f5_880" w:history="1">
              <w:r>
                <w:rPr>
                  <w:rStyle w:val="a3"/>
                  <w:rFonts w:eastAsia="Times New Roman"/>
                  <w:sz w:val="20"/>
                  <w:szCs w:val="20"/>
                </w:rPr>
                <w:t xml:space="preserve"> and 20</w:t>
              </w:r>
            </w:hyperlink>
            <w:hyperlink w:anchor="i2ac35847634046b3a89f93d9b422e8f5_880" w:history="1">
              <w:r>
                <w:rPr>
                  <w:rStyle w:val="a3"/>
                  <w:rFonts w:eastAsia="Times New Roman"/>
                  <w:sz w:val="20"/>
                  <w:szCs w:val="20"/>
                </w:rPr>
                <w:t>19</w:t>
              </w:r>
            </w:hyperlink>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hyperlink w:anchor="i2ac35847634046b3a89f93d9b422e8f5_880" w:history="1">
              <w:r>
                <w:rPr>
                  <w:rStyle w:val="a3"/>
                  <w:rFonts w:eastAsia="Times New Roman"/>
                  <w:sz w:val="20"/>
                  <w:szCs w:val="20"/>
                </w:rPr>
                <w:t>23</w:t>
              </w:r>
              <w:r>
                <w:rPr>
                  <w:rStyle w:val="a3"/>
                  <w:rFonts w:eastAsia="Times New Roman"/>
                  <w:sz w:val="20"/>
                  <w:szCs w:val="20"/>
                </w:rPr>
                <w:t>8</w:t>
              </w:r>
            </w:hyperlink>
          </w:p>
        </w:tc>
      </w:tr>
      <w:tr w:rsidR="00000000">
        <w:trPr>
          <w:divId w:val="1276328561"/>
          <w:trHeight w:val="300"/>
          <w:jc w:val="center"/>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5B0BC3">
            <w:pPr>
              <w:spacing w:after="100"/>
              <w:divId w:val="1178808514"/>
              <w:rPr>
                <w:rFonts w:eastAsia="Times New Roman"/>
              </w:rPr>
            </w:pPr>
            <w:hyperlink w:anchor="i2ac35847634046b3a89f93d9b422e8f5_883" w:history="1">
              <w:r>
                <w:rPr>
                  <w:rStyle w:val="a3"/>
                  <w:rFonts w:eastAsia="Times New Roman"/>
                  <w:sz w:val="20"/>
                  <w:szCs w:val="20"/>
                </w:rPr>
                <w:t>Schedule IV—Reinsurance for the years ended December 31, 202</w:t>
              </w:r>
            </w:hyperlink>
            <w:hyperlink w:anchor="i2ac35847634046b3a89f93d9b422e8f5_883" w:history="1">
              <w:r>
                <w:rPr>
                  <w:rStyle w:val="a3"/>
                  <w:rFonts w:eastAsia="Times New Roman"/>
                  <w:sz w:val="20"/>
                  <w:szCs w:val="20"/>
                </w:rPr>
                <w:t>1</w:t>
              </w:r>
            </w:hyperlink>
            <w:hyperlink w:anchor="i2ac35847634046b3a89f93d9b422e8f5_883" w:history="1">
              <w:r>
                <w:rPr>
                  <w:rStyle w:val="a3"/>
                  <w:rFonts w:eastAsia="Times New Roman"/>
                  <w:sz w:val="20"/>
                  <w:szCs w:val="20"/>
                </w:rPr>
                <w:t>, 20</w:t>
              </w:r>
            </w:hyperlink>
            <w:hyperlink w:anchor="i2ac35847634046b3a89f93d9b422e8f5_883" w:history="1">
              <w:r>
                <w:rPr>
                  <w:rStyle w:val="a3"/>
                  <w:rFonts w:eastAsia="Times New Roman"/>
                  <w:sz w:val="20"/>
                  <w:szCs w:val="20"/>
                </w:rPr>
                <w:t>20</w:t>
              </w:r>
            </w:hyperlink>
            <w:hyperlink w:anchor="i2ac35847634046b3a89f93d9b422e8f5_883" w:history="1">
              <w:r>
                <w:rPr>
                  <w:rStyle w:val="a3"/>
                  <w:rFonts w:eastAsia="Times New Roman"/>
                  <w:sz w:val="20"/>
                  <w:szCs w:val="20"/>
                </w:rPr>
                <w:t xml:space="preserve"> and 201</w:t>
              </w:r>
            </w:hyperlink>
            <w:hyperlink w:anchor="i2ac35847634046b3a89f93d9b422e8f5_883" w:history="1">
              <w:r>
                <w:rPr>
                  <w:rStyle w:val="a3"/>
                  <w:rFonts w:eastAsia="Times New Roman"/>
                  <w:sz w:val="20"/>
                  <w:szCs w:val="20"/>
                </w:rPr>
                <w:t>9</w:t>
              </w:r>
            </w:hyperlink>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hyperlink w:anchor="i2ac35847634046b3a89f93d9b422e8f5_883" w:history="1">
              <w:r>
                <w:rPr>
                  <w:rStyle w:val="a3"/>
                  <w:rFonts w:eastAsia="Times New Roman"/>
                  <w:sz w:val="20"/>
                  <w:szCs w:val="20"/>
                </w:rPr>
                <w:t>239</w:t>
              </w:r>
            </w:hyperlink>
          </w:p>
        </w:tc>
      </w:tr>
      <w:tr w:rsidR="00000000">
        <w:trPr>
          <w:divId w:val="1276328561"/>
          <w:trHeight w:val="300"/>
          <w:jc w:val="center"/>
        </w:trPr>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3.</w:t>
            </w:r>
          </w:p>
        </w:tc>
        <w:tc>
          <w:tcPr>
            <w:tcW w:w="0" w:type="auto"/>
            <w:gridSpan w:val="3"/>
            <w:tcMar>
              <w:top w:w="30" w:type="dxa"/>
              <w:left w:w="20" w:type="dxa"/>
              <w:bottom w:w="30" w:type="dxa"/>
              <w:right w:w="20" w:type="dxa"/>
            </w:tcMar>
            <w:vAlign w:val="bottom"/>
            <w:hideMark/>
          </w:tcPr>
          <w:p w:rsidR="00000000" w:rsidRDefault="005B0BC3">
            <w:pPr>
              <w:spacing w:after="100"/>
              <w:divId w:val="405152868"/>
              <w:rPr>
                <w:rFonts w:eastAsia="Times New Roman"/>
              </w:rPr>
            </w:pPr>
            <w:r>
              <w:rPr>
                <w:rFonts w:eastAsia="Times New Roman"/>
                <w:color w:val="000000"/>
                <w:sz w:val="20"/>
                <w:szCs w:val="20"/>
              </w:rPr>
              <w:t xml:space="preserve">Exhibits: See the accompanying </w:t>
            </w:r>
            <w:hyperlink w:anchor="i2ac35847634046b3a89f93d9b422e8f5_949" w:history="1">
              <w:r>
                <w:rPr>
                  <w:rStyle w:val="a3"/>
                  <w:rFonts w:eastAsia="Times New Roman"/>
                  <w:sz w:val="20"/>
                  <w:szCs w:val="20"/>
                </w:rPr>
                <w:t>Index to Exhibits</w:t>
              </w:r>
            </w:hyperlink>
            <w:r>
              <w:rPr>
                <w:rFonts w:eastAsia="Times New Roman"/>
                <w:color w:val="000000"/>
                <w:sz w:val="20"/>
                <w:szCs w:val="20"/>
              </w:rPr>
              <w:t>.</w:t>
            </w:r>
          </w:p>
        </w:tc>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hyperlink w:anchor="i2ac35847634046b3a89f93d9b422e8f5_949" w:history="1">
              <w:r>
                <w:rPr>
                  <w:rStyle w:val="a3"/>
                  <w:rFonts w:eastAsia="Times New Roman"/>
                  <w:sz w:val="20"/>
                  <w:szCs w:val="20"/>
                </w:rPr>
                <w:t>249</w:t>
              </w:r>
            </w:hyperlink>
          </w:p>
        </w:tc>
      </w:tr>
    </w:tbl>
    <w:p w:rsidR="00000000" w:rsidRDefault="005B0BC3">
      <w:pPr>
        <w:divId w:val="394353401"/>
        <w:rPr>
          <w:rFonts w:eastAsia="Times New Roman"/>
        </w:rPr>
      </w:pPr>
    </w:p>
    <w:p w:rsidR="00000000" w:rsidRDefault="005B0BC3">
      <w:pPr>
        <w:divId w:val="663584273"/>
        <w:rPr>
          <w:rFonts w:eastAsia="Times New Roman"/>
        </w:rPr>
      </w:pPr>
      <w:r>
        <w:rPr>
          <w:rFonts w:eastAsia="Times New Roman"/>
          <w:b/>
          <w:bCs/>
          <w:color w:val="000000"/>
          <w:sz w:val="20"/>
          <w:szCs w:val="20"/>
        </w:rPr>
        <w:t>Part IV, Item 16.</w:t>
      </w:r>
      <w:r>
        <w:rPr>
          <w:rFonts w:eastAsia="Times New Roman"/>
          <w:color w:val="000000"/>
          <w:sz w:val="20"/>
          <w:szCs w:val="20"/>
        </w:rPr>
        <w:t xml:space="preserve"> </w:t>
      </w:r>
    </w:p>
    <w:p w:rsidR="00000000" w:rsidRDefault="005B0BC3">
      <w:pPr>
        <w:jc w:val="center"/>
        <w:divId w:val="121585065"/>
        <w:rPr>
          <w:rFonts w:eastAsia="Times New Roman"/>
        </w:rPr>
      </w:pPr>
      <w:r>
        <w:rPr>
          <w:rFonts w:eastAsia="Times New Roman"/>
          <w:b/>
          <w:bCs/>
          <w:color w:val="000000"/>
          <w:sz w:val="20"/>
          <w:szCs w:val="20"/>
        </w:rPr>
        <w:t>FORM 10-K SUMMARY</w:t>
      </w:r>
      <w:r>
        <w:rPr>
          <w:rFonts w:eastAsia="Times New Roman"/>
          <w:color w:val="000000"/>
          <w:sz w:val="20"/>
          <w:szCs w:val="20"/>
        </w:rPr>
        <w:t xml:space="preserve"> </w:t>
      </w:r>
    </w:p>
    <w:p w:rsidR="00000000" w:rsidRDefault="005B0BC3">
      <w:pPr>
        <w:divId w:val="644893324"/>
        <w:rPr>
          <w:rFonts w:eastAsia="Times New Roman"/>
        </w:rPr>
      </w:pPr>
      <w:r>
        <w:rPr>
          <w:rFonts w:eastAsia="Times New Roman"/>
          <w:color w:val="000000"/>
          <w:sz w:val="20"/>
          <w:szCs w:val="20"/>
        </w:rPr>
        <w:t>None.</w:t>
      </w:r>
    </w:p>
    <w:p w:rsidR="00000000" w:rsidRDefault="005B0BC3">
      <w:pPr>
        <w:jc w:val="center"/>
        <w:divId w:val="26223775"/>
        <w:rPr>
          <w:rFonts w:eastAsia="Times New Roman"/>
        </w:rPr>
      </w:pPr>
      <w:r>
        <w:rPr>
          <w:rFonts w:eastAsia="Times New Roman"/>
          <w:b/>
          <w:bCs/>
          <w:color w:val="000000"/>
          <w:sz w:val="20"/>
          <w:szCs w:val="20"/>
        </w:rPr>
        <w:t>GLOSSARY</w:t>
      </w:r>
    </w:p>
    <w:p w:rsidR="00000000" w:rsidRDefault="005B0BC3">
      <w:pPr>
        <w:divId w:val="1848474109"/>
        <w:rPr>
          <w:rFonts w:eastAsia="Times New Roman"/>
        </w:rPr>
      </w:pPr>
      <w:r>
        <w:rPr>
          <w:rFonts w:eastAsia="Times New Roman"/>
          <w:b/>
          <w:bCs/>
          <w:color w:val="000000"/>
          <w:sz w:val="20"/>
          <w:szCs w:val="20"/>
        </w:rPr>
        <w:t>Selected Financial Terms</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2897"/>
        <w:gridCol w:w="38"/>
        <w:gridCol w:w="68"/>
        <w:gridCol w:w="5197"/>
        <w:gridCol w:w="38"/>
      </w:tblGrid>
      <w:tr w:rsidR="00000000">
        <w:trPr>
          <w:divId w:val="878316582"/>
          <w:jc w:val="center"/>
        </w:trPr>
        <w:tc>
          <w:tcPr>
            <w:tcW w:w="50" w:type="pct"/>
            <w:vAlign w:val="center"/>
            <w:hideMark/>
          </w:tcPr>
          <w:p w:rsidR="00000000" w:rsidRDefault="005B0BC3">
            <w:pPr>
              <w:rPr>
                <w:rFonts w:eastAsia="Times New Roman"/>
              </w:rPr>
            </w:pPr>
          </w:p>
        </w:tc>
        <w:tc>
          <w:tcPr>
            <w:tcW w:w="175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13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878316582"/>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Account Value (“AV”)</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Generally equals the aggregate policy account value of our retirement and protection products. General Account AV refers to account balances in investment options that are backed by the General Account while Separate Accounts AV refers to Separate Accounts</w:t>
            </w:r>
            <w:r>
              <w:rPr>
                <w:rFonts w:eastAsia="Times New Roman"/>
                <w:color w:val="000000"/>
                <w:sz w:val="20"/>
                <w:szCs w:val="20"/>
              </w:rPr>
              <w:t xml:space="preserve"> investment assets.</w:t>
            </w:r>
          </w:p>
        </w:tc>
      </w:tr>
      <w:tr w:rsidR="00000000">
        <w:trPr>
          <w:divId w:val="878316582"/>
          <w:trHeight w:val="12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878316582"/>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Alternative investments</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Investments in real estate and real estate joint ventures and other limited partnerships.</w:t>
            </w:r>
          </w:p>
        </w:tc>
      </w:tr>
      <w:tr w:rsidR="00000000">
        <w:trPr>
          <w:divId w:val="878316582"/>
          <w:trHeight w:val="12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878316582"/>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Assets under administration (“AUA”)</w:t>
            </w:r>
          </w:p>
        </w:tc>
        <w:tc>
          <w:tcPr>
            <w:tcW w:w="0" w:type="auto"/>
            <w:gridSpan w:val="3"/>
            <w:tcMar>
              <w:top w:w="30" w:type="dxa"/>
              <w:left w:w="20" w:type="dxa"/>
              <w:bottom w:w="30" w:type="dxa"/>
              <w:right w:w="20" w:type="dxa"/>
            </w:tcMar>
            <w:hideMark/>
          </w:tcPr>
          <w:p w:rsidR="00000000" w:rsidRDefault="005B0BC3">
            <w:pPr>
              <w:spacing w:after="100"/>
              <w:divId w:val="413402141"/>
              <w:rPr>
                <w:rFonts w:eastAsia="Times New Roman"/>
              </w:rPr>
            </w:pPr>
            <w:r>
              <w:rPr>
                <w:rFonts w:eastAsia="Times New Roman"/>
                <w:color w:val="000000"/>
                <w:sz w:val="20"/>
                <w:szCs w:val="20"/>
              </w:rPr>
              <w:t>Includes non-insurance client assets that are invested in our savings and investment products or serviced by our Equitable Advisors platform. We provide administrative services for these assets and generally record the revenues received as distribution fee</w:t>
            </w:r>
            <w:r>
              <w:rPr>
                <w:rFonts w:eastAsia="Times New Roman"/>
                <w:color w:val="000000"/>
                <w:sz w:val="20"/>
                <w:szCs w:val="20"/>
              </w:rPr>
              <w:t>s.</w:t>
            </w:r>
          </w:p>
        </w:tc>
      </w:tr>
      <w:tr w:rsidR="00000000">
        <w:trPr>
          <w:divId w:val="878316582"/>
          <w:trHeight w:val="12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878316582"/>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Annualized Premium</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100% of first year recurring premiums (up to target) and 10% of excess first year premiums or first year premiums from single premium products.</w:t>
            </w:r>
          </w:p>
        </w:tc>
      </w:tr>
      <w:tr w:rsidR="00000000">
        <w:trPr>
          <w:divId w:val="878316582"/>
          <w:trHeight w:val="12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bl>
    <w:p w:rsidR="00000000" w:rsidRDefault="005B0BC3">
      <w:pPr>
        <w:jc w:val="center"/>
        <w:divId w:val="661591877"/>
        <w:rPr>
          <w:rFonts w:eastAsia="Times New Roman"/>
        </w:rPr>
      </w:pPr>
      <w:r>
        <w:rPr>
          <w:rFonts w:eastAsia="Times New Roman"/>
          <w:color w:val="000000"/>
          <w:sz w:val="20"/>
          <w:szCs w:val="20"/>
        </w:rPr>
        <w:t>242</w:t>
      </w:r>
    </w:p>
    <w:p w:rsidR="00000000" w:rsidRDefault="005B0BC3">
      <w:pPr>
        <w:rPr>
          <w:rFonts w:eastAsia="Times New Roman"/>
        </w:rPr>
      </w:pPr>
      <w:r>
        <w:rPr>
          <w:rFonts w:eastAsia="Times New Roman"/>
        </w:rPr>
        <w:pict>
          <v:rect id="_x0000_i1280" style="width:0;height:1.5pt" o:hralign="center" o:hrstd="t" o:hr="t" fillcolor="#a0a0a0" stroked="f"/>
        </w:pict>
      </w:r>
    </w:p>
    <w:p w:rsidR="00000000" w:rsidRDefault="005B0BC3">
      <w:pPr>
        <w:divId w:val="358164296"/>
        <w:rPr>
          <w:rFonts w:eastAsia="Times New Roman"/>
        </w:rPr>
      </w:pPr>
      <w:hyperlink w:anchor="i2ac35847634046b3a89f93d9b422e8f5_421" w:history="1">
        <w:r>
          <w:rPr>
            <w:rStyle w:val="a3"/>
            <w:rFonts w:eastAsia="Times New Roman"/>
            <w:b/>
            <w:bCs/>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98"/>
        <w:gridCol w:w="36"/>
        <w:gridCol w:w="69"/>
        <w:gridCol w:w="5197"/>
        <w:gridCol w:w="37"/>
      </w:tblGrid>
      <w:tr w:rsidR="00000000">
        <w:trPr>
          <w:divId w:val="1046757727"/>
          <w:jc w:val="center"/>
        </w:trPr>
        <w:tc>
          <w:tcPr>
            <w:tcW w:w="50" w:type="pct"/>
            <w:vAlign w:val="center"/>
            <w:hideMark/>
          </w:tcPr>
          <w:p w:rsidR="00000000" w:rsidRDefault="005B0BC3">
            <w:pPr>
              <w:rPr>
                <w:rFonts w:eastAsia="Times New Roman"/>
              </w:rPr>
            </w:pPr>
          </w:p>
        </w:tc>
        <w:tc>
          <w:tcPr>
            <w:tcW w:w="175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13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046757727"/>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Assets under management (“AUM”)</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Investment assets that are managed by one of our subsidiaries and includes: (i) assets managed by AB, (ii) the assets in our GAIA portfolio and (iii) the Separate Account assets of our retirement and protection businesses. Total AUM reflects exclusions bet</w:t>
            </w:r>
            <w:r>
              <w:rPr>
                <w:rFonts w:eastAsia="Times New Roman"/>
                <w:color w:val="000000"/>
                <w:sz w:val="20"/>
                <w:szCs w:val="20"/>
              </w:rPr>
              <w:t>ween segments to avoid double counting.</w:t>
            </w:r>
          </w:p>
        </w:tc>
      </w:tr>
      <w:tr w:rsidR="00000000">
        <w:trPr>
          <w:divId w:val="1046757727"/>
          <w:trHeight w:val="12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046757727"/>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Combined RBC Ratio</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Calculated as the overall aggregate RBC ratio for the Company’</w:t>
            </w:r>
            <w:r>
              <w:rPr>
                <w:rFonts w:eastAsia="Times New Roman"/>
                <w:color w:val="000000"/>
                <w:sz w:val="20"/>
                <w:szCs w:val="20"/>
              </w:rPr>
              <w:t>s insurance subsidiaries including capital held for its life insurance and variable annuity liabilities and non-variable annuity insurance liabilities.</w:t>
            </w:r>
          </w:p>
        </w:tc>
      </w:tr>
      <w:tr w:rsidR="00000000">
        <w:trPr>
          <w:divId w:val="1046757727"/>
          <w:trHeight w:val="12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046757727"/>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Conditional tail expectation (“CTE”)</w:t>
            </w:r>
          </w:p>
        </w:tc>
        <w:tc>
          <w:tcPr>
            <w:tcW w:w="0" w:type="auto"/>
            <w:gridSpan w:val="3"/>
            <w:tcMar>
              <w:top w:w="30" w:type="dxa"/>
              <w:left w:w="20" w:type="dxa"/>
              <w:bottom w:w="30" w:type="dxa"/>
              <w:right w:w="20" w:type="dxa"/>
            </w:tcMar>
            <w:hideMark/>
          </w:tcPr>
          <w:p w:rsidR="00000000" w:rsidRDefault="005B0BC3">
            <w:pPr>
              <w:spacing w:after="100"/>
              <w:divId w:val="1479225786"/>
              <w:rPr>
                <w:rFonts w:eastAsia="Times New Roman"/>
              </w:rPr>
            </w:pPr>
            <w:r>
              <w:rPr>
                <w:rFonts w:eastAsia="Times New Roman"/>
                <w:color w:val="000000"/>
                <w:sz w:val="20"/>
                <w:szCs w:val="20"/>
              </w:rPr>
              <w:t xml:space="preserve">Calculated as the average amount of total assets required to satisfy obligations over the life of the contract or policy in the worst x% of scenarios. Represented as CTE (100 </w:t>
            </w:r>
            <w:r>
              <w:rPr>
                <w:rFonts w:eastAsia="Times New Roman"/>
                <w:i/>
                <w:iCs/>
                <w:color w:val="000000"/>
                <w:sz w:val="20"/>
                <w:szCs w:val="20"/>
              </w:rPr>
              <w:t>less</w:t>
            </w:r>
            <w:r>
              <w:rPr>
                <w:rFonts w:eastAsia="Times New Roman"/>
                <w:color w:val="000000"/>
                <w:sz w:val="20"/>
                <w:szCs w:val="20"/>
              </w:rPr>
              <w:t xml:space="preserve"> x). Example: CTE95 represents the worst five percent of scenarios.</w:t>
            </w:r>
          </w:p>
        </w:tc>
      </w:tr>
      <w:tr w:rsidR="00000000">
        <w:trPr>
          <w:divId w:val="1046757727"/>
          <w:trHeight w:val="12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046757727"/>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Deferred policy acquisition cost (“DAC”)</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Represents the incremental costs related directly to the successful acquisition of new and certain renewal insurance policies and annuity contracts and which have been deferred on the balance sheet as an asset.</w:t>
            </w:r>
          </w:p>
        </w:tc>
      </w:tr>
      <w:tr w:rsidR="00000000">
        <w:trPr>
          <w:divId w:val="1046757727"/>
          <w:trHeight w:val="12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046757727"/>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Deferred sales inducements (“DSI”)</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Represent amounts that are credited to a policyholder’</w:t>
            </w:r>
            <w:r>
              <w:rPr>
                <w:rFonts w:eastAsia="Times New Roman"/>
                <w:color w:val="000000"/>
                <w:sz w:val="20"/>
                <w:szCs w:val="20"/>
              </w:rPr>
              <w:t>s account balance that are higher than the expected crediting rates on similar contracts without such an inducement and that are an incentive to purchase a contract and also meet the accounting criteria to be deferred as an asset that is amortized over the</w:t>
            </w:r>
            <w:r>
              <w:rPr>
                <w:rFonts w:eastAsia="Times New Roman"/>
                <w:color w:val="000000"/>
                <w:sz w:val="20"/>
                <w:szCs w:val="20"/>
              </w:rPr>
              <w:t xml:space="preserve"> life of the contract.</w:t>
            </w:r>
          </w:p>
        </w:tc>
      </w:tr>
      <w:tr w:rsidR="00000000">
        <w:trPr>
          <w:divId w:val="1046757727"/>
          <w:trHeight w:val="12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046757727"/>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Dividends Received Deduction (“DRD”)</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 tax deduction under U.S. federal income tax law received by a corporation on the dividends it receives from other corporations in which it has an ownership stake.</w:t>
            </w:r>
          </w:p>
        </w:tc>
      </w:tr>
      <w:tr w:rsidR="00000000">
        <w:trPr>
          <w:divId w:val="1046757727"/>
          <w:trHeight w:val="12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046757727"/>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Fee-Type Revenue</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Revenue from fees and related items, including policy charges and fee income, premiums, investment management and service fees, and other income.</w:t>
            </w:r>
          </w:p>
        </w:tc>
      </w:tr>
      <w:tr w:rsidR="00000000">
        <w:trPr>
          <w:divId w:val="1046757727"/>
          <w:trHeight w:val="12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046757727"/>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Gross Premiums</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FYP and Renewal premium and deposits.</w:t>
            </w: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2912"/>
        <w:gridCol w:w="144"/>
        <w:gridCol w:w="144"/>
        <w:gridCol w:w="5209"/>
        <w:gridCol w:w="144"/>
      </w:tblGrid>
      <w:tr w:rsidR="00000000">
        <w:trPr>
          <w:jc w:val="center"/>
        </w:trPr>
        <w:tc>
          <w:tcPr>
            <w:tcW w:w="50" w:type="pct"/>
            <w:vAlign w:val="center"/>
            <w:hideMark/>
          </w:tcPr>
          <w:p w:rsidR="00000000" w:rsidRDefault="005B0BC3">
            <w:pPr>
              <w:jc w:val="center"/>
              <w:rPr>
                <w:rFonts w:eastAsia="Times New Roman"/>
              </w:rPr>
            </w:pPr>
          </w:p>
        </w:tc>
        <w:tc>
          <w:tcPr>
            <w:tcW w:w="175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13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Invested assets</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Includes fixed maturity securities, equity securities, mortgage loans, policy loans, alternative investments and short-term investments.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P&amp;C</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Property and casualty.</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Premium and deposits</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Amounts a policyholder agrees to pay for an insurance policy or annuity contract that may be paid in one or a series of payments as defined by the terms of the policy or contract.</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Protection Solutions Reserves</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Equals the aggregate value of Policyholders’ account balances and Future policy benefits for policies in our Protection Solutions segment.</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Reinsurance</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Insurance policies purchased by insurers to limit the total loss they would experience from a</w:t>
            </w:r>
            <w:r>
              <w:rPr>
                <w:rFonts w:eastAsia="Times New Roman"/>
                <w:color w:val="000000"/>
                <w:sz w:val="20"/>
                <w:szCs w:val="20"/>
              </w:rPr>
              <w:t>n insurance claim.</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Renewal premium and deposits</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Premiums and deposits after the first twelve months of the policy or contract.</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Risk-based capital (“RBC”)</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Rules to determine insurance company statutory capital requirements. It is based on rules published by the National Association of Insurance Commissioners (“NAIC”).</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Total adjusted capital (“TAC”)</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Primarily consists of capital and surplus, and the asset valuation reserve.</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Value of business acquired (“VOBA”)</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Present value of estimated future gross profits from in-force policies of acquired businesses.</w:t>
            </w: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b/>
                <w:bCs/>
                <w:color w:val="000000"/>
                <w:sz w:val="20"/>
                <w:szCs w:val="20"/>
              </w:rPr>
              <w:t>Product Terms</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 </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401(k)</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 tax-deferred retirement savings plan sponsored by an employer. 401(k) refers to the section of the Internal Revenue Cod</w:t>
            </w:r>
            <w:r>
              <w:rPr>
                <w:rFonts w:eastAsia="Times New Roman"/>
                <w:color w:val="000000"/>
                <w:sz w:val="20"/>
                <w:szCs w:val="20"/>
              </w:rPr>
              <w:t>e of 1986, as amended (the “Code”) pursuant to which these plans are established.</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403(b)</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 tax-deferred retirement savings plan available to certain employees of public schools and certain tax-exempt organizations. 403(b) refers to the section of the Code pursuant to which these plans are established.</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457(b)</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 deferred compensation plan that is available to governmental and certain non-governmental employers. 457(b) refers to the section of the Code pursuant to which these plans are established.</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bl>
    <w:p w:rsidR="00000000" w:rsidRDefault="005B0BC3">
      <w:pPr>
        <w:jc w:val="center"/>
        <w:divId w:val="116948897"/>
        <w:rPr>
          <w:rFonts w:eastAsia="Times New Roman"/>
        </w:rPr>
      </w:pPr>
      <w:r>
        <w:rPr>
          <w:rFonts w:eastAsia="Times New Roman"/>
          <w:color w:val="000000"/>
          <w:sz w:val="20"/>
          <w:szCs w:val="20"/>
        </w:rPr>
        <w:t>243</w:t>
      </w:r>
    </w:p>
    <w:p w:rsidR="00000000" w:rsidRDefault="005B0BC3">
      <w:pPr>
        <w:rPr>
          <w:rFonts w:eastAsia="Times New Roman"/>
        </w:rPr>
      </w:pPr>
      <w:r>
        <w:rPr>
          <w:rFonts w:eastAsia="Times New Roman"/>
        </w:rPr>
        <w:pict>
          <v:rect id="_x0000_i1281" style="width:0;height:1.5pt" o:hralign="center" o:hrstd="t" o:hr="t" fillcolor="#a0a0a0" stroked="f"/>
        </w:pict>
      </w:r>
    </w:p>
    <w:p w:rsidR="00000000" w:rsidRDefault="005B0BC3">
      <w:pPr>
        <w:divId w:val="710223907"/>
        <w:rPr>
          <w:rFonts w:eastAsia="Times New Roman"/>
        </w:rPr>
      </w:pPr>
      <w:hyperlink w:anchor="i2ac35847634046b3a89f93d9b422e8f5_421" w:history="1">
        <w:r>
          <w:rPr>
            <w:rStyle w:val="a3"/>
            <w:rFonts w:eastAsia="Times New Roman"/>
            <w:b/>
            <w:bCs/>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98"/>
        <w:gridCol w:w="36"/>
        <w:gridCol w:w="69"/>
        <w:gridCol w:w="5198"/>
        <w:gridCol w:w="36"/>
      </w:tblGrid>
      <w:tr w:rsidR="00000000">
        <w:trPr>
          <w:jc w:val="center"/>
        </w:trPr>
        <w:tc>
          <w:tcPr>
            <w:tcW w:w="50" w:type="pct"/>
            <w:vAlign w:val="center"/>
            <w:hideMark/>
          </w:tcPr>
          <w:p w:rsidR="00000000" w:rsidRDefault="005B0BC3">
            <w:pPr>
              <w:rPr>
                <w:rFonts w:eastAsia="Times New Roman"/>
              </w:rPr>
            </w:pPr>
          </w:p>
        </w:tc>
        <w:tc>
          <w:tcPr>
            <w:tcW w:w="175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13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Accumulation phase</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The phase of a variable annuity c</w:t>
            </w:r>
            <w:r>
              <w:rPr>
                <w:rFonts w:eastAsia="Times New Roman"/>
                <w:color w:val="000000"/>
                <w:sz w:val="20"/>
                <w:szCs w:val="20"/>
              </w:rPr>
              <w:t>ontract during which assets accumulate based on the policyholder’s lump sum or periodic deposits and reinvested interest, capital gains and dividends that are generally tax-deferred.</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Affluent</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Refers to individuals with $250,000 to $999,999 of investable assets.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Annuitant</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 xml:space="preserve">The person who receives annuity payments or the person whose life expectancy determines the amount of variable annuity payments upon annuitization of an annuity to </w:t>
            </w:r>
            <w:r>
              <w:rPr>
                <w:rFonts w:eastAsia="Times New Roman"/>
                <w:color w:val="000000"/>
                <w:sz w:val="20"/>
                <w:szCs w:val="20"/>
              </w:rPr>
              <w:t>be paid for life.</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Annuitization</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The process of converting an annuity investment into a series of periodic income payments, generally for life.</w:t>
            </w:r>
          </w:p>
        </w:tc>
      </w:tr>
    </w:tbl>
    <w:p w:rsidR="00000000" w:rsidRDefault="005B0BC3">
      <w:pPr>
        <w:jc w:val="center"/>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2897"/>
        <w:gridCol w:w="38"/>
        <w:gridCol w:w="68"/>
        <w:gridCol w:w="5196"/>
        <w:gridCol w:w="39"/>
      </w:tblGrid>
      <w:tr w:rsidR="00000000">
        <w:trPr>
          <w:jc w:val="center"/>
        </w:trPr>
        <w:tc>
          <w:tcPr>
            <w:tcW w:w="50" w:type="pct"/>
            <w:vAlign w:val="center"/>
            <w:hideMark/>
          </w:tcPr>
          <w:p w:rsidR="00000000" w:rsidRDefault="005B0BC3">
            <w:pPr>
              <w:jc w:val="center"/>
              <w:rPr>
                <w:rFonts w:eastAsia="Times New Roman"/>
              </w:rPr>
            </w:pPr>
          </w:p>
        </w:tc>
        <w:tc>
          <w:tcPr>
            <w:tcW w:w="175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13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Benefit base</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 notional amount (not actual cash value) used to calculate the owner’s guaranteed benefits within an annuity contract. The death benefit and living benefit within the same contract may not have the same benefit base.</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Cash surrender value</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The a</w:t>
            </w:r>
            <w:r>
              <w:rPr>
                <w:rFonts w:eastAsia="Times New Roman"/>
                <w:color w:val="000000"/>
                <w:sz w:val="20"/>
                <w:szCs w:val="20"/>
              </w:rPr>
              <w:t>mount an insurance company pays (minus any surrender charge) to the policyholder when the contract or policy is voluntarily terminated prematurely.</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Deferred annuity</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An annuity purchased with premiums paid either over a period of years or as a lump sum, for which savings accumulate prior to annuitization or surrender, and upon annuitization, such savings are exchanged for either a future lump sum or periodic payments f</w:t>
            </w:r>
            <w:r>
              <w:rPr>
                <w:rFonts w:eastAsia="Times New Roman"/>
                <w:color w:val="000000"/>
                <w:sz w:val="20"/>
                <w:szCs w:val="20"/>
              </w:rPr>
              <w:t>or a specified length of time or for a lifetime.</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Dollar-for-dollar withdrawal</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 method of calculating the reduction of a variable annuity benefit base after a withdrawal in which the benefit is reduced by one dollar for every dollar withdrawn.</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Fixed annuity</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An annuity that guarantees a set annual rate of return with inte</w:t>
            </w:r>
            <w:r>
              <w:rPr>
                <w:rFonts w:eastAsia="Times New Roman"/>
                <w:color w:val="000000"/>
                <w:sz w:val="20"/>
                <w:szCs w:val="20"/>
              </w:rPr>
              <w:t>rest at rates we determine, subject to specified minimums. Credited interest rates are guaranteed not to change for certain limited periods of time.</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Fixed Rate GMxB</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Guarantees on our individual variable annuity products that are based on a rate that is fixed at issue.</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Floating Rate GMxB</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 xml:space="preserve">Guarantees on our individual variable annuity products that are based on a rate that varies with a specified index rate, </w:t>
            </w:r>
            <w:r>
              <w:rPr>
                <w:rFonts w:eastAsia="Times New Roman"/>
                <w:color w:val="000000"/>
                <w:sz w:val="20"/>
                <w:szCs w:val="20"/>
              </w:rPr>
              <w:t>subject to a cap and floor.</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Future policy benefits</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 xml:space="preserve">Future policy benefits for the annuities business </w:t>
            </w:r>
            <w:r>
              <w:rPr>
                <w:rFonts w:eastAsia="Times New Roman"/>
                <w:color w:val="000000"/>
                <w:sz w:val="20"/>
                <w:szCs w:val="20"/>
              </w:rPr>
              <w:t>are comprised mainly of liabilities for life-contingent income annuities, and liabilities for the variable annuity guaranteed minimum benefits accounted for as insurance.</w:t>
            </w:r>
            <w:r>
              <w:rPr>
                <w:rFonts w:eastAsia="Times New Roman"/>
                <w:color w:val="000000"/>
                <w:sz w:val="20"/>
                <w:szCs w:val="20"/>
              </w:rPr>
              <w:br/>
            </w:r>
            <w:r>
              <w:rPr>
                <w:rFonts w:eastAsia="Times New Roman"/>
                <w:sz w:val="20"/>
                <w:szCs w:val="20"/>
              </w:rPr>
              <w:br/>
            </w:r>
            <w:r>
              <w:rPr>
                <w:rFonts w:eastAsia="Times New Roman"/>
                <w:color w:val="000000"/>
                <w:sz w:val="20"/>
                <w:szCs w:val="20"/>
              </w:rPr>
              <w:t>Future policy benefits for the life business are comprised mainly of liabilities for</w:t>
            </w:r>
            <w:r>
              <w:rPr>
                <w:rFonts w:eastAsia="Times New Roman"/>
                <w:color w:val="000000"/>
                <w:sz w:val="20"/>
                <w:szCs w:val="20"/>
              </w:rPr>
              <w:t xml:space="preserve"> traditional life and certain liabilities for universal and variable life insurance contracts (other than the Policyholders’ account balance).</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General Account Investment Portfolio</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The invested assets held in the General Account.</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General Account</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The assets held in the general accounts of our insurance companies as well as assets held in our separate accounts on which we bear the investment risk.</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GMxB</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 general reference to all forms of variable annuity guaranteed bene</w:t>
            </w:r>
            <w:r>
              <w:rPr>
                <w:rFonts w:eastAsia="Times New Roman"/>
                <w:color w:val="000000"/>
                <w:sz w:val="20"/>
                <w:szCs w:val="20"/>
              </w:rPr>
              <w:t>fits, including guaranteed minimum living benefits, or GMLBs (such as GMIBs, GMWBs and GMABs), and guaranteed minimum death benefits, or GMDBs (inclusive of return of premium death benefit guarantees).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Guaranteed income benefit (“GIB”)</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An optional benefit which provides the policyholder with a guaranteed lifetime annuity based on predetermined annuity purchase rates applied to a GIB benefit base, with annuitization automatically triggered if and when t</w:t>
            </w:r>
            <w:r>
              <w:rPr>
                <w:rFonts w:eastAsia="Times New Roman"/>
                <w:color w:val="000000"/>
                <w:sz w:val="20"/>
                <w:szCs w:val="20"/>
              </w:rPr>
              <w:t>he contract AV falls to zero.</w:t>
            </w:r>
          </w:p>
        </w:tc>
      </w:tr>
    </w:tbl>
    <w:p w:rsidR="00000000" w:rsidRDefault="005B0BC3">
      <w:pPr>
        <w:jc w:val="center"/>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98"/>
        <w:gridCol w:w="36"/>
        <w:gridCol w:w="69"/>
        <w:gridCol w:w="5198"/>
        <w:gridCol w:w="36"/>
      </w:tblGrid>
      <w:tr w:rsidR="00000000">
        <w:trPr>
          <w:jc w:val="center"/>
        </w:trPr>
        <w:tc>
          <w:tcPr>
            <w:tcW w:w="50" w:type="pct"/>
            <w:vAlign w:val="center"/>
            <w:hideMark/>
          </w:tcPr>
          <w:p w:rsidR="00000000" w:rsidRDefault="005B0BC3">
            <w:pPr>
              <w:jc w:val="center"/>
              <w:rPr>
                <w:rFonts w:eastAsia="Times New Roman"/>
              </w:rPr>
            </w:pPr>
          </w:p>
        </w:tc>
        <w:tc>
          <w:tcPr>
            <w:tcW w:w="175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13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Guaranteed minimum accumulation benefits (“GMAB”)</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 xml:space="preserve">An optional benefit (available for an additional cost) which entitles an annuitant to a minimum payment, typically in lump-sum, after a set period of time, typically referred to as the accumulation period. The minimum payment is based on the benefit base, </w:t>
            </w:r>
            <w:r>
              <w:rPr>
                <w:rFonts w:eastAsia="Times New Roman"/>
                <w:color w:val="000000"/>
                <w:sz w:val="20"/>
                <w:szCs w:val="20"/>
              </w:rPr>
              <w:t>which could be greater than the underlying AV.</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bl>
    <w:p w:rsidR="00000000" w:rsidRDefault="005B0BC3">
      <w:pPr>
        <w:jc w:val="center"/>
        <w:divId w:val="289435064"/>
        <w:rPr>
          <w:rFonts w:eastAsia="Times New Roman"/>
        </w:rPr>
      </w:pPr>
      <w:r>
        <w:rPr>
          <w:rFonts w:eastAsia="Times New Roman"/>
          <w:color w:val="000000"/>
          <w:sz w:val="20"/>
          <w:szCs w:val="20"/>
        </w:rPr>
        <w:t>244</w:t>
      </w:r>
    </w:p>
    <w:p w:rsidR="00000000" w:rsidRDefault="005B0BC3">
      <w:pPr>
        <w:rPr>
          <w:rFonts w:eastAsia="Times New Roman"/>
        </w:rPr>
      </w:pPr>
      <w:r>
        <w:rPr>
          <w:rFonts w:eastAsia="Times New Roman"/>
        </w:rPr>
        <w:pict>
          <v:rect id="_x0000_i1282" style="width:0;height:1.5pt" o:hralign="center" o:hrstd="t" o:hr="t" fillcolor="#a0a0a0" stroked="f"/>
        </w:pict>
      </w:r>
    </w:p>
    <w:p w:rsidR="00000000" w:rsidRDefault="005B0BC3">
      <w:pPr>
        <w:divId w:val="1582442751"/>
        <w:rPr>
          <w:rFonts w:eastAsia="Times New Roman"/>
        </w:rPr>
      </w:pPr>
      <w:hyperlink w:anchor="i2ac35847634046b3a89f93d9b422e8f5_421" w:history="1">
        <w:r>
          <w:rPr>
            <w:rStyle w:val="a3"/>
            <w:rFonts w:eastAsia="Times New Roman"/>
            <w:b/>
            <w:bCs/>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98"/>
        <w:gridCol w:w="36"/>
        <w:gridCol w:w="69"/>
        <w:gridCol w:w="5197"/>
        <w:gridCol w:w="37"/>
      </w:tblGrid>
      <w:tr w:rsidR="00000000">
        <w:trPr>
          <w:jc w:val="center"/>
        </w:trPr>
        <w:tc>
          <w:tcPr>
            <w:tcW w:w="50" w:type="pct"/>
            <w:vAlign w:val="center"/>
            <w:hideMark/>
          </w:tcPr>
          <w:p w:rsidR="00000000" w:rsidRDefault="005B0BC3">
            <w:pPr>
              <w:rPr>
                <w:rFonts w:eastAsia="Times New Roman"/>
              </w:rPr>
            </w:pPr>
          </w:p>
        </w:tc>
        <w:tc>
          <w:tcPr>
            <w:tcW w:w="175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13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 xml:space="preserve">Guaranteed minimum death </w:t>
            </w:r>
            <w:r>
              <w:rPr>
                <w:rFonts w:eastAsia="Times New Roman"/>
                <w:color w:val="000000"/>
                <w:sz w:val="20"/>
                <w:szCs w:val="20"/>
              </w:rPr>
              <w:br/>
              <w:t>benefits (“GMDB”)</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An optional benefit (available for an additional cost) that guarantees an annuitant’s beneficiaries are entitled to a minimum payment based on the benefit base, which could be greater than the underlying AV, upon the death of the annuitant.</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Guara</w:t>
            </w:r>
            <w:r>
              <w:rPr>
                <w:rFonts w:eastAsia="Times New Roman"/>
                <w:color w:val="000000"/>
                <w:sz w:val="20"/>
                <w:szCs w:val="20"/>
              </w:rPr>
              <w:t>nteed minimum income benefits (“GMIB”)</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An optional benefit (available for an additional cost) where an annuitant is entitled to annuitize the policy and receive a minimum payment stream based on the benefit base, which could be greater than the underlyin</w:t>
            </w:r>
            <w:r>
              <w:rPr>
                <w:rFonts w:eastAsia="Times New Roman"/>
                <w:color w:val="000000"/>
                <w:sz w:val="20"/>
                <w:szCs w:val="20"/>
              </w:rPr>
              <w:t>g AV.</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 xml:space="preserve">Guaranteed minimum living </w:t>
            </w:r>
            <w:r>
              <w:rPr>
                <w:rFonts w:eastAsia="Times New Roman"/>
                <w:color w:val="000000"/>
                <w:sz w:val="20"/>
                <w:szCs w:val="20"/>
              </w:rPr>
              <w:br/>
              <w:t>benefits (“GMLB”)</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 reference to all forms of guaranteed minimum living benefits, including GMIBs, GMWBs and GMABs (does not include GMDBs).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Guaranteed minimum withdrawal benefits (“GMWB”)</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An optional benefit (available for an additional cost) where an annuitant is entitled to withdraw a maximum amount of their benefit base each year, for which cumulative payments to the annuitant could be greater than the underlying AV.</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Guaranteed</w:t>
            </w:r>
            <w:r>
              <w:rPr>
                <w:rFonts w:eastAsia="Times New Roman"/>
                <w:color w:val="000000"/>
                <w:sz w:val="20"/>
                <w:szCs w:val="20"/>
              </w:rPr>
              <w:t xml:space="preserve"> Universal Life (“GUL”)</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 universal life insurance offering with a lifetime no lapse guarantee rider, otherwise known as a guaranteed UL policy. With a GUL policy, the premiums are guaranteed to last the life of the policy.</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Guaranteed withdrawal benefit for life (“GWBL”)</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An optional benefit (available for an additional cost) where an annuitant is entitled to withdraw a maximum amount of their benefit base each year, for the duration of the policyholder’s life, regardless of</w:t>
            </w:r>
            <w:r>
              <w:rPr>
                <w:rFonts w:eastAsia="Times New Roman"/>
                <w:color w:val="000000"/>
                <w:sz w:val="20"/>
                <w:szCs w:val="20"/>
              </w:rPr>
              <w:t xml:space="preserve"> account performance.</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High net worth</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Refers to individuals with $1,000,000 or more of investable assets.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Index-linked annuities</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An annuity that provides for asset accumulation and asset distribution needs with an ability to share in the upside from certain financial markets such as equity indices, or an interest rate benchmark. With an index-linked annuity, the policyholder’s AV ca</w:t>
            </w:r>
            <w:r>
              <w:rPr>
                <w:rFonts w:eastAsia="Times New Roman"/>
                <w:color w:val="000000"/>
                <w:sz w:val="20"/>
                <w:szCs w:val="20"/>
              </w:rPr>
              <w:t>n grow or decline due to various external financial market indices performance.</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Indexed Universal Life (“IUL”)</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 xml:space="preserve">A permanent life insurance offering built on a universal life insurance framework that uses an equity-linked approach for generating </w:t>
            </w:r>
            <w:r>
              <w:rPr>
                <w:rFonts w:eastAsia="Times New Roman"/>
                <w:color w:val="000000"/>
                <w:sz w:val="20"/>
                <w:szCs w:val="20"/>
              </w:rPr>
              <w:t>policy investment returns.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Living benefits</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Optional benefits (available at an additional cost) that guarantee that the policyholder will get back at least his original investment when the money is withdrawn.</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Mortality and expense risk fee (“M&amp;E fee”)</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 fee charged by insurance companies</w:t>
            </w:r>
            <w:r>
              <w:rPr>
                <w:rFonts w:eastAsia="Times New Roman"/>
                <w:color w:val="000000"/>
                <w:sz w:val="20"/>
                <w:szCs w:val="20"/>
              </w:rPr>
              <w:t xml:space="preserve"> to compensate for the risk they take by issuing life insurance and variable annuity contracts.</w:t>
            </w:r>
          </w:p>
        </w:tc>
      </w:tr>
    </w:tbl>
    <w:p w:rsidR="00000000" w:rsidRDefault="005B0BC3">
      <w:pPr>
        <w:jc w:val="center"/>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98"/>
        <w:gridCol w:w="36"/>
        <w:gridCol w:w="69"/>
        <w:gridCol w:w="5197"/>
        <w:gridCol w:w="37"/>
      </w:tblGrid>
      <w:tr w:rsidR="00000000">
        <w:trPr>
          <w:jc w:val="center"/>
        </w:trPr>
        <w:tc>
          <w:tcPr>
            <w:tcW w:w="50" w:type="pct"/>
            <w:vAlign w:val="center"/>
            <w:hideMark/>
          </w:tcPr>
          <w:p w:rsidR="00000000" w:rsidRDefault="005B0BC3">
            <w:pPr>
              <w:jc w:val="center"/>
              <w:rPr>
                <w:rFonts w:eastAsia="Times New Roman"/>
              </w:rPr>
            </w:pPr>
          </w:p>
        </w:tc>
        <w:tc>
          <w:tcPr>
            <w:tcW w:w="175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13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Net flows</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Net change in customer account balances in a period including, but not limited to, gross premiums, surrenders, withdrawals and benefits. It excludes investment performance, interest credited to customer accounts and policy charges.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Policyholder a</w:t>
            </w:r>
            <w:r>
              <w:rPr>
                <w:rFonts w:eastAsia="Times New Roman"/>
                <w:color w:val="000000"/>
                <w:sz w:val="20"/>
                <w:szCs w:val="20"/>
              </w:rPr>
              <w:t>ccount balances</w:t>
            </w:r>
          </w:p>
        </w:tc>
        <w:tc>
          <w:tcPr>
            <w:tcW w:w="0" w:type="auto"/>
            <w:gridSpan w:val="3"/>
            <w:tcMar>
              <w:top w:w="30" w:type="dxa"/>
              <w:left w:w="20" w:type="dxa"/>
              <w:bottom w:w="30" w:type="dxa"/>
              <w:right w:w="20" w:type="dxa"/>
            </w:tcMar>
            <w:hideMark/>
          </w:tcPr>
          <w:p w:rsidR="00000000" w:rsidRDefault="005B0BC3">
            <w:pPr>
              <w:spacing w:after="100"/>
              <w:divId w:val="504589636"/>
              <w:rPr>
                <w:rFonts w:eastAsia="Times New Roman"/>
              </w:rPr>
            </w:pPr>
            <w:r>
              <w:rPr>
                <w:rFonts w:eastAsia="Times New Roman"/>
                <w:i/>
                <w:iCs/>
                <w:color w:val="000000"/>
                <w:sz w:val="20"/>
                <w:szCs w:val="20"/>
              </w:rPr>
              <w:t>Annuities</w:t>
            </w:r>
            <w:r>
              <w:rPr>
                <w:rFonts w:eastAsia="Times New Roman"/>
                <w:color w:val="000000"/>
                <w:sz w:val="20"/>
                <w:szCs w:val="20"/>
              </w:rPr>
              <w:t>. Policyholder account balances are held for fixed deferred annuities, the fixed account portion of variable annuities and non-life contingent income annuities. Interest is credited to the policyholder’s account at interest rates we determine which are inf</w:t>
            </w:r>
            <w:r>
              <w:rPr>
                <w:rFonts w:eastAsia="Times New Roman"/>
                <w:color w:val="000000"/>
                <w:sz w:val="20"/>
                <w:szCs w:val="20"/>
              </w:rPr>
              <w:t>luenced by current market rates, subject to specified minimums.</w:t>
            </w:r>
          </w:p>
          <w:p w:rsidR="00000000" w:rsidRDefault="005B0BC3">
            <w:pPr>
              <w:spacing w:after="100"/>
              <w:divId w:val="74592899"/>
              <w:rPr>
                <w:rFonts w:eastAsia="Times New Roman"/>
              </w:rPr>
            </w:pPr>
            <w:r>
              <w:rPr>
                <w:rFonts w:eastAsia="Times New Roman"/>
                <w:color w:val="000000"/>
                <w:sz w:val="12"/>
                <w:szCs w:val="12"/>
              </w:rPr>
              <w:t> </w:t>
            </w:r>
          </w:p>
          <w:p w:rsidR="00000000" w:rsidRDefault="005B0BC3">
            <w:pPr>
              <w:spacing w:after="100"/>
              <w:divId w:val="1790472967"/>
              <w:rPr>
                <w:rFonts w:eastAsia="Times New Roman"/>
              </w:rPr>
            </w:pPr>
            <w:r>
              <w:rPr>
                <w:rFonts w:eastAsia="Times New Roman"/>
                <w:i/>
                <w:iCs/>
                <w:color w:val="000000"/>
                <w:sz w:val="20"/>
                <w:szCs w:val="20"/>
              </w:rPr>
              <w:t>Life Insurance Policies</w:t>
            </w:r>
            <w:r>
              <w:rPr>
                <w:rFonts w:eastAsia="Times New Roman"/>
                <w:color w:val="000000"/>
                <w:sz w:val="20"/>
                <w:szCs w:val="20"/>
              </w:rPr>
              <w:t>. Policyholder account balances are held for retained asset accounts, universal life policies and the fixed account of universal variable life insurance policies. Inte</w:t>
            </w:r>
            <w:r>
              <w:rPr>
                <w:rFonts w:eastAsia="Times New Roman"/>
                <w:color w:val="000000"/>
                <w:sz w:val="20"/>
                <w:szCs w:val="20"/>
              </w:rPr>
              <w:t>rest is credited to the policyholder’s account at interest rates we determine which are influenced by current market rates, subject to specified minimums.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Return of premium (“ROP”) death benefit</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This death benefit pays the greater of the accoun</w:t>
            </w:r>
            <w:r>
              <w:rPr>
                <w:rFonts w:eastAsia="Times New Roman"/>
                <w:color w:val="000000"/>
                <w:sz w:val="20"/>
                <w:szCs w:val="20"/>
              </w:rPr>
              <w:t>t value at the time of a claim following the owner’s death or the total contributions to the contract (subject to adjustment for withdrawals). The charge for this benefit is usually included in the M&amp;E fee that is deducted daily from the net assets in each</w:t>
            </w:r>
            <w:r>
              <w:rPr>
                <w:rFonts w:eastAsia="Times New Roman"/>
                <w:color w:val="000000"/>
                <w:sz w:val="20"/>
                <w:szCs w:val="20"/>
              </w:rPr>
              <w:t xml:space="preserve"> variable investment option. We also refer to this death benefit as the Return of Principal death benefit.</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Rider</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An optional feature or benefit that a policyholder can purchase at an additional cost.</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Roll-up rate</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The guaranteed percentage that the benefit base increases by each year.</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Separate Account</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Refers to the separate account investment assets of our insurance subsidiaries excluding the assets held in those separate accounts on which we bear the investment risk.</w:t>
            </w:r>
          </w:p>
        </w:tc>
      </w:tr>
    </w:tbl>
    <w:p w:rsidR="00000000" w:rsidRDefault="005B0BC3">
      <w:pPr>
        <w:jc w:val="center"/>
        <w:divId w:val="1454131074"/>
        <w:rPr>
          <w:rFonts w:eastAsia="Times New Roman"/>
        </w:rPr>
      </w:pPr>
      <w:r>
        <w:rPr>
          <w:rFonts w:eastAsia="Times New Roman"/>
          <w:color w:val="000000"/>
          <w:sz w:val="20"/>
          <w:szCs w:val="20"/>
        </w:rPr>
        <w:t>245</w:t>
      </w:r>
    </w:p>
    <w:p w:rsidR="00000000" w:rsidRDefault="005B0BC3">
      <w:pPr>
        <w:rPr>
          <w:rFonts w:eastAsia="Times New Roman"/>
        </w:rPr>
      </w:pPr>
      <w:r>
        <w:rPr>
          <w:rFonts w:eastAsia="Times New Roman"/>
        </w:rPr>
        <w:pict>
          <v:rect id="_x0000_i1283" style="width:0;height:1.5pt" o:hralign="center" o:hrstd="t" o:hr="t" fillcolor="#a0a0a0" stroked="f"/>
        </w:pict>
      </w:r>
    </w:p>
    <w:p w:rsidR="00000000" w:rsidRDefault="005B0BC3">
      <w:pPr>
        <w:divId w:val="170797293"/>
        <w:rPr>
          <w:rFonts w:eastAsia="Times New Roman"/>
        </w:rPr>
      </w:pPr>
      <w:hyperlink w:anchor="i2ac35847634046b3a89f93d9b422e8f5_421" w:history="1">
        <w:r>
          <w:rPr>
            <w:rStyle w:val="a3"/>
            <w:rFonts w:eastAsia="Times New Roman"/>
            <w:b/>
            <w:bCs/>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98"/>
        <w:gridCol w:w="36"/>
        <w:gridCol w:w="69"/>
        <w:gridCol w:w="5198"/>
        <w:gridCol w:w="36"/>
      </w:tblGrid>
      <w:tr w:rsidR="00000000">
        <w:trPr>
          <w:jc w:val="center"/>
        </w:trPr>
        <w:tc>
          <w:tcPr>
            <w:tcW w:w="50" w:type="pct"/>
            <w:vAlign w:val="center"/>
            <w:hideMark/>
          </w:tcPr>
          <w:p w:rsidR="00000000" w:rsidRDefault="005B0BC3">
            <w:pPr>
              <w:rPr>
                <w:rFonts w:eastAsia="Times New Roman"/>
              </w:rPr>
            </w:pPr>
          </w:p>
        </w:tc>
        <w:tc>
          <w:tcPr>
            <w:tcW w:w="175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13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Surrender charge</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 fee paid by a contract owner for the early withdrawal of an amount that exceeds a specific percentage or for cancellation of the contract within a specified amount of time after purchase.</w:t>
            </w:r>
          </w:p>
        </w:tc>
      </w:tr>
    </w:tbl>
    <w:p w:rsidR="00000000" w:rsidRDefault="005B0BC3">
      <w:pPr>
        <w:jc w:val="center"/>
        <w:rPr>
          <w:rFonts w:eastAsia="Times New Roman"/>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898"/>
        <w:gridCol w:w="36"/>
        <w:gridCol w:w="69"/>
        <w:gridCol w:w="5197"/>
        <w:gridCol w:w="37"/>
      </w:tblGrid>
      <w:tr w:rsidR="00000000">
        <w:trPr>
          <w:jc w:val="center"/>
        </w:trPr>
        <w:tc>
          <w:tcPr>
            <w:tcW w:w="50" w:type="pct"/>
            <w:vAlign w:val="center"/>
            <w:hideMark/>
          </w:tcPr>
          <w:p w:rsidR="00000000" w:rsidRDefault="005B0BC3">
            <w:pPr>
              <w:jc w:val="center"/>
              <w:rPr>
                <w:rFonts w:eastAsia="Times New Roman"/>
              </w:rPr>
            </w:pPr>
          </w:p>
        </w:tc>
        <w:tc>
          <w:tcPr>
            <w:tcW w:w="1753"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313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Surrender rate</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Represents annualized surrenders and withdrawals as a percentage of average AV.</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Universal life (“UL”) products</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Life insurance products that provide a death benefit in return for payment of specified annual policy charges that are generally rela</w:t>
            </w:r>
            <w:r>
              <w:rPr>
                <w:rFonts w:eastAsia="Times New Roman"/>
                <w:color w:val="000000"/>
                <w:sz w:val="20"/>
                <w:szCs w:val="20"/>
              </w:rPr>
              <w:t>ted to specific costs, which may change over time. To the extent that the policyholder chooses to pay more than the charges required in any given year to keep the policy in-force, the excess premium will be placed into the AV of the policy and credited wit</w:t>
            </w:r>
            <w:r>
              <w:rPr>
                <w:rFonts w:eastAsia="Times New Roman"/>
                <w:color w:val="000000"/>
                <w:sz w:val="20"/>
                <w:szCs w:val="20"/>
              </w:rPr>
              <w:t>h a stated interest rate on a monthly basis.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Variable annuity</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 type of annuity that offers guaranteed periodic payments for a defined period of time or for life and gives purchasers the ability to invest in various markets though the underlying investment options, which may result in potentially higher, but variable</w:t>
            </w:r>
            <w:r>
              <w:rPr>
                <w:rFonts w:eastAsia="Times New Roman"/>
                <w:color w:val="000000"/>
                <w:sz w:val="20"/>
                <w:szCs w:val="20"/>
              </w:rPr>
              <w:t>, returns.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Variable Universal Life (“VUL”)</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Universal life products where the excess amount paid over policy charges can be directed by the policyholder into a variety of Separate Account investment options. In the Separate Account investment op</w:t>
            </w:r>
            <w:r>
              <w:rPr>
                <w:rFonts w:eastAsia="Times New Roman"/>
                <w:color w:val="000000"/>
                <w:sz w:val="20"/>
                <w:szCs w:val="20"/>
              </w:rPr>
              <w:t>tions, the policyholder bears the entire risk and returns of the investment results.</w:t>
            </w:r>
          </w:p>
        </w:tc>
      </w:tr>
      <w:tr w:rsidR="00000000">
        <w:trPr>
          <w:trHeight w:val="120"/>
          <w:jc w:val="center"/>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Whole Life (“WL”)</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 life insurance policy that is guaranteed to remain in-force for the policyholder’s lifetime, provided the required premiums are paid.</w:t>
            </w:r>
          </w:p>
        </w:tc>
      </w:tr>
    </w:tbl>
    <w:p w:rsidR="00000000" w:rsidRDefault="005B0BC3">
      <w:pPr>
        <w:jc w:val="center"/>
        <w:rPr>
          <w:rFonts w:eastAsia="Times New Roman"/>
        </w:rPr>
      </w:pPr>
    </w:p>
    <w:p w:rsidR="00000000" w:rsidRDefault="005B0BC3">
      <w:pPr>
        <w:jc w:val="center"/>
        <w:divId w:val="205526286"/>
        <w:rPr>
          <w:rFonts w:eastAsia="Times New Roman"/>
        </w:rPr>
      </w:pPr>
      <w:r>
        <w:rPr>
          <w:rFonts w:eastAsia="Times New Roman"/>
          <w:b/>
          <w:bCs/>
          <w:color w:val="000000"/>
          <w:sz w:val="20"/>
          <w:szCs w:val="20"/>
        </w:rPr>
        <w:t>ACRONYMS</w:t>
      </w:r>
    </w:p>
    <w:p w:rsidR="00000000" w:rsidRDefault="005B0BC3">
      <w:pPr>
        <w:ind w:hanging="360"/>
        <w:jc w:val="both"/>
        <w:textAlignment w:val="top"/>
        <w:divId w:val="927154294"/>
        <w:rPr>
          <w:rFonts w:eastAsia="Times New Roman"/>
        </w:rPr>
      </w:pPr>
      <w:r>
        <w:rPr>
          <w:rFonts w:eastAsia="Times New Roman"/>
          <w:color w:val="000000"/>
          <w:sz w:val="20"/>
          <w:szCs w:val="20"/>
        </w:rPr>
        <w:t>•“AB” or “AllianceBernstein” means AB Holding and ABLP.</w:t>
      </w:r>
    </w:p>
    <w:p w:rsidR="00000000" w:rsidRDefault="005B0BC3">
      <w:pPr>
        <w:ind w:hanging="360"/>
        <w:jc w:val="both"/>
        <w:textAlignment w:val="top"/>
        <w:divId w:val="58404452"/>
        <w:rPr>
          <w:rFonts w:eastAsia="Times New Roman"/>
        </w:rPr>
      </w:pPr>
      <w:r>
        <w:rPr>
          <w:rFonts w:eastAsia="Times New Roman"/>
          <w:color w:val="000000"/>
          <w:sz w:val="20"/>
          <w:szCs w:val="20"/>
        </w:rPr>
        <w:t xml:space="preserve">•“AB Holding” </w:t>
      </w:r>
      <w:r>
        <w:rPr>
          <w:rFonts w:eastAsia="Times New Roman"/>
          <w:color w:val="000000"/>
          <w:sz w:val="20"/>
          <w:szCs w:val="20"/>
        </w:rPr>
        <w:t>means AllianceBernstein Holding L.P., a Delaware limited partnership.</w:t>
      </w:r>
    </w:p>
    <w:p w:rsidR="00000000" w:rsidRDefault="005B0BC3">
      <w:pPr>
        <w:ind w:hanging="360"/>
        <w:jc w:val="both"/>
        <w:textAlignment w:val="top"/>
        <w:divId w:val="936986140"/>
        <w:rPr>
          <w:rFonts w:eastAsia="Times New Roman"/>
        </w:rPr>
      </w:pPr>
      <w:r>
        <w:rPr>
          <w:rFonts w:eastAsia="Times New Roman"/>
          <w:color w:val="000000"/>
          <w:sz w:val="20"/>
          <w:szCs w:val="20"/>
        </w:rPr>
        <w:t>•“AB Holding Units” means units representing assignments of beneficial ownership of limited partnership interests in AB Holding.</w:t>
      </w:r>
    </w:p>
    <w:p w:rsidR="00000000" w:rsidRDefault="005B0BC3">
      <w:pPr>
        <w:ind w:hanging="360"/>
        <w:jc w:val="both"/>
        <w:textAlignment w:val="top"/>
        <w:divId w:val="1060636314"/>
        <w:rPr>
          <w:rFonts w:eastAsia="Times New Roman"/>
        </w:rPr>
      </w:pPr>
      <w:r>
        <w:rPr>
          <w:rFonts w:eastAsia="Times New Roman"/>
          <w:color w:val="000000"/>
          <w:sz w:val="20"/>
          <w:szCs w:val="20"/>
        </w:rPr>
        <w:t xml:space="preserve">•“AB Units” means units of limited partnership interests </w:t>
      </w:r>
      <w:r>
        <w:rPr>
          <w:rFonts w:eastAsia="Times New Roman"/>
          <w:color w:val="000000"/>
          <w:sz w:val="20"/>
          <w:szCs w:val="20"/>
        </w:rPr>
        <w:t>in ABLP.</w:t>
      </w:r>
    </w:p>
    <w:p w:rsidR="00000000" w:rsidRDefault="005B0BC3">
      <w:pPr>
        <w:ind w:hanging="360"/>
        <w:jc w:val="both"/>
        <w:textAlignment w:val="top"/>
        <w:divId w:val="1425490773"/>
        <w:rPr>
          <w:rFonts w:eastAsia="Times New Roman"/>
        </w:rPr>
      </w:pPr>
      <w:r>
        <w:rPr>
          <w:rFonts w:eastAsia="Times New Roman"/>
          <w:color w:val="000000"/>
          <w:sz w:val="20"/>
          <w:szCs w:val="20"/>
        </w:rPr>
        <w:t>•“ABLP” means AllianceBernstein L.P., a Delaware limited partnership and the operating partnership for the AB business.</w:t>
      </w:r>
    </w:p>
    <w:p w:rsidR="00000000" w:rsidRDefault="005B0BC3">
      <w:pPr>
        <w:textAlignment w:val="top"/>
        <w:divId w:val="816144262"/>
        <w:rPr>
          <w:rFonts w:eastAsia="Times New Roman"/>
        </w:rPr>
      </w:pPr>
      <w:r>
        <w:rPr>
          <w:rFonts w:eastAsia="Times New Roman"/>
          <w:color w:val="000000"/>
          <w:sz w:val="20"/>
          <w:szCs w:val="20"/>
        </w:rPr>
        <w:t>•“AFS” means available-for-sale</w:t>
      </w:r>
    </w:p>
    <w:p w:rsidR="00000000" w:rsidRDefault="005B0BC3">
      <w:pPr>
        <w:textAlignment w:val="top"/>
        <w:divId w:val="1306201643"/>
        <w:rPr>
          <w:rFonts w:eastAsia="Times New Roman"/>
        </w:rPr>
      </w:pPr>
      <w:r>
        <w:rPr>
          <w:rFonts w:eastAsia="Times New Roman"/>
          <w:color w:val="000000"/>
          <w:sz w:val="20"/>
          <w:szCs w:val="20"/>
        </w:rPr>
        <w:t>•“AGL” means AXA Global Life</w:t>
      </w:r>
    </w:p>
    <w:p w:rsidR="00000000" w:rsidRDefault="005B0BC3">
      <w:pPr>
        <w:ind w:hanging="360"/>
        <w:textAlignment w:val="top"/>
        <w:divId w:val="84034762"/>
        <w:rPr>
          <w:rFonts w:eastAsia="Times New Roman"/>
        </w:rPr>
      </w:pPr>
      <w:r>
        <w:rPr>
          <w:rFonts w:eastAsia="Times New Roman"/>
          <w:color w:val="000000"/>
          <w:sz w:val="20"/>
          <w:szCs w:val="20"/>
        </w:rPr>
        <w:t xml:space="preserve">•“AOCI” </w:t>
      </w:r>
      <w:r>
        <w:rPr>
          <w:rFonts w:eastAsia="Times New Roman"/>
          <w:color w:val="000000"/>
          <w:sz w:val="20"/>
          <w:szCs w:val="20"/>
        </w:rPr>
        <w:t>means accumulated other comprehensive income</w:t>
      </w:r>
    </w:p>
    <w:p w:rsidR="00000000" w:rsidRDefault="005B0BC3">
      <w:pPr>
        <w:ind w:hanging="360"/>
        <w:textAlignment w:val="top"/>
        <w:divId w:val="201792946"/>
        <w:rPr>
          <w:rFonts w:eastAsia="Times New Roman"/>
        </w:rPr>
      </w:pPr>
      <w:r>
        <w:rPr>
          <w:rFonts w:eastAsia="Times New Roman"/>
          <w:color w:val="000000"/>
          <w:sz w:val="20"/>
          <w:szCs w:val="20"/>
        </w:rPr>
        <w:t>•“ASC” means Accounting Standards Codification</w:t>
      </w:r>
    </w:p>
    <w:p w:rsidR="00000000" w:rsidRDefault="005B0BC3">
      <w:pPr>
        <w:ind w:hanging="360"/>
        <w:textAlignment w:val="top"/>
        <w:divId w:val="1373729533"/>
        <w:rPr>
          <w:rFonts w:eastAsia="Times New Roman"/>
        </w:rPr>
      </w:pPr>
      <w:r>
        <w:rPr>
          <w:rFonts w:eastAsia="Times New Roman"/>
          <w:color w:val="000000"/>
          <w:sz w:val="20"/>
          <w:szCs w:val="20"/>
        </w:rPr>
        <w:t>•“ASR” means accelerated share repurchase</w:t>
      </w:r>
    </w:p>
    <w:p w:rsidR="00000000" w:rsidRDefault="005B0BC3">
      <w:pPr>
        <w:ind w:firstLine="360"/>
        <w:textAlignment w:val="top"/>
        <w:divId w:val="1837576090"/>
        <w:rPr>
          <w:rFonts w:eastAsia="Times New Roman"/>
        </w:rPr>
      </w:pPr>
      <w:r>
        <w:rPr>
          <w:rFonts w:eastAsia="Times New Roman"/>
          <w:color w:val="000000"/>
          <w:sz w:val="20"/>
          <w:szCs w:val="20"/>
        </w:rPr>
        <w:t>•“ASU” means Accounting Standards Update</w:t>
      </w:r>
    </w:p>
    <w:p w:rsidR="00000000" w:rsidRDefault="005B0BC3">
      <w:pPr>
        <w:ind w:hanging="360"/>
        <w:jc w:val="both"/>
        <w:textAlignment w:val="top"/>
        <w:divId w:val="1043599430"/>
        <w:rPr>
          <w:rFonts w:eastAsia="Times New Roman"/>
        </w:rPr>
      </w:pPr>
      <w:r>
        <w:rPr>
          <w:rFonts w:eastAsia="Times New Roman"/>
          <w:color w:val="000000"/>
          <w:sz w:val="20"/>
          <w:szCs w:val="20"/>
        </w:rPr>
        <w:t xml:space="preserve">•“AUM” means assets under management </w:t>
      </w:r>
    </w:p>
    <w:p w:rsidR="00000000" w:rsidRDefault="005B0BC3">
      <w:pPr>
        <w:ind w:hanging="360"/>
        <w:jc w:val="both"/>
        <w:textAlignment w:val="top"/>
        <w:divId w:val="1540315265"/>
        <w:rPr>
          <w:rFonts w:eastAsia="Times New Roman"/>
        </w:rPr>
      </w:pPr>
      <w:r>
        <w:rPr>
          <w:rFonts w:eastAsia="Times New Roman"/>
          <w:color w:val="000000"/>
          <w:sz w:val="20"/>
          <w:szCs w:val="20"/>
        </w:rPr>
        <w:t>•“AUA” means assets under administration</w:t>
      </w:r>
    </w:p>
    <w:p w:rsidR="00000000" w:rsidRDefault="005B0BC3">
      <w:pPr>
        <w:textAlignment w:val="top"/>
        <w:divId w:val="1991447170"/>
        <w:rPr>
          <w:rFonts w:eastAsia="Times New Roman"/>
        </w:rPr>
      </w:pPr>
      <w:r>
        <w:rPr>
          <w:rFonts w:eastAsia="Times New Roman"/>
          <w:color w:val="000000"/>
          <w:sz w:val="20"/>
          <w:szCs w:val="20"/>
        </w:rPr>
        <w:t>•“</w:t>
      </w:r>
      <w:r>
        <w:rPr>
          <w:rFonts w:eastAsia="Times New Roman"/>
          <w:color w:val="000000"/>
          <w:sz w:val="20"/>
          <w:szCs w:val="20"/>
        </w:rPr>
        <w:t>AV” means Account Value</w:t>
      </w:r>
    </w:p>
    <w:p w:rsidR="00000000" w:rsidRDefault="005B0BC3">
      <w:pPr>
        <w:textAlignment w:val="top"/>
        <w:divId w:val="414018408"/>
        <w:rPr>
          <w:rFonts w:eastAsia="Times New Roman"/>
        </w:rPr>
      </w:pPr>
      <w:r>
        <w:rPr>
          <w:rFonts w:eastAsia="Times New Roman"/>
          <w:color w:val="000000"/>
          <w:sz w:val="20"/>
          <w:szCs w:val="20"/>
        </w:rPr>
        <w:t>•“AVR” means asset valuation reserve</w:t>
      </w:r>
    </w:p>
    <w:p w:rsidR="00000000" w:rsidRDefault="005B0BC3">
      <w:pPr>
        <w:ind w:hanging="360"/>
        <w:jc w:val="both"/>
        <w:textAlignment w:val="top"/>
        <w:divId w:val="550263336"/>
        <w:rPr>
          <w:rFonts w:eastAsia="Times New Roman"/>
        </w:rPr>
      </w:pPr>
      <w:r>
        <w:rPr>
          <w:rFonts w:eastAsia="Times New Roman"/>
          <w:color w:val="000000"/>
          <w:sz w:val="20"/>
          <w:szCs w:val="20"/>
        </w:rPr>
        <w:t>•“AXA” means AXA S.A., a société anonyme organized under the laws of France, and formerly our controlling stockholder.</w:t>
      </w:r>
    </w:p>
    <w:p w:rsidR="00000000" w:rsidRDefault="005B0BC3">
      <w:pPr>
        <w:ind w:hanging="360"/>
        <w:textAlignment w:val="top"/>
        <w:divId w:val="1126968019"/>
        <w:rPr>
          <w:rFonts w:eastAsia="Times New Roman"/>
        </w:rPr>
      </w:pPr>
      <w:r>
        <w:rPr>
          <w:rFonts w:eastAsia="Times New Roman"/>
          <w:color w:val="000000"/>
          <w:sz w:val="20"/>
          <w:szCs w:val="20"/>
        </w:rPr>
        <w:t>•“AXA CS” means AXA America Corporate Solutions, Inc.</w:t>
      </w:r>
    </w:p>
    <w:p w:rsidR="00000000" w:rsidRDefault="005B0BC3">
      <w:pPr>
        <w:ind w:hanging="360"/>
        <w:jc w:val="both"/>
        <w:textAlignment w:val="top"/>
        <w:divId w:val="858347243"/>
        <w:rPr>
          <w:rFonts w:eastAsia="Times New Roman"/>
        </w:rPr>
      </w:pPr>
      <w:r>
        <w:rPr>
          <w:rFonts w:eastAsia="Times New Roman"/>
          <w:color w:val="000000"/>
          <w:sz w:val="20"/>
          <w:szCs w:val="20"/>
        </w:rPr>
        <w:t>•“AXA Financial” means</w:t>
      </w:r>
      <w:r>
        <w:rPr>
          <w:rFonts w:eastAsia="Times New Roman"/>
          <w:color w:val="000000"/>
          <w:sz w:val="20"/>
          <w:szCs w:val="20"/>
        </w:rPr>
        <w:t xml:space="preserve"> AXA Financial, Inc., a Delaware corporation and a former wholly-owned direct subsidiary of Holdings. On October 1, 2018, AXA Financial merged with and into Holdings, with Holdings assuming the obligations of AXA Financial.</w:t>
      </w:r>
    </w:p>
    <w:p w:rsidR="00000000" w:rsidRDefault="005B0BC3">
      <w:pPr>
        <w:ind w:hanging="360"/>
        <w:textAlignment w:val="top"/>
        <w:divId w:val="595870122"/>
        <w:rPr>
          <w:rFonts w:eastAsia="Times New Roman"/>
        </w:rPr>
      </w:pPr>
      <w:r>
        <w:rPr>
          <w:rFonts w:eastAsia="Times New Roman"/>
          <w:color w:val="000000"/>
          <w:sz w:val="20"/>
          <w:szCs w:val="20"/>
        </w:rPr>
        <w:t>•“AXA RSUs” means AXA restricted</w:t>
      </w:r>
      <w:r>
        <w:rPr>
          <w:rFonts w:eastAsia="Times New Roman"/>
          <w:color w:val="000000"/>
          <w:sz w:val="20"/>
          <w:szCs w:val="20"/>
        </w:rPr>
        <w:t xml:space="preserve"> stock units</w:t>
      </w:r>
    </w:p>
    <w:p w:rsidR="00000000" w:rsidRDefault="005B0BC3">
      <w:pPr>
        <w:ind w:hanging="360"/>
        <w:jc w:val="both"/>
        <w:textAlignment w:val="top"/>
        <w:divId w:val="940797812"/>
        <w:rPr>
          <w:rFonts w:eastAsia="Times New Roman"/>
        </w:rPr>
      </w:pPr>
      <w:r>
        <w:rPr>
          <w:rFonts w:eastAsia="Times New Roman"/>
          <w:color w:val="000000"/>
          <w:sz w:val="20"/>
          <w:szCs w:val="20"/>
        </w:rPr>
        <w:t>•“AXA Tech” means AXA Technology Services America, Inc, formerly a Delaware corporation and wholly-owned subsidiary of Holdings which merged into Holdings in November 2019.</w:t>
      </w:r>
    </w:p>
    <w:p w:rsidR="00000000" w:rsidRDefault="005B0BC3">
      <w:pPr>
        <w:ind w:hanging="360"/>
        <w:textAlignment w:val="top"/>
        <w:divId w:val="1518546690"/>
        <w:rPr>
          <w:rFonts w:eastAsia="Times New Roman"/>
        </w:rPr>
      </w:pPr>
      <w:r>
        <w:rPr>
          <w:rFonts w:eastAsia="Times New Roman"/>
          <w:color w:val="000000"/>
          <w:sz w:val="20"/>
          <w:szCs w:val="20"/>
        </w:rPr>
        <w:t xml:space="preserve">•“BPs” means basis points </w:t>
      </w:r>
    </w:p>
    <w:p w:rsidR="00000000" w:rsidRDefault="005B0BC3">
      <w:pPr>
        <w:ind w:hanging="360"/>
        <w:textAlignment w:val="top"/>
        <w:divId w:val="935021"/>
        <w:rPr>
          <w:rFonts w:eastAsia="Times New Roman"/>
        </w:rPr>
      </w:pPr>
      <w:r>
        <w:rPr>
          <w:rFonts w:eastAsia="Times New Roman"/>
          <w:color w:val="000000"/>
          <w:sz w:val="20"/>
          <w:szCs w:val="20"/>
        </w:rPr>
        <w:t>•“CDS” means credit default swaps</w:t>
      </w:r>
    </w:p>
    <w:p w:rsidR="00000000" w:rsidRDefault="005B0BC3">
      <w:pPr>
        <w:ind w:hanging="360"/>
        <w:textAlignment w:val="top"/>
        <w:divId w:val="412357685"/>
        <w:rPr>
          <w:rFonts w:eastAsia="Times New Roman"/>
        </w:rPr>
      </w:pPr>
      <w:r>
        <w:rPr>
          <w:rFonts w:eastAsia="Times New Roman"/>
          <w:color w:val="000000"/>
          <w:sz w:val="20"/>
          <w:szCs w:val="20"/>
        </w:rPr>
        <w:t>•“CDSC” m</w:t>
      </w:r>
      <w:r>
        <w:rPr>
          <w:rFonts w:eastAsia="Times New Roman"/>
          <w:color w:val="000000"/>
          <w:sz w:val="20"/>
          <w:szCs w:val="20"/>
        </w:rPr>
        <w:t>eans contingent deferred sales commissions</w:t>
      </w:r>
    </w:p>
    <w:p w:rsidR="00000000" w:rsidRDefault="005B0BC3">
      <w:pPr>
        <w:ind w:firstLine="360"/>
        <w:textAlignment w:val="top"/>
        <w:divId w:val="1021786747"/>
        <w:rPr>
          <w:rFonts w:eastAsia="Times New Roman"/>
        </w:rPr>
      </w:pPr>
      <w:r>
        <w:rPr>
          <w:rFonts w:eastAsia="Times New Roman"/>
          <w:color w:val="000000"/>
          <w:sz w:val="20"/>
          <w:szCs w:val="20"/>
        </w:rPr>
        <w:t xml:space="preserve">•“CEA” means Commodity Exchange Act </w:t>
      </w:r>
    </w:p>
    <w:p w:rsidR="00000000" w:rsidRDefault="005B0BC3">
      <w:pPr>
        <w:textAlignment w:val="top"/>
        <w:divId w:val="207300930"/>
        <w:rPr>
          <w:rFonts w:eastAsia="Times New Roman"/>
        </w:rPr>
      </w:pPr>
      <w:r>
        <w:rPr>
          <w:rFonts w:eastAsia="Times New Roman"/>
          <w:color w:val="000000"/>
          <w:sz w:val="20"/>
          <w:szCs w:val="20"/>
        </w:rPr>
        <w:t>•“CECL” means current expected credit losses</w:t>
      </w:r>
    </w:p>
    <w:p w:rsidR="00000000" w:rsidRDefault="005B0BC3">
      <w:pPr>
        <w:ind w:hanging="360"/>
        <w:textAlignment w:val="top"/>
        <w:divId w:val="1871138043"/>
        <w:rPr>
          <w:rFonts w:eastAsia="Times New Roman"/>
        </w:rPr>
      </w:pPr>
      <w:r>
        <w:rPr>
          <w:rFonts w:eastAsia="Times New Roman"/>
          <w:color w:val="000000"/>
          <w:sz w:val="20"/>
          <w:szCs w:val="20"/>
        </w:rPr>
        <w:t>•“CFTC” means U.S. Commodity Futures Trading Commission</w:t>
      </w:r>
    </w:p>
    <w:p w:rsidR="00000000" w:rsidRDefault="005B0BC3">
      <w:pPr>
        <w:ind w:hanging="360"/>
        <w:textAlignment w:val="top"/>
        <w:divId w:val="1762675347"/>
        <w:rPr>
          <w:rFonts w:eastAsia="Times New Roman"/>
        </w:rPr>
      </w:pPr>
      <w:r>
        <w:rPr>
          <w:rFonts w:eastAsia="Times New Roman"/>
          <w:color w:val="000000"/>
          <w:sz w:val="20"/>
          <w:szCs w:val="20"/>
        </w:rPr>
        <w:t xml:space="preserve">•“CLO” means collateralized loan obligation </w:t>
      </w:r>
    </w:p>
    <w:p w:rsidR="00000000" w:rsidRDefault="005B0BC3">
      <w:pPr>
        <w:textAlignment w:val="top"/>
        <w:divId w:val="366956377"/>
        <w:rPr>
          <w:rFonts w:eastAsia="Times New Roman"/>
        </w:rPr>
      </w:pPr>
      <w:r>
        <w:rPr>
          <w:rFonts w:eastAsia="Times New Roman"/>
          <w:color w:val="000000"/>
          <w:sz w:val="20"/>
          <w:szCs w:val="20"/>
        </w:rPr>
        <w:t xml:space="preserve">•“COLI” means corporate owned </w:t>
      </w:r>
      <w:r>
        <w:rPr>
          <w:rFonts w:eastAsia="Times New Roman"/>
          <w:color w:val="000000"/>
          <w:sz w:val="20"/>
          <w:szCs w:val="20"/>
        </w:rPr>
        <w:t xml:space="preserve">life insurance </w:t>
      </w:r>
    </w:p>
    <w:p w:rsidR="00000000" w:rsidRDefault="005B0BC3">
      <w:pPr>
        <w:ind w:hanging="360"/>
        <w:textAlignment w:val="top"/>
        <w:divId w:val="505707606"/>
        <w:rPr>
          <w:rFonts w:eastAsia="Times New Roman"/>
        </w:rPr>
      </w:pPr>
      <w:r>
        <w:rPr>
          <w:rFonts w:eastAsia="Times New Roman"/>
          <w:color w:val="000000"/>
          <w:sz w:val="20"/>
          <w:szCs w:val="20"/>
        </w:rPr>
        <w:t>•“Company” means Equitable Holdings, Inc. with its consolidated subsidiaries</w:t>
      </w:r>
    </w:p>
    <w:p w:rsidR="00000000" w:rsidRDefault="005B0BC3">
      <w:pPr>
        <w:ind w:hanging="360"/>
        <w:textAlignment w:val="top"/>
        <w:divId w:val="658074061"/>
        <w:rPr>
          <w:rFonts w:eastAsia="Times New Roman"/>
        </w:rPr>
      </w:pPr>
      <w:r>
        <w:rPr>
          <w:rFonts w:eastAsia="Times New Roman"/>
          <w:color w:val="000000"/>
          <w:sz w:val="20"/>
          <w:szCs w:val="20"/>
        </w:rPr>
        <w:t>•“CPH” means CPH Capital Fondsmaeglerselskab A/S</w:t>
      </w:r>
    </w:p>
    <w:p w:rsidR="00000000" w:rsidRDefault="005B0BC3">
      <w:pPr>
        <w:ind w:hanging="360"/>
        <w:jc w:val="both"/>
        <w:textAlignment w:val="top"/>
        <w:divId w:val="206067945"/>
        <w:rPr>
          <w:rFonts w:eastAsia="Times New Roman"/>
        </w:rPr>
      </w:pPr>
      <w:r>
        <w:rPr>
          <w:rFonts w:eastAsia="Times New Roman"/>
          <w:color w:val="000000"/>
          <w:sz w:val="20"/>
          <w:szCs w:val="20"/>
        </w:rPr>
        <w:t>•“CS Life” means Corporate Solutions Life Reinsurance Company, a Delaware corporation and a wholly-owned direct su</w:t>
      </w:r>
      <w:r>
        <w:rPr>
          <w:rFonts w:eastAsia="Times New Roman"/>
          <w:color w:val="000000"/>
          <w:sz w:val="20"/>
          <w:szCs w:val="20"/>
        </w:rPr>
        <w:t>bsidiary of Holdings.</w:t>
      </w:r>
    </w:p>
    <w:p w:rsidR="00000000" w:rsidRDefault="005B0BC3">
      <w:pPr>
        <w:jc w:val="center"/>
        <w:divId w:val="1377656669"/>
        <w:rPr>
          <w:rFonts w:eastAsia="Times New Roman"/>
        </w:rPr>
      </w:pPr>
      <w:r>
        <w:rPr>
          <w:rFonts w:eastAsia="Times New Roman"/>
          <w:color w:val="000000"/>
          <w:sz w:val="20"/>
          <w:szCs w:val="20"/>
        </w:rPr>
        <w:t>246</w:t>
      </w:r>
    </w:p>
    <w:p w:rsidR="00000000" w:rsidRDefault="005B0BC3">
      <w:pPr>
        <w:rPr>
          <w:rFonts w:eastAsia="Times New Roman"/>
        </w:rPr>
      </w:pPr>
      <w:r>
        <w:rPr>
          <w:rFonts w:eastAsia="Times New Roman"/>
        </w:rPr>
        <w:pict>
          <v:rect id="_x0000_i1284" style="width:0;height:1.5pt" o:hralign="center" o:hrstd="t" o:hr="t" fillcolor="#a0a0a0" stroked="f"/>
        </w:pict>
      </w:r>
    </w:p>
    <w:p w:rsidR="00000000" w:rsidRDefault="005B0BC3">
      <w:pPr>
        <w:divId w:val="1630356477"/>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ind w:hanging="360"/>
        <w:jc w:val="both"/>
        <w:textAlignment w:val="top"/>
        <w:divId w:val="926110668"/>
        <w:rPr>
          <w:rFonts w:eastAsia="Times New Roman"/>
        </w:rPr>
      </w:pPr>
      <w:r>
        <w:rPr>
          <w:rFonts w:eastAsia="Times New Roman"/>
          <w:color w:val="000000"/>
          <w:sz w:val="20"/>
          <w:szCs w:val="20"/>
        </w:rPr>
        <w:t>•“CS Life RE” means CS Life RE Company, an Arizona corporation and a wholly-owned indirect subsidiary of Holdings.</w:t>
      </w:r>
    </w:p>
    <w:p w:rsidR="00000000" w:rsidRDefault="005B0BC3">
      <w:pPr>
        <w:ind w:firstLine="360"/>
        <w:textAlignment w:val="top"/>
        <w:divId w:val="1817067764"/>
        <w:rPr>
          <w:rFonts w:eastAsia="Times New Roman"/>
        </w:rPr>
      </w:pPr>
      <w:r>
        <w:rPr>
          <w:rFonts w:eastAsia="Times New Roman"/>
          <w:color w:val="000000"/>
          <w:sz w:val="20"/>
          <w:szCs w:val="20"/>
        </w:rPr>
        <w:t xml:space="preserve">•“CSA” </w:t>
      </w:r>
      <w:r>
        <w:rPr>
          <w:rFonts w:eastAsia="Times New Roman"/>
          <w:color w:val="000000"/>
          <w:sz w:val="20"/>
          <w:szCs w:val="20"/>
        </w:rPr>
        <w:t>means credit support annex</w:t>
      </w:r>
    </w:p>
    <w:p w:rsidR="00000000" w:rsidRDefault="005B0BC3">
      <w:pPr>
        <w:ind w:hanging="360"/>
        <w:textAlignment w:val="top"/>
        <w:divId w:val="1980963571"/>
        <w:rPr>
          <w:rFonts w:eastAsia="Times New Roman"/>
        </w:rPr>
      </w:pPr>
      <w:r>
        <w:rPr>
          <w:rFonts w:eastAsia="Times New Roman"/>
          <w:color w:val="000000"/>
          <w:sz w:val="20"/>
          <w:szCs w:val="20"/>
        </w:rPr>
        <w:t>•“CTE” means conditional tail expectation</w:t>
      </w:r>
    </w:p>
    <w:p w:rsidR="00000000" w:rsidRDefault="005B0BC3">
      <w:pPr>
        <w:textAlignment w:val="top"/>
        <w:divId w:val="1926761078"/>
        <w:rPr>
          <w:rFonts w:eastAsia="Times New Roman"/>
        </w:rPr>
      </w:pPr>
      <w:r>
        <w:rPr>
          <w:rFonts w:eastAsia="Times New Roman"/>
          <w:color w:val="000000"/>
          <w:sz w:val="20"/>
          <w:szCs w:val="20"/>
        </w:rPr>
        <w:t>•“DAC” means deferred policy acquisition costs</w:t>
      </w:r>
    </w:p>
    <w:p w:rsidR="00000000" w:rsidRDefault="005B0BC3">
      <w:pPr>
        <w:ind w:firstLine="360"/>
        <w:textAlignment w:val="top"/>
        <w:divId w:val="1362317997"/>
        <w:rPr>
          <w:rFonts w:eastAsia="Times New Roman"/>
        </w:rPr>
      </w:pPr>
      <w:r>
        <w:rPr>
          <w:rFonts w:eastAsia="Times New Roman"/>
          <w:color w:val="000000"/>
          <w:sz w:val="20"/>
          <w:szCs w:val="20"/>
        </w:rPr>
        <w:t>•“DCO” means designated clearing organization</w:t>
      </w:r>
    </w:p>
    <w:p w:rsidR="00000000" w:rsidRDefault="005B0BC3">
      <w:pPr>
        <w:textAlignment w:val="top"/>
        <w:divId w:val="1507086794"/>
        <w:rPr>
          <w:rFonts w:eastAsia="Times New Roman"/>
        </w:rPr>
      </w:pPr>
      <w:r>
        <w:rPr>
          <w:rFonts w:eastAsia="Times New Roman"/>
          <w:color w:val="000000"/>
          <w:sz w:val="20"/>
          <w:szCs w:val="20"/>
        </w:rPr>
        <w:t xml:space="preserve">•“DI” means disability income </w:t>
      </w:r>
    </w:p>
    <w:p w:rsidR="00000000" w:rsidRDefault="005B0BC3">
      <w:pPr>
        <w:ind w:hanging="360"/>
        <w:textAlignment w:val="top"/>
        <w:divId w:val="1170481628"/>
        <w:rPr>
          <w:rFonts w:eastAsia="Times New Roman"/>
        </w:rPr>
      </w:pPr>
      <w:r>
        <w:rPr>
          <w:rFonts w:eastAsia="Times New Roman"/>
          <w:color w:val="000000"/>
          <w:sz w:val="20"/>
          <w:szCs w:val="20"/>
        </w:rPr>
        <w:t>•“Dodd-Frank Act” means Dodd-Frank Wall Street Reform and Consu</w:t>
      </w:r>
      <w:r>
        <w:rPr>
          <w:rFonts w:eastAsia="Times New Roman"/>
          <w:color w:val="000000"/>
          <w:sz w:val="20"/>
          <w:szCs w:val="20"/>
        </w:rPr>
        <w:t>mer Protection Act</w:t>
      </w:r>
    </w:p>
    <w:p w:rsidR="00000000" w:rsidRDefault="005B0BC3">
      <w:pPr>
        <w:ind w:firstLine="360"/>
        <w:textAlignment w:val="top"/>
        <w:divId w:val="90781364"/>
        <w:rPr>
          <w:rFonts w:eastAsia="Times New Roman"/>
        </w:rPr>
      </w:pPr>
      <w:r>
        <w:rPr>
          <w:rFonts w:eastAsia="Times New Roman"/>
          <w:color w:val="000000"/>
          <w:sz w:val="20"/>
          <w:szCs w:val="20"/>
        </w:rPr>
        <w:t>•“DOL” means U.S. Department of Labor</w:t>
      </w:r>
    </w:p>
    <w:p w:rsidR="00000000" w:rsidRDefault="005B0BC3">
      <w:pPr>
        <w:ind w:hanging="360"/>
        <w:jc w:val="both"/>
        <w:textAlignment w:val="top"/>
        <w:divId w:val="718479730"/>
        <w:rPr>
          <w:rFonts w:eastAsia="Times New Roman"/>
        </w:rPr>
      </w:pPr>
      <w:r>
        <w:rPr>
          <w:rFonts w:eastAsia="Times New Roman"/>
          <w:color w:val="000000"/>
          <w:sz w:val="20"/>
          <w:szCs w:val="20"/>
        </w:rPr>
        <w:t>•“DSC” means debt service coverage</w:t>
      </w:r>
    </w:p>
    <w:p w:rsidR="00000000" w:rsidRDefault="005B0BC3">
      <w:pPr>
        <w:ind w:hanging="360"/>
        <w:textAlignment w:val="top"/>
        <w:divId w:val="830756335"/>
        <w:rPr>
          <w:rFonts w:eastAsia="Times New Roman"/>
        </w:rPr>
      </w:pPr>
      <w:r>
        <w:rPr>
          <w:rFonts w:eastAsia="Times New Roman"/>
          <w:color w:val="000000"/>
          <w:sz w:val="20"/>
          <w:szCs w:val="20"/>
        </w:rPr>
        <w:t>•“DSI” means deferred sales inducement</w:t>
      </w:r>
    </w:p>
    <w:p w:rsidR="00000000" w:rsidRDefault="005B0BC3">
      <w:pPr>
        <w:ind w:hanging="360"/>
        <w:textAlignment w:val="top"/>
        <w:divId w:val="1482237213"/>
        <w:rPr>
          <w:rFonts w:eastAsia="Times New Roman"/>
        </w:rPr>
      </w:pPr>
      <w:r>
        <w:rPr>
          <w:rFonts w:eastAsia="Times New Roman"/>
          <w:color w:val="000000"/>
          <w:sz w:val="20"/>
          <w:szCs w:val="20"/>
        </w:rPr>
        <w:t>•“EAFE” means European, Australasia, and Far East</w:t>
      </w:r>
    </w:p>
    <w:p w:rsidR="00000000" w:rsidRDefault="005B0BC3">
      <w:pPr>
        <w:ind w:hanging="360"/>
        <w:jc w:val="both"/>
        <w:textAlignment w:val="top"/>
        <w:divId w:val="1479809878"/>
        <w:rPr>
          <w:rFonts w:eastAsia="Times New Roman"/>
        </w:rPr>
      </w:pPr>
      <w:r>
        <w:rPr>
          <w:rFonts w:eastAsia="Times New Roman"/>
          <w:color w:val="000000"/>
          <w:sz w:val="20"/>
          <w:szCs w:val="20"/>
        </w:rPr>
        <w:t xml:space="preserve">•“EFS” means Equitable Financial Services, LLC, a Delaware corporation and </w:t>
      </w:r>
      <w:r>
        <w:rPr>
          <w:rFonts w:eastAsia="Times New Roman"/>
          <w:color w:val="000000"/>
          <w:sz w:val="20"/>
          <w:szCs w:val="20"/>
        </w:rPr>
        <w:t>a wholly-owned direct subsidiary of Holdings</w:t>
      </w:r>
    </w:p>
    <w:p w:rsidR="00000000" w:rsidRDefault="005B0BC3">
      <w:pPr>
        <w:ind w:hanging="360"/>
        <w:jc w:val="both"/>
        <w:textAlignment w:val="top"/>
        <w:divId w:val="1300459403"/>
        <w:rPr>
          <w:rFonts w:eastAsia="Times New Roman"/>
        </w:rPr>
      </w:pPr>
      <w:r>
        <w:rPr>
          <w:rFonts w:eastAsia="Times New Roman"/>
          <w:color w:val="000000"/>
          <w:sz w:val="20"/>
          <w:szCs w:val="20"/>
        </w:rPr>
        <w:t>•“EIM” means Equitable Investment Management Group, LLC, a Delaware limited liability company and a wholly-owned indirect subsidiary of Holdings.</w:t>
      </w:r>
    </w:p>
    <w:p w:rsidR="00000000" w:rsidRDefault="005B0BC3">
      <w:pPr>
        <w:ind w:hanging="270"/>
        <w:jc w:val="both"/>
        <w:textAlignment w:val="top"/>
        <w:divId w:val="1664770893"/>
        <w:rPr>
          <w:rFonts w:eastAsia="Times New Roman"/>
        </w:rPr>
      </w:pPr>
      <w:r>
        <w:rPr>
          <w:rFonts w:eastAsia="Times New Roman"/>
          <w:color w:val="000000"/>
          <w:sz w:val="20"/>
          <w:szCs w:val="20"/>
        </w:rPr>
        <w:t>•“EIMG” means Equitable Investment Management Group, LLC, a Delaw</w:t>
      </w:r>
      <w:r>
        <w:rPr>
          <w:rFonts w:eastAsia="Times New Roman"/>
          <w:color w:val="000000"/>
          <w:sz w:val="20"/>
          <w:szCs w:val="20"/>
        </w:rPr>
        <w:t>are limited liability company and a wholly-owned indirect subsidiary of Holdings.</w:t>
      </w:r>
    </w:p>
    <w:p w:rsidR="00000000" w:rsidRDefault="005B0BC3">
      <w:pPr>
        <w:textAlignment w:val="top"/>
        <w:divId w:val="945388735"/>
        <w:rPr>
          <w:rFonts w:eastAsia="Times New Roman"/>
        </w:rPr>
      </w:pPr>
      <w:r>
        <w:rPr>
          <w:rFonts w:eastAsia="Times New Roman"/>
          <w:color w:val="000000"/>
          <w:sz w:val="20"/>
          <w:szCs w:val="20"/>
        </w:rPr>
        <w:t>•“EPS” means earnings per share</w:t>
      </w:r>
    </w:p>
    <w:p w:rsidR="00000000" w:rsidRDefault="005B0BC3">
      <w:pPr>
        <w:ind w:hanging="360"/>
        <w:jc w:val="both"/>
        <w:textAlignment w:val="top"/>
        <w:divId w:val="1493792245"/>
        <w:rPr>
          <w:rFonts w:eastAsia="Times New Roman"/>
        </w:rPr>
      </w:pPr>
      <w:r>
        <w:rPr>
          <w:rFonts w:eastAsia="Times New Roman"/>
          <w:color w:val="000000"/>
          <w:sz w:val="20"/>
          <w:szCs w:val="20"/>
        </w:rPr>
        <w:t>•“Equitable Advisors” means Equitable Advisors, LLC, a Delaware limited liability company, our retail broker/dealer for our retirement and pro</w:t>
      </w:r>
      <w:r>
        <w:rPr>
          <w:rFonts w:eastAsia="Times New Roman"/>
          <w:color w:val="000000"/>
          <w:sz w:val="20"/>
          <w:szCs w:val="20"/>
        </w:rPr>
        <w:t>tection businesses and a wholly-owned indirect subsidiary of Holdings.</w:t>
      </w:r>
    </w:p>
    <w:p w:rsidR="00000000" w:rsidRDefault="005B0BC3">
      <w:pPr>
        <w:ind w:hanging="360"/>
        <w:jc w:val="both"/>
        <w:textAlignment w:val="top"/>
        <w:divId w:val="1564872624"/>
        <w:rPr>
          <w:rFonts w:eastAsia="Times New Roman"/>
        </w:rPr>
      </w:pPr>
      <w:r>
        <w:rPr>
          <w:rFonts w:eastAsia="Times New Roman"/>
          <w:color w:val="000000"/>
          <w:sz w:val="20"/>
          <w:szCs w:val="20"/>
        </w:rPr>
        <w:t>•“Equitable America” means Equitable Financial Life Insurance Company of America (f/k/a MONY Life Insurance Company of America), an Arizona corporation and a wholly-owned indirect subsi</w:t>
      </w:r>
      <w:r>
        <w:rPr>
          <w:rFonts w:eastAsia="Times New Roman"/>
          <w:color w:val="000000"/>
          <w:sz w:val="20"/>
          <w:szCs w:val="20"/>
        </w:rPr>
        <w:t>diary of Holdings.</w:t>
      </w:r>
    </w:p>
    <w:p w:rsidR="00000000" w:rsidRDefault="005B0BC3">
      <w:pPr>
        <w:ind w:hanging="360"/>
        <w:jc w:val="both"/>
        <w:textAlignment w:val="top"/>
        <w:divId w:val="1816798023"/>
        <w:rPr>
          <w:rFonts w:eastAsia="Times New Roman"/>
        </w:rPr>
      </w:pPr>
      <w:r>
        <w:rPr>
          <w:rFonts w:eastAsia="Times New Roman"/>
          <w:color w:val="000000"/>
          <w:sz w:val="20"/>
          <w:szCs w:val="20"/>
        </w:rPr>
        <w:t>•“Equitable Distributors” means Equitable Distributors, LLC, a Delaware limited liability company, our wholesale broker/dealer for our retirement and protection businesses and a wholly-owned indirect subsidiary of Holdings.</w:t>
      </w:r>
    </w:p>
    <w:p w:rsidR="00000000" w:rsidRDefault="005B0BC3">
      <w:pPr>
        <w:ind w:hanging="360"/>
        <w:jc w:val="both"/>
        <w:textAlignment w:val="top"/>
        <w:divId w:val="2070880980"/>
        <w:rPr>
          <w:rFonts w:eastAsia="Times New Roman"/>
        </w:rPr>
      </w:pPr>
      <w:r>
        <w:rPr>
          <w:rFonts w:eastAsia="Times New Roman"/>
          <w:color w:val="000000"/>
          <w:sz w:val="20"/>
          <w:szCs w:val="20"/>
        </w:rPr>
        <w:t>•“Equitable L</w:t>
      </w:r>
      <w:r>
        <w:rPr>
          <w:rFonts w:eastAsia="Times New Roman"/>
          <w:color w:val="000000"/>
          <w:sz w:val="20"/>
          <w:szCs w:val="20"/>
        </w:rPr>
        <w:t>&amp;A” means Equitable Financial Life and Annuity Company, a Colorado corporation and a wholly-owned indirect subsidiary of Holdings.</w:t>
      </w:r>
    </w:p>
    <w:p w:rsidR="00000000" w:rsidRDefault="005B0BC3">
      <w:pPr>
        <w:ind w:hanging="360"/>
        <w:jc w:val="both"/>
        <w:textAlignment w:val="top"/>
        <w:divId w:val="983000198"/>
        <w:rPr>
          <w:rFonts w:eastAsia="Times New Roman"/>
        </w:rPr>
      </w:pPr>
      <w:r>
        <w:rPr>
          <w:rFonts w:eastAsia="Times New Roman"/>
          <w:color w:val="000000"/>
          <w:sz w:val="20"/>
          <w:szCs w:val="20"/>
        </w:rPr>
        <w:t>•“Equitable Financial” means Equitable Financial Life Insurance Company, a New York corporation, a life insurance company and</w:t>
      </w:r>
      <w:r>
        <w:rPr>
          <w:rFonts w:eastAsia="Times New Roman"/>
          <w:color w:val="000000"/>
          <w:sz w:val="20"/>
          <w:szCs w:val="20"/>
        </w:rPr>
        <w:t xml:space="preserve"> a wholly-owned subsidiary of EFS.</w:t>
      </w:r>
    </w:p>
    <w:p w:rsidR="00000000" w:rsidRDefault="005B0BC3">
      <w:pPr>
        <w:ind w:hanging="360"/>
        <w:jc w:val="both"/>
        <w:textAlignment w:val="top"/>
        <w:divId w:val="2088961046"/>
        <w:rPr>
          <w:rFonts w:eastAsia="Times New Roman"/>
        </w:rPr>
      </w:pPr>
      <w:r>
        <w:rPr>
          <w:rFonts w:eastAsia="Times New Roman"/>
          <w:color w:val="000000"/>
          <w:sz w:val="20"/>
          <w:szCs w:val="20"/>
        </w:rPr>
        <w:t xml:space="preserve">•“Equitable Network” means Equitable Network, LLC, a Delaware limited liability company and wholly-owned indirect subsidiary of Holdings and </w:t>
      </w:r>
    </w:p>
    <w:p w:rsidR="00000000" w:rsidRDefault="005B0BC3">
      <w:pPr>
        <w:jc w:val="both"/>
        <w:textAlignment w:val="top"/>
        <w:divId w:val="530340667"/>
        <w:rPr>
          <w:rFonts w:eastAsia="Times New Roman"/>
        </w:rPr>
      </w:pPr>
      <w:r>
        <w:rPr>
          <w:rFonts w:eastAsia="Times New Roman"/>
          <w:color w:val="000000"/>
          <w:sz w:val="20"/>
          <w:szCs w:val="20"/>
        </w:rPr>
        <w:t>its subsidiary, Equitable Network of Puerto Rico, Inc.</w:t>
      </w:r>
    </w:p>
    <w:p w:rsidR="00000000" w:rsidRDefault="005B0BC3">
      <w:pPr>
        <w:ind w:hanging="360"/>
        <w:jc w:val="both"/>
        <w:textAlignment w:val="top"/>
        <w:divId w:val="451824592"/>
        <w:rPr>
          <w:rFonts w:eastAsia="Times New Roman"/>
        </w:rPr>
      </w:pPr>
      <w:r>
        <w:rPr>
          <w:rFonts w:eastAsia="Times New Roman"/>
          <w:color w:val="000000"/>
          <w:sz w:val="20"/>
          <w:szCs w:val="20"/>
        </w:rPr>
        <w:t>•“EQ Premier VIP Trust” means EQ Premier VIP Trust, a series trust that is a Delaware statutory trust and is registered under the Investment Company Act of 1940, as amended (the “Investment Company Act</w:t>
      </w:r>
      <w:r>
        <w:rPr>
          <w:rFonts w:eastAsia="Times New Roman"/>
          <w:color w:val="000000"/>
          <w:sz w:val="20"/>
          <w:szCs w:val="20"/>
        </w:rPr>
        <w:t>”), as an open-end management investment company.</w:t>
      </w:r>
    </w:p>
    <w:p w:rsidR="00000000" w:rsidRDefault="005B0BC3">
      <w:pPr>
        <w:ind w:hanging="360"/>
        <w:jc w:val="both"/>
        <w:textAlignment w:val="top"/>
        <w:divId w:val="136652421"/>
        <w:rPr>
          <w:rFonts w:eastAsia="Times New Roman"/>
        </w:rPr>
      </w:pPr>
      <w:r>
        <w:rPr>
          <w:rFonts w:eastAsia="Times New Roman"/>
          <w:color w:val="000000"/>
          <w:sz w:val="20"/>
          <w:szCs w:val="20"/>
        </w:rPr>
        <w:t>•“EQAT” means EQ Advisors Trust, a series trust that is a Delaware statutory trust and is registered under the Investment Company Act as an open-end management investment company.</w:t>
      </w:r>
    </w:p>
    <w:p w:rsidR="00000000" w:rsidRDefault="005B0BC3">
      <w:pPr>
        <w:ind w:hanging="360"/>
        <w:jc w:val="both"/>
        <w:textAlignment w:val="top"/>
        <w:divId w:val="1039013432"/>
        <w:rPr>
          <w:rFonts w:eastAsia="Times New Roman"/>
        </w:rPr>
      </w:pPr>
      <w:r>
        <w:rPr>
          <w:rFonts w:eastAsia="Times New Roman"/>
          <w:color w:val="000000"/>
          <w:sz w:val="20"/>
          <w:szCs w:val="20"/>
        </w:rPr>
        <w:t xml:space="preserve">•“EQ AZ Life Re” means EQ </w:t>
      </w:r>
      <w:r>
        <w:rPr>
          <w:rFonts w:eastAsia="Times New Roman"/>
          <w:color w:val="000000"/>
          <w:sz w:val="20"/>
          <w:szCs w:val="20"/>
        </w:rPr>
        <w:t>AZ Life Re Company, an Arizona corporation and a wholly-owned indirect subsidiary of Holdings.</w:t>
      </w:r>
    </w:p>
    <w:p w:rsidR="00000000" w:rsidRDefault="005B0BC3">
      <w:pPr>
        <w:ind w:hanging="360"/>
        <w:textAlignment w:val="top"/>
        <w:divId w:val="1787041943"/>
        <w:rPr>
          <w:rFonts w:eastAsia="Times New Roman"/>
        </w:rPr>
      </w:pPr>
      <w:r>
        <w:rPr>
          <w:rFonts w:eastAsia="Times New Roman"/>
          <w:color w:val="000000"/>
          <w:sz w:val="20"/>
          <w:szCs w:val="20"/>
        </w:rPr>
        <w:t>•“ERISA” means Employee Retirement Income Security Act of 1974</w:t>
      </w:r>
    </w:p>
    <w:p w:rsidR="00000000" w:rsidRDefault="005B0BC3">
      <w:pPr>
        <w:ind w:hanging="360"/>
        <w:jc w:val="both"/>
        <w:textAlignment w:val="top"/>
        <w:divId w:val="1801259909"/>
        <w:rPr>
          <w:rFonts w:eastAsia="Times New Roman"/>
        </w:rPr>
      </w:pPr>
      <w:r>
        <w:rPr>
          <w:rFonts w:eastAsia="Times New Roman"/>
          <w:color w:val="000000"/>
          <w:sz w:val="20"/>
          <w:szCs w:val="20"/>
        </w:rPr>
        <w:t>•“ESG” means environmental,social and governance</w:t>
      </w:r>
    </w:p>
    <w:p w:rsidR="00000000" w:rsidRDefault="005B0BC3">
      <w:pPr>
        <w:ind w:hanging="360"/>
        <w:jc w:val="both"/>
        <w:textAlignment w:val="top"/>
        <w:divId w:val="1868985507"/>
        <w:rPr>
          <w:rFonts w:eastAsia="Times New Roman"/>
        </w:rPr>
      </w:pPr>
      <w:r>
        <w:rPr>
          <w:rFonts w:eastAsia="Times New Roman"/>
          <w:color w:val="000000"/>
          <w:sz w:val="20"/>
          <w:szCs w:val="20"/>
        </w:rPr>
        <w:t>•“ETF” means exchange traded funds</w:t>
      </w:r>
    </w:p>
    <w:p w:rsidR="00000000" w:rsidRDefault="005B0BC3">
      <w:pPr>
        <w:ind w:firstLine="360"/>
        <w:jc w:val="both"/>
        <w:textAlignment w:val="top"/>
        <w:divId w:val="1004280637"/>
        <w:rPr>
          <w:rFonts w:eastAsia="Times New Roman"/>
        </w:rPr>
      </w:pPr>
      <w:r>
        <w:rPr>
          <w:rFonts w:eastAsia="Times New Roman"/>
          <w:color w:val="000000"/>
          <w:sz w:val="20"/>
          <w:szCs w:val="20"/>
        </w:rPr>
        <w:t>•“ETR” means e</w:t>
      </w:r>
      <w:r>
        <w:rPr>
          <w:rFonts w:eastAsia="Times New Roman"/>
          <w:color w:val="000000"/>
          <w:sz w:val="20"/>
          <w:szCs w:val="20"/>
        </w:rPr>
        <w:t>ffective tax rate</w:t>
      </w:r>
    </w:p>
    <w:p w:rsidR="00000000" w:rsidRDefault="005B0BC3">
      <w:pPr>
        <w:ind w:hanging="360"/>
        <w:textAlignment w:val="top"/>
        <w:divId w:val="111748272"/>
        <w:rPr>
          <w:rFonts w:eastAsia="Times New Roman"/>
        </w:rPr>
      </w:pPr>
      <w:r>
        <w:rPr>
          <w:rFonts w:eastAsia="Times New Roman"/>
          <w:color w:val="000000"/>
          <w:sz w:val="20"/>
          <w:szCs w:val="20"/>
        </w:rPr>
        <w:t>•“Exchange Act” means Securities Exchange Act of 1934, as amended</w:t>
      </w:r>
    </w:p>
    <w:p w:rsidR="00000000" w:rsidRDefault="005B0BC3">
      <w:pPr>
        <w:ind w:hanging="360"/>
        <w:textAlignment w:val="top"/>
        <w:divId w:val="390428889"/>
        <w:rPr>
          <w:rFonts w:eastAsia="Times New Roman"/>
        </w:rPr>
      </w:pPr>
      <w:r>
        <w:rPr>
          <w:rFonts w:eastAsia="Times New Roman"/>
          <w:color w:val="000000"/>
          <w:sz w:val="20"/>
          <w:szCs w:val="20"/>
        </w:rPr>
        <w:t>•“FABN” means Funding Agreement Backed Notes Program</w:t>
      </w:r>
      <w:r>
        <w:rPr>
          <w:rFonts w:eastAsia="Times New Roman"/>
          <w:color w:val="000000"/>
          <w:sz w:val="18"/>
          <w:szCs w:val="18"/>
        </w:rPr>
        <w:t xml:space="preserve"> </w:t>
      </w:r>
    </w:p>
    <w:p w:rsidR="00000000" w:rsidRDefault="005B0BC3">
      <w:pPr>
        <w:ind w:hanging="360"/>
        <w:textAlignment w:val="top"/>
        <w:divId w:val="1523320437"/>
        <w:rPr>
          <w:rFonts w:eastAsia="Times New Roman"/>
        </w:rPr>
      </w:pPr>
      <w:r>
        <w:rPr>
          <w:rFonts w:eastAsia="Times New Roman"/>
          <w:color w:val="000000"/>
          <w:sz w:val="20"/>
          <w:szCs w:val="20"/>
        </w:rPr>
        <w:t>•“FASB” means Financial Accounting Standards Board</w:t>
      </w:r>
    </w:p>
    <w:p w:rsidR="00000000" w:rsidRDefault="005B0BC3">
      <w:pPr>
        <w:ind w:hanging="360"/>
        <w:textAlignment w:val="top"/>
        <w:divId w:val="1383867056"/>
        <w:rPr>
          <w:rFonts w:eastAsia="Times New Roman"/>
        </w:rPr>
      </w:pPr>
      <w:r>
        <w:rPr>
          <w:rFonts w:eastAsia="Times New Roman"/>
          <w:color w:val="000000"/>
          <w:sz w:val="20"/>
          <w:szCs w:val="20"/>
        </w:rPr>
        <w:t>•“FDIC” means Federal Deposit Insurance Corporation</w:t>
      </w:r>
    </w:p>
    <w:p w:rsidR="00000000" w:rsidRDefault="005B0BC3">
      <w:pPr>
        <w:ind w:firstLine="360"/>
        <w:textAlignment w:val="top"/>
        <w:divId w:val="1184398857"/>
        <w:rPr>
          <w:rFonts w:eastAsia="Times New Roman"/>
        </w:rPr>
      </w:pPr>
      <w:r>
        <w:rPr>
          <w:rFonts w:eastAsia="Times New Roman"/>
          <w:color w:val="000000"/>
          <w:sz w:val="20"/>
          <w:szCs w:val="20"/>
        </w:rPr>
        <w:t>•“FHLB” means F</w:t>
      </w:r>
      <w:r>
        <w:rPr>
          <w:rFonts w:eastAsia="Times New Roman"/>
          <w:color w:val="000000"/>
          <w:sz w:val="20"/>
          <w:szCs w:val="20"/>
        </w:rPr>
        <w:t>ederal Home Loan Bank</w:t>
      </w:r>
    </w:p>
    <w:p w:rsidR="00000000" w:rsidRDefault="005B0BC3">
      <w:pPr>
        <w:ind w:hanging="360"/>
        <w:textAlignment w:val="top"/>
        <w:divId w:val="1120996394"/>
        <w:rPr>
          <w:rFonts w:eastAsia="Times New Roman"/>
        </w:rPr>
      </w:pPr>
      <w:r>
        <w:rPr>
          <w:rFonts w:eastAsia="Times New Roman"/>
          <w:color w:val="000000"/>
          <w:sz w:val="20"/>
          <w:szCs w:val="20"/>
        </w:rPr>
        <w:t>•“FINRA” means Financial Industry Regulatory Authority, Inc.</w:t>
      </w:r>
    </w:p>
    <w:p w:rsidR="00000000" w:rsidRDefault="005B0BC3">
      <w:pPr>
        <w:textAlignment w:val="top"/>
        <w:divId w:val="1128860804"/>
        <w:rPr>
          <w:rFonts w:eastAsia="Times New Roman"/>
        </w:rPr>
      </w:pPr>
      <w:r>
        <w:rPr>
          <w:rFonts w:eastAsia="Times New Roman"/>
          <w:color w:val="000000"/>
          <w:sz w:val="20"/>
          <w:szCs w:val="20"/>
        </w:rPr>
        <w:t>•“FIO” means Federal Insurance Office</w:t>
      </w:r>
    </w:p>
    <w:p w:rsidR="00000000" w:rsidRDefault="005B0BC3">
      <w:pPr>
        <w:ind w:hanging="360"/>
        <w:textAlignment w:val="top"/>
        <w:divId w:val="961690529"/>
        <w:rPr>
          <w:rFonts w:eastAsia="Times New Roman"/>
        </w:rPr>
      </w:pPr>
      <w:r>
        <w:rPr>
          <w:rFonts w:eastAsia="Times New Roman"/>
          <w:color w:val="000000"/>
          <w:sz w:val="20"/>
          <w:szCs w:val="20"/>
        </w:rPr>
        <w:t>•“FSOC” means Financial Stability Oversight Council</w:t>
      </w:r>
    </w:p>
    <w:p w:rsidR="00000000" w:rsidRDefault="005B0BC3">
      <w:pPr>
        <w:ind w:hanging="360"/>
        <w:jc w:val="both"/>
        <w:textAlignment w:val="top"/>
        <w:divId w:val="579097746"/>
        <w:rPr>
          <w:rFonts w:eastAsia="Times New Roman"/>
        </w:rPr>
      </w:pPr>
      <w:r>
        <w:rPr>
          <w:rFonts w:eastAsia="Times New Roman"/>
          <w:color w:val="000000"/>
          <w:sz w:val="20"/>
          <w:szCs w:val="20"/>
        </w:rPr>
        <w:t>•“FYP” means first year premium and deposits</w:t>
      </w:r>
    </w:p>
    <w:p w:rsidR="00000000" w:rsidRDefault="005B0BC3">
      <w:pPr>
        <w:ind w:hanging="360"/>
        <w:jc w:val="both"/>
        <w:textAlignment w:val="top"/>
        <w:divId w:val="2066560172"/>
        <w:rPr>
          <w:rFonts w:eastAsia="Times New Roman"/>
        </w:rPr>
      </w:pPr>
      <w:r>
        <w:rPr>
          <w:rFonts w:eastAsia="Times New Roman"/>
          <w:color w:val="000000"/>
          <w:sz w:val="20"/>
          <w:szCs w:val="20"/>
        </w:rPr>
        <w:t>•The “General Partner” means AllianceB</w:t>
      </w:r>
      <w:r>
        <w:rPr>
          <w:rFonts w:eastAsia="Times New Roman"/>
          <w:color w:val="000000"/>
          <w:sz w:val="20"/>
          <w:szCs w:val="20"/>
        </w:rPr>
        <w:t>ernstein Corporation, a Delaware corporation and the general partner of AB Holding and ABLP.</w:t>
      </w:r>
    </w:p>
    <w:p w:rsidR="00000000" w:rsidRDefault="005B0BC3">
      <w:pPr>
        <w:ind w:hanging="360"/>
        <w:jc w:val="both"/>
        <w:textAlignment w:val="top"/>
        <w:divId w:val="1036656075"/>
        <w:rPr>
          <w:rFonts w:eastAsia="Times New Roman"/>
        </w:rPr>
      </w:pPr>
      <w:r>
        <w:rPr>
          <w:rFonts w:eastAsia="Times New Roman"/>
          <w:color w:val="000000"/>
          <w:sz w:val="20"/>
          <w:szCs w:val="20"/>
        </w:rPr>
        <w:t>•“GIO” means guaranteed interest option</w:t>
      </w:r>
    </w:p>
    <w:p w:rsidR="00000000" w:rsidRDefault="005B0BC3">
      <w:pPr>
        <w:textAlignment w:val="top"/>
        <w:divId w:val="165705191"/>
        <w:rPr>
          <w:rFonts w:eastAsia="Times New Roman"/>
        </w:rPr>
      </w:pPr>
      <w:r>
        <w:rPr>
          <w:rFonts w:eastAsia="Times New Roman"/>
          <w:color w:val="000000"/>
          <w:sz w:val="20"/>
          <w:szCs w:val="20"/>
        </w:rPr>
        <w:t>•“GUL” means guaranteed universal life</w:t>
      </w:r>
    </w:p>
    <w:p w:rsidR="00000000" w:rsidRDefault="005B0BC3">
      <w:pPr>
        <w:textAlignment w:val="top"/>
        <w:divId w:val="1146509781"/>
        <w:rPr>
          <w:rFonts w:eastAsia="Times New Roman"/>
        </w:rPr>
      </w:pPr>
      <w:r>
        <w:rPr>
          <w:rFonts w:eastAsia="Times New Roman"/>
          <w:color w:val="000000"/>
          <w:sz w:val="20"/>
          <w:szCs w:val="20"/>
        </w:rPr>
        <w:t>•“HFS” means held-for-sale</w:t>
      </w:r>
    </w:p>
    <w:p w:rsidR="00000000" w:rsidRDefault="005B0BC3">
      <w:pPr>
        <w:textAlignment w:val="top"/>
        <w:divId w:val="1561330680"/>
        <w:rPr>
          <w:rFonts w:eastAsia="Times New Roman"/>
        </w:rPr>
      </w:pPr>
      <w:r>
        <w:rPr>
          <w:rFonts w:eastAsia="Times New Roman"/>
          <w:color w:val="000000"/>
          <w:sz w:val="20"/>
          <w:szCs w:val="20"/>
        </w:rPr>
        <w:t xml:space="preserve">•“Holdings” means Equitable Holdings, Inc. </w:t>
      </w:r>
    </w:p>
    <w:p w:rsidR="00000000" w:rsidRDefault="005B0BC3">
      <w:pPr>
        <w:textAlignment w:val="top"/>
        <w:divId w:val="1325550497"/>
        <w:rPr>
          <w:rFonts w:eastAsia="Times New Roman"/>
        </w:rPr>
      </w:pPr>
      <w:r>
        <w:rPr>
          <w:rFonts w:eastAsia="Times New Roman"/>
          <w:color w:val="000000"/>
          <w:sz w:val="20"/>
          <w:szCs w:val="20"/>
        </w:rPr>
        <w:t xml:space="preserve">•“HTM” means </w:t>
      </w:r>
      <w:r>
        <w:rPr>
          <w:rFonts w:eastAsia="Times New Roman"/>
          <w:color w:val="000000"/>
          <w:sz w:val="20"/>
          <w:szCs w:val="20"/>
        </w:rPr>
        <w:t>held-to-maturity</w:t>
      </w:r>
    </w:p>
    <w:p w:rsidR="00000000" w:rsidRDefault="005B0BC3">
      <w:pPr>
        <w:ind w:hanging="360"/>
        <w:textAlignment w:val="top"/>
        <w:divId w:val="1934974419"/>
        <w:rPr>
          <w:rFonts w:eastAsia="Times New Roman"/>
        </w:rPr>
      </w:pPr>
      <w:r>
        <w:rPr>
          <w:rFonts w:eastAsia="Times New Roman"/>
          <w:color w:val="000000"/>
          <w:sz w:val="20"/>
          <w:szCs w:val="20"/>
        </w:rPr>
        <w:t>•“Investment Advisers Act” means Investment Advisers Act of 1940, as amended</w:t>
      </w:r>
    </w:p>
    <w:p w:rsidR="00000000" w:rsidRDefault="005B0BC3">
      <w:pPr>
        <w:textAlignment w:val="top"/>
        <w:divId w:val="2108843016"/>
        <w:rPr>
          <w:rFonts w:eastAsia="Times New Roman"/>
        </w:rPr>
      </w:pPr>
      <w:r>
        <w:rPr>
          <w:rFonts w:eastAsia="Times New Roman"/>
          <w:color w:val="000000"/>
          <w:sz w:val="20"/>
          <w:szCs w:val="20"/>
        </w:rPr>
        <w:t>•“IPO” means initial public offering</w:t>
      </w:r>
    </w:p>
    <w:p w:rsidR="00000000" w:rsidRDefault="005B0BC3">
      <w:pPr>
        <w:ind w:hanging="360"/>
        <w:textAlignment w:val="top"/>
        <w:divId w:val="749928769"/>
        <w:rPr>
          <w:rFonts w:eastAsia="Times New Roman"/>
        </w:rPr>
      </w:pPr>
      <w:r>
        <w:rPr>
          <w:rFonts w:eastAsia="Times New Roman"/>
          <w:color w:val="000000"/>
          <w:sz w:val="20"/>
          <w:szCs w:val="20"/>
        </w:rPr>
        <w:t>•“IRS” means Internal Revenue Service</w:t>
      </w:r>
    </w:p>
    <w:p w:rsidR="00000000" w:rsidRDefault="005B0BC3">
      <w:pPr>
        <w:ind w:hanging="360"/>
        <w:textAlignment w:val="top"/>
        <w:divId w:val="310253984"/>
        <w:rPr>
          <w:rFonts w:eastAsia="Times New Roman"/>
        </w:rPr>
      </w:pPr>
      <w:r>
        <w:rPr>
          <w:rFonts w:eastAsia="Times New Roman"/>
          <w:color w:val="000000"/>
          <w:sz w:val="20"/>
          <w:szCs w:val="20"/>
        </w:rPr>
        <w:t xml:space="preserve">•“ISDA Master Agreement” </w:t>
      </w:r>
      <w:r>
        <w:rPr>
          <w:rFonts w:eastAsia="Times New Roman"/>
          <w:color w:val="000000"/>
          <w:sz w:val="20"/>
          <w:szCs w:val="20"/>
        </w:rPr>
        <w:t xml:space="preserve">means International Swaps and Derivatives Association Master Agreement </w:t>
      </w:r>
    </w:p>
    <w:p w:rsidR="00000000" w:rsidRDefault="005B0BC3">
      <w:pPr>
        <w:jc w:val="center"/>
        <w:divId w:val="671839144"/>
        <w:rPr>
          <w:rFonts w:eastAsia="Times New Roman"/>
        </w:rPr>
      </w:pPr>
      <w:r>
        <w:rPr>
          <w:rFonts w:eastAsia="Times New Roman"/>
          <w:color w:val="000000"/>
          <w:sz w:val="20"/>
          <w:szCs w:val="20"/>
        </w:rPr>
        <w:t>247</w:t>
      </w:r>
    </w:p>
    <w:p w:rsidR="00000000" w:rsidRDefault="005B0BC3">
      <w:pPr>
        <w:rPr>
          <w:rFonts w:eastAsia="Times New Roman"/>
        </w:rPr>
      </w:pPr>
      <w:r>
        <w:rPr>
          <w:rFonts w:eastAsia="Times New Roman"/>
        </w:rPr>
        <w:pict>
          <v:rect id="_x0000_i1285" style="width:0;height:1.5pt" o:hralign="center" o:hrstd="t" o:hr="t" fillcolor="#a0a0a0" stroked="f"/>
        </w:pict>
      </w:r>
    </w:p>
    <w:p w:rsidR="00000000" w:rsidRDefault="005B0BC3">
      <w:pPr>
        <w:divId w:val="1035690104"/>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ind w:firstLine="90"/>
        <w:textAlignment w:val="top"/>
        <w:divId w:val="322200457"/>
        <w:rPr>
          <w:rFonts w:eastAsia="Times New Roman"/>
        </w:rPr>
      </w:pPr>
      <w:r>
        <w:rPr>
          <w:rFonts w:eastAsia="Times New Roman"/>
          <w:color w:val="000000"/>
          <w:sz w:val="20"/>
          <w:szCs w:val="20"/>
        </w:rPr>
        <w:t>•“IUL” means indexed universal life</w:t>
      </w:r>
    </w:p>
    <w:p w:rsidR="00000000" w:rsidRDefault="005B0BC3">
      <w:pPr>
        <w:ind w:firstLine="90"/>
        <w:textAlignment w:val="top"/>
        <w:divId w:val="910193626"/>
        <w:rPr>
          <w:rFonts w:eastAsia="Times New Roman"/>
        </w:rPr>
      </w:pPr>
      <w:r>
        <w:rPr>
          <w:rFonts w:eastAsia="Times New Roman"/>
          <w:color w:val="000000"/>
          <w:sz w:val="20"/>
          <w:szCs w:val="20"/>
        </w:rPr>
        <w:t>•“IUS” means Investments Under</w:t>
      </w:r>
      <w:r>
        <w:rPr>
          <w:rFonts w:eastAsia="Times New Roman"/>
          <w:color w:val="000000"/>
          <w:sz w:val="20"/>
          <w:szCs w:val="20"/>
        </w:rPr>
        <w:t xml:space="preserve"> Surveillance </w:t>
      </w:r>
    </w:p>
    <w:p w:rsidR="00000000" w:rsidRDefault="005B0BC3">
      <w:pPr>
        <w:ind w:hanging="360"/>
        <w:textAlignment w:val="top"/>
        <w:divId w:val="604772925"/>
        <w:rPr>
          <w:rFonts w:eastAsia="Times New Roman"/>
        </w:rPr>
      </w:pPr>
      <w:r>
        <w:rPr>
          <w:rFonts w:eastAsia="Times New Roman"/>
          <w:color w:val="000000"/>
          <w:sz w:val="20"/>
          <w:szCs w:val="20"/>
        </w:rPr>
        <w:t>•“K-12 education market” means individuals in the kindergarten, primary and secondary education market</w:t>
      </w:r>
    </w:p>
    <w:p w:rsidR="00000000" w:rsidRDefault="005B0BC3">
      <w:pPr>
        <w:ind w:firstLine="90"/>
        <w:textAlignment w:val="top"/>
        <w:divId w:val="643388505"/>
        <w:rPr>
          <w:rFonts w:eastAsia="Times New Roman"/>
        </w:rPr>
      </w:pPr>
      <w:r>
        <w:rPr>
          <w:rFonts w:eastAsia="Times New Roman"/>
          <w:color w:val="000000"/>
          <w:sz w:val="20"/>
          <w:szCs w:val="20"/>
        </w:rPr>
        <w:t>•“LGD” means loss given default</w:t>
      </w:r>
    </w:p>
    <w:p w:rsidR="00000000" w:rsidRDefault="005B0BC3">
      <w:pPr>
        <w:ind w:firstLine="90"/>
        <w:textAlignment w:val="top"/>
        <w:divId w:val="6950607"/>
        <w:rPr>
          <w:rFonts w:eastAsia="Times New Roman"/>
        </w:rPr>
      </w:pPr>
      <w:r>
        <w:rPr>
          <w:rFonts w:eastAsia="Times New Roman"/>
          <w:color w:val="000000"/>
          <w:sz w:val="20"/>
          <w:szCs w:val="20"/>
        </w:rPr>
        <w:t>•“LIBOR” means London Interbank Offered Rate</w:t>
      </w:r>
    </w:p>
    <w:p w:rsidR="00000000" w:rsidRDefault="005B0BC3">
      <w:pPr>
        <w:ind w:firstLine="90"/>
        <w:jc w:val="both"/>
        <w:textAlignment w:val="top"/>
        <w:divId w:val="910775392"/>
        <w:rPr>
          <w:rFonts w:eastAsia="Times New Roman"/>
        </w:rPr>
      </w:pPr>
      <w:r>
        <w:rPr>
          <w:rFonts w:eastAsia="Times New Roman"/>
          <w:color w:val="000000"/>
          <w:sz w:val="20"/>
          <w:szCs w:val="20"/>
        </w:rPr>
        <w:t>•“LTV” means loan-to-value</w:t>
      </w:r>
    </w:p>
    <w:p w:rsidR="00000000" w:rsidRDefault="005B0BC3">
      <w:pPr>
        <w:ind w:hanging="360"/>
        <w:textAlignment w:val="top"/>
        <w:divId w:val="240212651"/>
        <w:rPr>
          <w:rFonts w:eastAsia="Times New Roman"/>
        </w:rPr>
      </w:pPr>
      <w:r>
        <w:rPr>
          <w:rFonts w:eastAsia="Times New Roman"/>
          <w:i/>
          <w:iCs/>
          <w:color w:val="000000"/>
          <w:sz w:val="20"/>
          <w:szCs w:val="20"/>
        </w:rPr>
        <w:t>•</w:t>
      </w:r>
      <w:r>
        <w:rPr>
          <w:rFonts w:eastAsia="Times New Roman"/>
          <w:color w:val="000000"/>
          <w:sz w:val="20"/>
          <w:szCs w:val="20"/>
        </w:rPr>
        <w:t>“Manual” means Accounting Practic</w:t>
      </w:r>
      <w:r>
        <w:rPr>
          <w:rFonts w:eastAsia="Times New Roman"/>
          <w:color w:val="000000"/>
          <w:sz w:val="20"/>
          <w:szCs w:val="20"/>
        </w:rPr>
        <w:t>es and Procedures Manual as established by the NAIC</w:t>
      </w:r>
    </w:p>
    <w:p w:rsidR="00000000" w:rsidRDefault="005B0BC3">
      <w:pPr>
        <w:ind w:hanging="360"/>
        <w:textAlignment w:val="top"/>
        <w:divId w:val="1736396308"/>
        <w:rPr>
          <w:rFonts w:eastAsia="Times New Roman"/>
        </w:rPr>
      </w:pPr>
      <w:r>
        <w:rPr>
          <w:rFonts w:eastAsia="Times New Roman"/>
          <w:color w:val="000000"/>
          <w:sz w:val="20"/>
          <w:szCs w:val="20"/>
        </w:rPr>
        <w:t>•“MD&amp;A” means Management’s Discussion and Analysis of Financial Condition and Results of Operations</w:t>
      </w:r>
    </w:p>
    <w:p w:rsidR="00000000" w:rsidRDefault="005B0BC3">
      <w:pPr>
        <w:ind w:hanging="360"/>
        <w:textAlignment w:val="top"/>
        <w:divId w:val="1713530245"/>
        <w:rPr>
          <w:rFonts w:eastAsia="Times New Roman"/>
        </w:rPr>
      </w:pPr>
      <w:r>
        <w:rPr>
          <w:rFonts w:eastAsia="Times New Roman"/>
          <w:color w:val="000000"/>
          <w:sz w:val="20"/>
          <w:szCs w:val="20"/>
        </w:rPr>
        <w:t>•“MLICA” means MONY Life Insurance Company of the Americas, Ltd</w:t>
      </w:r>
    </w:p>
    <w:p w:rsidR="00000000" w:rsidRDefault="005B0BC3">
      <w:pPr>
        <w:textAlignment w:val="top"/>
        <w:divId w:val="1322004205"/>
        <w:rPr>
          <w:rFonts w:eastAsia="Times New Roman"/>
        </w:rPr>
      </w:pPr>
      <w:r>
        <w:rPr>
          <w:rFonts w:eastAsia="Times New Roman"/>
          <w:color w:val="000000"/>
          <w:sz w:val="20"/>
          <w:szCs w:val="20"/>
        </w:rPr>
        <w:t>•“MRBs” means market risk benefits</w:t>
      </w:r>
    </w:p>
    <w:p w:rsidR="00000000" w:rsidRDefault="005B0BC3">
      <w:pPr>
        <w:textAlignment w:val="top"/>
        <w:divId w:val="1630159071"/>
        <w:rPr>
          <w:rFonts w:eastAsia="Times New Roman"/>
        </w:rPr>
      </w:pPr>
      <w:r>
        <w:rPr>
          <w:rFonts w:eastAsia="Times New Roman"/>
          <w:color w:val="000000"/>
          <w:sz w:val="20"/>
          <w:szCs w:val="20"/>
        </w:rPr>
        <w:t>•“MSO</w:t>
      </w:r>
      <w:r>
        <w:rPr>
          <w:rFonts w:eastAsia="Times New Roman"/>
          <w:color w:val="000000"/>
          <w:sz w:val="20"/>
          <w:szCs w:val="20"/>
        </w:rPr>
        <w:t>” means</w:t>
      </w:r>
      <w:r>
        <w:rPr>
          <w:rFonts w:eastAsia="Times New Roman"/>
          <w:i/>
          <w:iCs/>
          <w:color w:val="000000"/>
          <w:sz w:val="20"/>
          <w:szCs w:val="20"/>
        </w:rPr>
        <w:t xml:space="preserve"> </w:t>
      </w:r>
      <w:r>
        <w:rPr>
          <w:rFonts w:eastAsia="Times New Roman"/>
          <w:color w:val="000000"/>
          <w:sz w:val="20"/>
          <w:szCs w:val="20"/>
        </w:rPr>
        <w:t>Market Stabilizer Option</w:t>
      </w:r>
    </w:p>
    <w:p w:rsidR="00000000" w:rsidRDefault="005B0BC3">
      <w:pPr>
        <w:ind w:hanging="360"/>
        <w:textAlignment w:val="top"/>
        <w:divId w:val="1494756407"/>
        <w:rPr>
          <w:rFonts w:eastAsia="Times New Roman"/>
        </w:rPr>
      </w:pPr>
      <w:r>
        <w:rPr>
          <w:rFonts w:eastAsia="Times New Roman"/>
          <w:color w:val="000000"/>
          <w:sz w:val="20"/>
          <w:szCs w:val="20"/>
        </w:rPr>
        <w:t>•“NAIC” means National Association of Insurance Commissioners</w:t>
      </w:r>
    </w:p>
    <w:p w:rsidR="00000000" w:rsidRDefault="005B0BC3">
      <w:pPr>
        <w:textAlignment w:val="top"/>
        <w:divId w:val="1487012097"/>
        <w:rPr>
          <w:rFonts w:eastAsia="Times New Roman"/>
        </w:rPr>
      </w:pPr>
      <w:r>
        <w:rPr>
          <w:rFonts w:eastAsia="Times New Roman"/>
          <w:color w:val="000000"/>
          <w:sz w:val="20"/>
          <w:szCs w:val="20"/>
        </w:rPr>
        <w:t>•“NAR” means net amount at risk</w:t>
      </w:r>
    </w:p>
    <w:p w:rsidR="00000000" w:rsidRDefault="005B0BC3">
      <w:pPr>
        <w:textAlignment w:val="top"/>
        <w:divId w:val="99032383"/>
        <w:rPr>
          <w:rFonts w:eastAsia="Times New Roman"/>
        </w:rPr>
      </w:pPr>
      <w:r>
        <w:rPr>
          <w:rFonts w:eastAsia="Times New Roman"/>
          <w:color w:val="000000"/>
          <w:sz w:val="20"/>
          <w:szCs w:val="20"/>
        </w:rPr>
        <w:t>•“NAV” means net asset value</w:t>
      </w:r>
    </w:p>
    <w:p w:rsidR="00000000" w:rsidRDefault="005B0BC3">
      <w:pPr>
        <w:textAlignment w:val="top"/>
        <w:divId w:val="345597193"/>
        <w:rPr>
          <w:rFonts w:eastAsia="Times New Roman"/>
        </w:rPr>
      </w:pPr>
      <w:r>
        <w:rPr>
          <w:rFonts w:eastAsia="Times New Roman"/>
          <w:color w:val="000000"/>
          <w:sz w:val="20"/>
          <w:szCs w:val="20"/>
        </w:rPr>
        <w:t>•“NFA” means National Futures Association</w:t>
      </w:r>
    </w:p>
    <w:p w:rsidR="00000000" w:rsidRDefault="005B0BC3">
      <w:pPr>
        <w:textAlignment w:val="top"/>
        <w:divId w:val="744693618"/>
        <w:rPr>
          <w:rFonts w:eastAsia="Times New Roman"/>
        </w:rPr>
      </w:pPr>
      <w:r>
        <w:rPr>
          <w:rFonts w:eastAsia="Times New Roman"/>
          <w:color w:val="000000"/>
          <w:sz w:val="20"/>
          <w:szCs w:val="20"/>
        </w:rPr>
        <w:t>•“NLG” means no-lapse guarantee</w:t>
      </w:r>
    </w:p>
    <w:p w:rsidR="00000000" w:rsidRDefault="005B0BC3">
      <w:pPr>
        <w:ind w:hanging="360"/>
        <w:textAlignment w:val="top"/>
        <w:divId w:val="1747804299"/>
        <w:rPr>
          <w:rFonts w:eastAsia="Times New Roman"/>
        </w:rPr>
      </w:pPr>
      <w:r>
        <w:rPr>
          <w:rFonts w:eastAsia="Times New Roman"/>
          <w:color w:val="000000"/>
          <w:sz w:val="20"/>
          <w:szCs w:val="20"/>
        </w:rPr>
        <w:t>•“NYDFS” means New York St</w:t>
      </w:r>
      <w:r>
        <w:rPr>
          <w:rFonts w:eastAsia="Times New Roman"/>
          <w:color w:val="000000"/>
          <w:sz w:val="20"/>
          <w:szCs w:val="20"/>
        </w:rPr>
        <w:t>ate Department of Financial Services</w:t>
      </w:r>
    </w:p>
    <w:p w:rsidR="00000000" w:rsidRDefault="005B0BC3">
      <w:pPr>
        <w:ind w:firstLine="360"/>
        <w:textAlignment w:val="top"/>
        <w:divId w:val="1430008848"/>
        <w:rPr>
          <w:rFonts w:eastAsia="Times New Roman"/>
        </w:rPr>
      </w:pPr>
      <w:r>
        <w:rPr>
          <w:rFonts w:eastAsia="Times New Roman"/>
          <w:color w:val="000000"/>
          <w:sz w:val="20"/>
          <w:szCs w:val="20"/>
        </w:rPr>
        <w:t>•“OCI” means other comprehensive income</w:t>
      </w:r>
    </w:p>
    <w:p w:rsidR="00000000" w:rsidRDefault="005B0BC3">
      <w:pPr>
        <w:ind w:firstLine="360"/>
        <w:textAlignment w:val="top"/>
        <w:divId w:val="1656488195"/>
        <w:rPr>
          <w:rFonts w:eastAsia="Times New Roman"/>
        </w:rPr>
      </w:pPr>
      <w:r>
        <w:rPr>
          <w:rFonts w:eastAsia="Times New Roman"/>
          <w:color w:val="000000"/>
          <w:sz w:val="20"/>
          <w:szCs w:val="20"/>
        </w:rPr>
        <w:t>•“OTC” means over-the-counter</w:t>
      </w:r>
    </w:p>
    <w:p w:rsidR="00000000" w:rsidRDefault="005B0BC3">
      <w:pPr>
        <w:ind w:firstLine="360"/>
        <w:textAlignment w:val="top"/>
        <w:divId w:val="1543781705"/>
        <w:rPr>
          <w:rFonts w:eastAsia="Times New Roman"/>
        </w:rPr>
      </w:pPr>
      <w:r>
        <w:rPr>
          <w:rFonts w:eastAsia="Times New Roman"/>
          <w:color w:val="000000"/>
          <w:sz w:val="20"/>
          <w:szCs w:val="20"/>
        </w:rPr>
        <w:t>•“PBO” means projected benefit obligation</w:t>
      </w:r>
    </w:p>
    <w:p w:rsidR="00000000" w:rsidRDefault="005B0BC3">
      <w:pPr>
        <w:textAlignment w:val="top"/>
        <w:divId w:val="799495707"/>
        <w:rPr>
          <w:rFonts w:eastAsia="Times New Roman"/>
        </w:rPr>
      </w:pPr>
      <w:r>
        <w:rPr>
          <w:rFonts w:eastAsia="Times New Roman"/>
          <w:color w:val="000000"/>
          <w:sz w:val="20"/>
          <w:szCs w:val="20"/>
        </w:rPr>
        <w:t>•“PD” means probability of default</w:t>
      </w:r>
    </w:p>
    <w:p w:rsidR="00000000" w:rsidRDefault="005B0BC3">
      <w:pPr>
        <w:ind w:hanging="360"/>
        <w:textAlignment w:val="top"/>
        <w:divId w:val="1861892793"/>
        <w:rPr>
          <w:rFonts w:eastAsia="Times New Roman"/>
        </w:rPr>
      </w:pPr>
      <w:r>
        <w:rPr>
          <w:rFonts w:eastAsia="Times New Roman"/>
          <w:color w:val="000000"/>
          <w:sz w:val="20"/>
          <w:szCs w:val="20"/>
        </w:rPr>
        <w:t xml:space="preserve">•“Pension Act” </w:t>
      </w:r>
      <w:r>
        <w:rPr>
          <w:rFonts w:eastAsia="Times New Roman"/>
          <w:color w:val="000000"/>
          <w:sz w:val="20"/>
          <w:szCs w:val="20"/>
        </w:rPr>
        <w:t>means Pension Protection Act of 2006</w:t>
      </w:r>
    </w:p>
    <w:p w:rsidR="00000000" w:rsidRDefault="005B0BC3">
      <w:pPr>
        <w:ind w:hanging="360"/>
        <w:textAlignment w:val="top"/>
        <w:divId w:val="1633318006"/>
        <w:rPr>
          <w:rFonts w:eastAsia="Times New Roman"/>
        </w:rPr>
      </w:pPr>
      <w:r>
        <w:rPr>
          <w:rFonts w:eastAsia="Times New Roman"/>
          <w:color w:val="000000"/>
          <w:sz w:val="20"/>
          <w:szCs w:val="20"/>
        </w:rPr>
        <w:t xml:space="preserve">•“Performance Share Plan” means AXA International Performance Shares Plan </w:t>
      </w:r>
    </w:p>
    <w:p w:rsidR="00000000" w:rsidRDefault="005B0BC3">
      <w:pPr>
        <w:ind w:firstLine="360"/>
        <w:textAlignment w:val="top"/>
        <w:divId w:val="41637185"/>
        <w:rPr>
          <w:rFonts w:eastAsia="Times New Roman"/>
        </w:rPr>
      </w:pPr>
      <w:r>
        <w:rPr>
          <w:rFonts w:eastAsia="Times New Roman"/>
          <w:color w:val="000000"/>
          <w:sz w:val="20"/>
          <w:szCs w:val="20"/>
        </w:rPr>
        <w:t>•“PFBL” means profits followed by losses</w:t>
      </w:r>
    </w:p>
    <w:p w:rsidR="00000000" w:rsidRDefault="005B0BC3">
      <w:pPr>
        <w:ind w:firstLine="360"/>
        <w:textAlignment w:val="top"/>
        <w:divId w:val="1247694232"/>
        <w:rPr>
          <w:rFonts w:eastAsia="Times New Roman"/>
        </w:rPr>
      </w:pPr>
      <w:r>
        <w:rPr>
          <w:rFonts w:eastAsia="Times New Roman"/>
          <w:color w:val="000000"/>
          <w:sz w:val="20"/>
          <w:szCs w:val="20"/>
        </w:rPr>
        <w:t>•“R&amp;P” means retirement and protection</w:t>
      </w:r>
    </w:p>
    <w:p w:rsidR="00000000" w:rsidRDefault="005B0BC3">
      <w:pPr>
        <w:ind w:hanging="360"/>
        <w:jc w:val="both"/>
        <w:textAlignment w:val="top"/>
        <w:divId w:val="1592011769"/>
        <w:rPr>
          <w:rFonts w:eastAsia="Times New Roman"/>
        </w:rPr>
      </w:pPr>
      <w:r>
        <w:rPr>
          <w:rFonts w:eastAsia="Times New Roman"/>
          <w:color w:val="000000"/>
          <w:sz w:val="20"/>
          <w:szCs w:val="20"/>
        </w:rPr>
        <w:t>•“RBG” means the Retirement Benefits Group, a specialized divisi</w:t>
      </w:r>
      <w:r>
        <w:rPr>
          <w:rFonts w:eastAsia="Times New Roman"/>
          <w:color w:val="000000"/>
          <w:sz w:val="20"/>
          <w:szCs w:val="20"/>
        </w:rPr>
        <w:t>on of Equitable Advisors</w:t>
      </w:r>
    </w:p>
    <w:p w:rsidR="00000000" w:rsidRDefault="005B0BC3">
      <w:pPr>
        <w:textAlignment w:val="top"/>
        <w:divId w:val="164439918"/>
        <w:rPr>
          <w:rFonts w:eastAsia="Times New Roman"/>
        </w:rPr>
      </w:pPr>
      <w:r>
        <w:rPr>
          <w:rFonts w:eastAsia="Times New Roman"/>
          <w:color w:val="000000"/>
          <w:sz w:val="20"/>
          <w:szCs w:val="20"/>
        </w:rPr>
        <w:t>•“REIT” means real estate investment trusts</w:t>
      </w:r>
    </w:p>
    <w:p w:rsidR="00000000" w:rsidRDefault="005B0BC3">
      <w:pPr>
        <w:textAlignment w:val="top"/>
        <w:divId w:val="687488750"/>
        <w:rPr>
          <w:rFonts w:eastAsia="Times New Roman"/>
        </w:rPr>
      </w:pPr>
      <w:r>
        <w:rPr>
          <w:rFonts w:eastAsia="Times New Roman"/>
          <w:color w:val="000000"/>
          <w:sz w:val="20"/>
          <w:szCs w:val="20"/>
        </w:rPr>
        <w:t>•“RMD” means required minimum distributions</w:t>
      </w:r>
    </w:p>
    <w:p w:rsidR="00000000" w:rsidRDefault="005B0BC3">
      <w:pPr>
        <w:textAlignment w:val="top"/>
        <w:divId w:val="1009141096"/>
        <w:rPr>
          <w:rFonts w:eastAsia="Times New Roman"/>
        </w:rPr>
      </w:pPr>
      <w:r>
        <w:rPr>
          <w:rFonts w:eastAsia="Times New Roman"/>
          <w:color w:val="000000"/>
          <w:sz w:val="20"/>
          <w:szCs w:val="20"/>
        </w:rPr>
        <w:t>•“RoU” means right of use</w:t>
      </w:r>
    </w:p>
    <w:p w:rsidR="00000000" w:rsidRDefault="005B0BC3">
      <w:pPr>
        <w:textAlignment w:val="top"/>
        <w:divId w:val="1392771433"/>
        <w:rPr>
          <w:rFonts w:eastAsia="Times New Roman"/>
        </w:rPr>
      </w:pPr>
      <w:r>
        <w:rPr>
          <w:rFonts w:eastAsia="Times New Roman"/>
          <w:color w:val="000000"/>
          <w:sz w:val="20"/>
          <w:szCs w:val="20"/>
        </w:rPr>
        <w:t>•“RSUs” means restricted stock units</w:t>
      </w:r>
    </w:p>
    <w:p w:rsidR="00000000" w:rsidRDefault="005B0BC3">
      <w:pPr>
        <w:ind w:firstLine="360"/>
        <w:textAlignment w:val="top"/>
        <w:divId w:val="556546810"/>
        <w:rPr>
          <w:rFonts w:eastAsia="Times New Roman"/>
        </w:rPr>
      </w:pPr>
      <w:r>
        <w:rPr>
          <w:rFonts w:eastAsia="Times New Roman"/>
          <w:color w:val="000000"/>
          <w:sz w:val="20"/>
          <w:szCs w:val="20"/>
        </w:rPr>
        <w:t>•“RTM” means reversion to the mean</w:t>
      </w:r>
    </w:p>
    <w:p w:rsidR="00000000" w:rsidRDefault="005B0BC3">
      <w:pPr>
        <w:textAlignment w:val="top"/>
        <w:divId w:val="420218436"/>
        <w:rPr>
          <w:rFonts w:eastAsia="Times New Roman"/>
        </w:rPr>
      </w:pPr>
      <w:r>
        <w:rPr>
          <w:rFonts w:eastAsia="Times New Roman"/>
          <w:color w:val="000000"/>
          <w:sz w:val="20"/>
          <w:szCs w:val="20"/>
        </w:rPr>
        <w:t xml:space="preserve">•“SAP” </w:t>
      </w:r>
      <w:r>
        <w:rPr>
          <w:rFonts w:eastAsia="Times New Roman"/>
          <w:color w:val="000000"/>
          <w:sz w:val="20"/>
          <w:szCs w:val="20"/>
        </w:rPr>
        <w:t>means statutory accounting principles</w:t>
      </w:r>
    </w:p>
    <w:p w:rsidR="00000000" w:rsidRDefault="005B0BC3">
      <w:pPr>
        <w:ind w:hanging="360"/>
        <w:jc w:val="both"/>
        <w:textAlignment w:val="top"/>
        <w:divId w:val="2020161183"/>
        <w:rPr>
          <w:rFonts w:eastAsia="Times New Roman"/>
        </w:rPr>
      </w:pPr>
      <w:r>
        <w:rPr>
          <w:rFonts w:eastAsia="Times New Roman"/>
          <w:color w:val="000000"/>
          <w:sz w:val="20"/>
          <w:szCs w:val="20"/>
        </w:rPr>
        <w:t>•“SCB LLC” means Sanford C. Bernstein &amp; Co., LLC, a registered investment adviser and broker-dealer.</w:t>
      </w:r>
    </w:p>
    <w:p w:rsidR="00000000" w:rsidRDefault="005B0BC3">
      <w:pPr>
        <w:ind w:hanging="360"/>
        <w:textAlignment w:val="top"/>
        <w:divId w:val="306201293"/>
        <w:rPr>
          <w:rFonts w:eastAsia="Times New Roman"/>
        </w:rPr>
      </w:pPr>
      <w:r>
        <w:rPr>
          <w:rFonts w:eastAsia="Times New Roman"/>
          <w:color w:val="000000"/>
          <w:sz w:val="20"/>
          <w:szCs w:val="20"/>
        </w:rPr>
        <w:t>•“SCBL” means Sanford C. Bernstein Limited</w:t>
      </w:r>
    </w:p>
    <w:p w:rsidR="00000000" w:rsidRDefault="005B0BC3">
      <w:pPr>
        <w:ind w:hanging="360"/>
        <w:textAlignment w:val="top"/>
        <w:divId w:val="1451780970"/>
        <w:rPr>
          <w:rFonts w:eastAsia="Times New Roman"/>
        </w:rPr>
      </w:pPr>
      <w:r>
        <w:rPr>
          <w:rFonts w:eastAsia="Times New Roman"/>
          <w:color w:val="000000"/>
          <w:sz w:val="20"/>
          <w:szCs w:val="20"/>
        </w:rPr>
        <w:t>•“SCS” means Structured Capital Strategies</w:t>
      </w:r>
    </w:p>
    <w:p w:rsidR="00000000" w:rsidRDefault="005B0BC3">
      <w:pPr>
        <w:ind w:hanging="360"/>
        <w:jc w:val="both"/>
        <w:textAlignment w:val="top"/>
        <w:divId w:val="1884250869"/>
        <w:rPr>
          <w:rFonts w:eastAsia="Times New Roman"/>
        </w:rPr>
      </w:pPr>
      <w:r>
        <w:rPr>
          <w:rFonts w:eastAsia="Times New Roman"/>
          <w:color w:val="000000"/>
          <w:sz w:val="20"/>
          <w:szCs w:val="20"/>
        </w:rPr>
        <w:t>•“SEC” means U.S. Securities an</w:t>
      </w:r>
      <w:r>
        <w:rPr>
          <w:rFonts w:eastAsia="Times New Roman"/>
          <w:color w:val="000000"/>
          <w:sz w:val="20"/>
          <w:szCs w:val="20"/>
        </w:rPr>
        <w:t>d Exchange Commission</w:t>
      </w:r>
    </w:p>
    <w:p w:rsidR="00000000" w:rsidRDefault="005B0BC3">
      <w:pPr>
        <w:ind w:hanging="360"/>
        <w:textAlignment w:val="top"/>
        <w:divId w:val="74210012"/>
        <w:rPr>
          <w:rFonts w:eastAsia="Times New Roman"/>
        </w:rPr>
      </w:pPr>
      <w:r>
        <w:rPr>
          <w:rFonts w:eastAsia="Times New Roman"/>
          <w:color w:val="000000"/>
          <w:sz w:val="20"/>
          <w:szCs w:val="20"/>
        </w:rPr>
        <w:t>•“Series A Preferred Stock” means Holdings’ Series A Fixed Rate Noncumulative Perpetual Preferred Stock</w:t>
      </w:r>
    </w:p>
    <w:p w:rsidR="00000000" w:rsidRDefault="005B0BC3">
      <w:pPr>
        <w:ind w:hanging="360"/>
        <w:textAlignment w:val="top"/>
        <w:divId w:val="1498110488"/>
        <w:rPr>
          <w:rFonts w:eastAsia="Times New Roman"/>
        </w:rPr>
      </w:pPr>
      <w:r>
        <w:rPr>
          <w:rFonts w:eastAsia="Times New Roman"/>
          <w:color w:val="000000"/>
          <w:sz w:val="20"/>
          <w:szCs w:val="20"/>
        </w:rPr>
        <w:t>•“Series B Preferred Stock” means Holdings’ Series B Fixed Rate Reset Noncumulative Perpetual Preferred Stock</w:t>
      </w:r>
    </w:p>
    <w:p w:rsidR="00000000" w:rsidRDefault="005B0BC3">
      <w:pPr>
        <w:ind w:hanging="360"/>
        <w:textAlignment w:val="top"/>
        <w:divId w:val="1848788148"/>
        <w:rPr>
          <w:rFonts w:eastAsia="Times New Roman"/>
        </w:rPr>
      </w:pPr>
      <w:r>
        <w:rPr>
          <w:rFonts w:eastAsia="Times New Roman"/>
          <w:color w:val="000000"/>
          <w:sz w:val="20"/>
          <w:szCs w:val="20"/>
        </w:rPr>
        <w:t>•“Series C Preferred</w:t>
      </w:r>
      <w:r>
        <w:rPr>
          <w:rFonts w:eastAsia="Times New Roman"/>
          <w:color w:val="000000"/>
          <w:sz w:val="20"/>
          <w:szCs w:val="20"/>
        </w:rPr>
        <w:t xml:space="preserve"> Stock” means Holdings’ Series C Fixed Rate Reset Noncumulative Perpetual Preferred Stock</w:t>
      </w:r>
    </w:p>
    <w:p w:rsidR="00000000" w:rsidRDefault="005B0BC3">
      <w:pPr>
        <w:ind w:hanging="360"/>
        <w:jc w:val="both"/>
        <w:textAlignment w:val="top"/>
        <w:divId w:val="1366247499"/>
        <w:rPr>
          <w:rFonts w:eastAsia="Times New Roman"/>
        </w:rPr>
      </w:pPr>
      <w:r>
        <w:rPr>
          <w:rFonts w:eastAsia="Times New Roman"/>
          <w:color w:val="000000"/>
          <w:sz w:val="20"/>
          <w:szCs w:val="20"/>
        </w:rPr>
        <w:t>•“SIO” means structured investment option</w:t>
      </w:r>
    </w:p>
    <w:p w:rsidR="00000000" w:rsidRDefault="005B0BC3">
      <w:pPr>
        <w:ind w:hanging="360"/>
        <w:textAlignment w:val="top"/>
        <w:divId w:val="343242791"/>
        <w:rPr>
          <w:rFonts w:eastAsia="Times New Roman"/>
        </w:rPr>
      </w:pPr>
      <w:r>
        <w:rPr>
          <w:rFonts w:eastAsia="Times New Roman"/>
          <w:color w:val="000000"/>
          <w:sz w:val="20"/>
          <w:szCs w:val="20"/>
        </w:rPr>
        <w:t xml:space="preserve">•“SPE” means special purpose entity </w:t>
      </w:r>
    </w:p>
    <w:p w:rsidR="00000000" w:rsidRDefault="005B0BC3">
      <w:pPr>
        <w:ind w:hanging="360"/>
        <w:textAlignment w:val="top"/>
        <w:divId w:val="351877842"/>
        <w:rPr>
          <w:rFonts w:eastAsia="Times New Roman"/>
        </w:rPr>
      </w:pPr>
      <w:r>
        <w:rPr>
          <w:rFonts w:eastAsia="Times New Roman"/>
          <w:color w:val="000000"/>
          <w:sz w:val="20"/>
          <w:szCs w:val="20"/>
        </w:rPr>
        <w:t>•“Stock Option Plan” means AXA Stock Option Plan for AXA Financial Employees and Associ</w:t>
      </w:r>
      <w:r>
        <w:rPr>
          <w:rFonts w:eastAsia="Times New Roman"/>
          <w:color w:val="000000"/>
          <w:sz w:val="20"/>
          <w:szCs w:val="20"/>
        </w:rPr>
        <w:t>ates</w:t>
      </w:r>
    </w:p>
    <w:p w:rsidR="00000000" w:rsidRDefault="005B0BC3">
      <w:pPr>
        <w:ind w:firstLine="360"/>
        <w:textAlignment w:val="top"/>
        <w:divId w:val="815535825"/>
        <w:rPr>
          <w:rFonts w:eastAsia="Times New Roman"/>
        </w:rPr>
      </w:pPr>
      <w:r>
        <w:rPr>
          <w:rFonts w:eastAsia="Times New Roman"/>
          <w:color w:val="000000"/>
          <w:sz w:val="20"/>
          <w:szCs w:val="20"/>
        </w:rPr>
        <w:t>•“SVO” means Securities Valuation Office</w:t>
      </w:r>
    </w:p>
    <w:p w:rsidR="00000000" w:rsidRDefault="005B0BC3">
      <w:pPr>
        <w:ind w:firstLine="360"/>
        <w:textAlignment w:val="top"/>
        <w:divId w:val="1345935296"/>
        <w:rPr>
          <w:rFonts w:eastAsia="Times New Roman"/>
        </w:rPr>
      </w:pPr>
      <w:r>
        <w:rPr>
          <w:rFonts w:eastAsia="Times New Roman"/>
          <w:color w:val="000000"/>
          <w:sz w:val="20"/>
          <w:szCs w:val="20"/>
        </w:rPr>
        <w:t>•“TDRs” means troubled debt restructurings</w:t>
      </w:r>
    </w:p>
    <w:p w:rsidR="00000000" w:rsidRDefault="005B0BC3">
      <w:pPr>
        <w:ind w:hanging="360"/>
        <w:textAlignment w:val="top"/>
        <w:divId w:val="122890429"/>
        <w:rPr>
          <w:rFonts w:eastAsia="Times New Roman"/>
        </w:rPr>
      </w:pPr>
      <w:r>
        <w:rPr>
          <w:rFonts w:eastAsia="Times New Roman"/>
          <w:color w:val="000000"/>
          <w:sz w:val="20"/>
          <w:szCs w:val="20"/>
        </w:rPr>
        <w:t>•“TIPS” means treasury inflation-protected securities</w:t>
      </w:r>
    </w:p>
    <w:p w:rsidR="00000000" w:rsidRDefault="005B0BC3">
      <w:pPr>
        <w:textAlignment w:val="top"/>
        <w:divId w:val="1793204633"/>
        <w:rPr>
          <w:rFonts w:eastAsia="Times New Roman"/>
        </w:rPr>
      </w:pPr>
      <w:r>
        <w:rPr>
          <w:rFonts w:eastAsia="Times New Roman"/>
          <w:color w:val="000000"/>
          <w:sz w:val="20"/>
          <w:szCs w:val="20"/>
        </w:rPr>
        <w:t>•“TLA” means trademark license agreement</w:t>
      </w:r>
    </w:p>
    <w:p w:rsidR="00000000" w:rsidRDefault="005B0BC3">
      <w:pPr>
        <w:textAlignment w:val="top"/>
        <w:divId w:val="2059934131"/>
        <w:rPr>
          <w:rFonts w:eastAsia="Times New Roman"/>
        </w:rPr>
      </w:pPr>
      <w:r>
        <w:rPr>
          <w:rFonts w:eastAsia="Times New Roman"/>
          <w:color w:val="000000"/>
          <w:sz w:val="20"/>
          <w:szCs w:val="20"/>
        </w:rPr>
        <w:t xml:space="preserve">•“TSA” </w:t>
      </w:r>
      <w:r>
        <w:rPr>
          <w:rFonts w:eastAsia="Times New Roman"/>
          <w:color w:val="000000"/>
          <w:sz w:val="20"/>
          <w:szCs w:val="20"/>
        </w:rPr>
        <w:t>means transitional service agreement</w:t>
      </w:r>
    </w:p>
    <w:p w:rsidR="00000000" w:rsidRDefault="005B0BC3">
      <w:pPr>
        <w:ind w:hanging="360"/>
        <w:textAlignment w:val="top"/>
        <w:divId w:val="108739354"/>
        <w:rPr>
          <w:rFonts w:eastAsia="Times New Roman"/>
        </w:rPr>
      </w:pPr>
      <w:r>
        <w:rPr>
          <w:rFonts w:eastAsia="Times New Roman"/>
          <w:color w:val="000000"/>
          <w:sz w:val="20"/>
          <w:szCs w:val="20"/>
        </w:rPr>
        <w:t>•“U.S. GAAP” means accounting principles generally accepted in the United States of America</w:t>
      </w:r>
    </w:p>
    <w:p w:rsidR="00000000" w:rsidRDefault="005B0BC3">
      <w:pPr>
        <w:ind w:hanging="360"/>
        <w:jc w:val="both"/>
        <w:textAlignment w:val="top"/>
        <w:divId w:val="1625622812"/>
        <w:rPr>
          <w:rFonts w:eastAsia="Times New Roman"/>
        </w:rPr>
      </w:pPr>
      <w:r>
        <w:rPr>
          <w:rFonts w:eastAsia="Times New Roman"/>
          <w:color w:val="000000"/>
          <w:sz w:val="20"/>
          <w:szCs w:val="20"/>
        </w:rPr>
        <w:t>•“UL” means universal life</w:t>
      </w:r>
    </w:p>
    <w:p w:rsidR="00000000" w:rsidRDefault="005B0BC3">
      <w:pPr>
        <w:ind w:hanging="360"/>
        <w:textAlignment w:val="top"/>
        <w:divId w:val="238096619"/>
        <w:rPr>
          <w:rFonts w:eastAsia="Times New Roman"/>
        </w:rPr>
      </w:pPr>
      <w:r>
        <w:rPr>
          <w:rFonts w:eastAsia="Times New Roman"/>
          <w:color w:val="000000"/>
          <w:sz w:val="20"/>
          <w:szCs w:val="20"/>
        </w:rPr>
        <w:t>•“ULSG” means universal life products with secondary guarantee</w:t>
      </w:r>
    </w:p>
    <w:p w:rsidR="00000000" w:rsidRDefault="005B0BC3">
      <w:pPr>
        <w:ind w:hanging="360"/>
        <w:textAlignment w:val="top"/>
        <w:divId w:val="240993705"/>
        <w:rPr>
          <w:rFonts w:eastAsia="Times New Roman"/>
        </w:rPr>
      </w:pPr>
      <w:r>
        <w:rPr>
          <w:rFonts w:eastAsia="Times New Roman"/>
          <w:color w:val="000000"/>
          <w:sz w:val="20"/>
          <w:szCs w:val="20"/>
        </w:rPr>
        <w:t>•“USFL” means U.S. Financial Life Ins</w:t>
      </w:r>
      <w:r>
        <w:rPr>
          <w:rFonts w:eastAsia="Times New Roman"/>
          <w:color w:val="000000"/>
          <w:sz w:val="20"/>
          <w:szCs w:val="20"/>
        </w:rPr>
        <w:t>urance Company</w:t>
      </w:r>
    </w:p>
    <w:p w:rsidR="00000000" w:rsidRDefault="005B0BC3">
      <w:pPr>
        <w:ind w:hanging="360"/>
        <w:textAlignment w:val="top"/>
        <w:divId w:val="1939947121"/>
        <w:rPr>
          <w:rFonts w:eastAsia="Times New Roman"/>
        </w:rPr>
      </w:pPr>
      <w:r>
        <w:rPr>
          <w:rFonts w:eastAsia="Times New Roman"/>
          <w:color w:val="000000"/>
          <w:sz w:val="20"/>
          <w:szCs w:val="20"/>
        </w:rPr>
        <w:t>•“Venerable” means Venerable Holdings, Inc., a Delaware corporation</w:t>
      </w:r>
    </w:p>
    <w:p w:rsidR="00000000" w:rsidRDefault="005B0BC3">
      <w:pPr>
        <w:ind w:hanging="360"/>
        <w:textAlignment w:val="top"/>
        <w:divId w:val="2130316403"/>
        <w:rPr>
          <w:rFonts w:eastAsia="Times New Roman"/>
        </w:rPr>
      </w:pPr>
      <w:r>
        <w:rPr>
          <w:rFonts w:eastAsia="Times New Roman"/>
          <w:color w:val="000000"/>
          <w:sz w:val="20"/>
          <w:szCs w:val="20"/>
        </w:rPr>
        <w:t>•“VIAC” means Venerable Insurance and Annuity Company</w:t>
      </w:r>
    </w:p>
    <w:p w:rsidR="00000000" w:rsidRDefault="005B0BC3">
      <w:pPr>
        <w:textAlignment w:val="top"/>
        <w:divId w:val="859666677"/>
        <w:rPr>
          <w:rFonts w:eastAsia="Times New Roman"/>
        </w:rPr>
      </w:pPr>
      <w:r>
        <w:rPr>
          <w:rFonts w:eastAsia="Times New Roman"/>
          <w:color w:val="000000"/>
          <w:sz w:val="20"/>
          <w:szCs w:val="20"/>
        </w:rPr>
        <w:t>•“VIE” means variable interest entity</w:t>
      </w:r>
    </w:p>
    <w:p w:rsidR="00000000" w:rsidRDefault="005B0BC3">
      <w:pPr>
        <w:textAlignment w:val="top"/>
        <w:divId w:val="18088629"/>
        <w:rPr>
          <w:rFonts w:eastAsia="Times New Roman"/>
        </w:rPr>
      </w:pPr>
      <w:r>
        <w:rPr>
          <w:rFonts w:eastAsia="Times New Roman"/>
          <w:color w:val="000000"/>
          <w:sz w:val="20"/>
          <w:szCs w:val="20"/>
        </w:rPr>
        <w:t>•“VISL” means variable interest-sensitive life</w:t>
      </w:r>
    </w:p>
    <w:p w:rsidR="00000000" w:rsidRDefault="005B0BC3">
      <w:pPr>
        <w:textAlignment w:val="top"/>
        <w:divId w:val="1531188392"/>
        <w:rPr>
          <w:rFonts w:eastAsia="Times New Roman"/>
        </w:rPr>
      </w:pPr>
      <w:r>
        <w:rPr>
          <w:rFonts w:eastAsia="Times New Roman"/>
          <w:color w:val="000000"/>
          <w:sz w:val="20"/>
          <w:szCs w:val="20"/>
        </w:rPr>
        <w:t>•“VOE” means voting interest entit</w:t>
      </w:r>
      <w:r>
        <w:rPr>
          <w:rFonts w:eastAsia="Times New Roman"/>
          <w:color w:val="000000"/>
          <w:sz w:val="20"/>
          <w:szCs w:val="20"/>
        </w:rPr>
        <w:t>y</w:t>
      </w:r>
    </w:p>
    <w:p w:rsidR="00000000" w:rsidRDefault="005B0BC3">
      <w:pPr>
        <w:ind w:hanging="360"/>
        <w:textAlignment w:val="top"/>
        <w:divId w:val="193083664"/>
        <w:rPr>
          <w:rFonts w:eastAsia="Times New Roman"/>
        </w:rPr>
      </w:pPr>
      <w:r>
        <w:rPr>
          <w:rFonts w:eastAsia="Times New Roman"/>
          <w:color w:val="000000"/>
          <w:sz w:val="20"/>
          <w:szCs w:val="20"/>
        </w:rPr>
        <w:t>•“VUL” means variable universal life</w:t>
      </w:r>
    </w:p>
    <w:p w:rsidR="00000000" w:rsidRDefault="005B0BC3">
      <w:pPr>
        <w:jc w:val="center"/>
        <w:divId w:val="554439259"/>
        <w:rPr>
          <w:rFonts w:eastAsia="Times New Roman"/>
        </w:rPr>
      </w:pPr>
      <w:r>
        <w:rPr>
          <w:rFonts w:eastAsia="Times New Roman"/>
          <w:color w:val="000000"/>
          <w:sz w:val="20"/>
          <w:szCs w:val="20"/>
        </w:rPr>
        <w:t>248</w:t>
      </w:r>
    </w:p>
    <w:p w:rsidR="00000000" w:rsidRDefault="005B0BC3">
      <w:pPr>
        <w:rPr>
          <w:rFonts w:eastAsia="Times New Roman"/>
        </w:rPr>
      </w:pPr>
      <w:r>
        <w:rPr>
          <w:rFonts w:eastAsia="Times New Roman"/>
        </w:rPr>
        <w:pict>
          <v:rect id="_x0000_i1286" style="width:0;height:1.5pt" o:hralign="center" o:hrstd="t" o:hr="t" fillcolor="#a0a0a0" stroked="f"/>
        </w:pict>
      </w:r>
    </w:p>
    <w:p w:rsidR="00000000" w:rsidRDefault="005B0BC3">
      <w:pPr>
        <w:divId w:val="1824346184"/>
        <w:rPr>
          <w:rFonts w:eastAsia="Times New Roman"/>
        </w:rPr>
      </w:pPr>
      <w:hyperlink w:anchor="i2ac35847634046b3a89f93d9b422e8f5_421" w:history="1">
        <w:r>
          <w:rPr>
            <w:rStyle w:val="a3"/>
            <w:rFonts w:eastAsia="Times New Roman"/>
            <w:b/>
            <w:bCs/>
            <w:sz w:val="20"/>
            <w:szCs w:val="20"/>
          </w:rPr>
          <w:t>Table of Contents</w:t>
        </w:r>
      </w:hyperlink>
    </w:p>
    <w:p w:rsidR="00000000" w:rsidRDefault="005B0BC3">
      <w:pPr>
        <w:ind w:firstLine="360"/>
        <w:divId w:val="497119651"/>
        <w:rPr>
          <w:rFonts w:eastAsia="Times New Roman"/>
        </w:rPr>
      </w:pPr>
    </w:p>
    <w:p w:rsidR="00000000" w:rsidRDefault="005B0BC3">
      <w:pPr>
        <w:jc w:val="center"/>
        <w:divId w:val="843982808"/>
        <w:rPr>
          <w:rFonts w:eastAsia="Times New Roman"/>
        </w:rPr>
      </w:pPr>
      <w:r>
        <w:rPr>
          <w:rFonts w:eastAsia="Times New Roman"/>
          <w:b/>
          <w:bCs/>
          <w:color w:val="000000"/>
          <w:sz w:val="20"/>
          <w:szCs w:val="20"/>
        </w:rPr>
        <w:t>INDEX TO EXHIBITS</w:t>
      </w:r>
    </w:p>
    <w:tbl>
      <w:tblPr>
        <w:tblW w:w="4992" w:type="pct"/>
        <w:tblCellMar>
          <w:top w:w="15" w:type="dxa"/>
          <w:left w:w="15" w:type="dxa"/>
          <w:bottom w:w="15" w:type="dxa"/>
          <w:right w:w="15" w:type="dxa"/>
        </w:tblCellMar>
        <w:tblLook w:val="04A0" w:firstRow="1" w:lastRow="0" w:firstColumn="1" w:lastColumn="0" w:noHBand="0" w:noVBand="1"/>
      </w:tblPr>
      <w:tblGrid>
        <w:gridCol w:w="85"/>
        <w:gridCol w:w="659"/>
        <w:gridCol w:w="36"/>
        <w:gridCol w:w="36"/>
        <w:gridCol w:w="36"/>
        <w:gridCol w:w="36"/>
        <w:gridCol w:w="38"/>
        <w:gridCol w:w="7330"/>
        <w:gridCol w:w="37"/>
      </w:tblGrid>
      <w:tr w:rsidR="00000000">
        <w:trPr>
          <w:divId w:val="481241754"/>
        </w:trPr>
        <w:tc>
          <w:tcPr>
            <w:tcW w:w="50" w:type="pct"/>
            <w:vAlign w:val="center"/>
            <w:hideMark/>
          </w:tcPr>
          <w:p w:rsidR="00000000" w:rsidRDefault="005B0BC3">
            <w:pPr>
              <w:jc w:val="center"/>
              <w:rPr>
                <w:rFonts w:eastAsia="Times New Roman"/>
              </w:rPr>
            </w:pPr>
          </w:p>
        </w:tc>
        <w:tc>
          <w:tcPr>
            <w:tcW w:w="39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46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481241754"/>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r>
              <w:rPr>
                <w:rFonts w:eastAsia="Times New Roman"/>
                <w:b/>
                <w:bCs/>
                <w:color w:val="000000"/>
                <w:sz w:val="20"/>
                <w:szCs w:val="20"/>
              </w:rPr>
              <w:t xml:space="preserve">Exhibit Number </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r>
              <w:rPr>
                <w:rFonts w:eastAsia="Times New Roman"/>
                <w:b/>
                <w:bCs/>
                <w:color w:val="000000"/>
                <w:sz w:val="20"/>
                <w:szCs w:val="20"/>
              </w:rPr>
              <w:t>Exhibit Description</w:t>
            </w:r>
          </w:p>
        </w:tc>
      </w:tr>
      <w:tr w:rsidR="00000000">
        <w:trPr>
          <w:divId w:val="481241754"/>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18" w:history="1">
              <w:r>
                <w:rPr>
                  <w:rStyle w:val="a3"/>
                  <w:rFonts w:eastAsia="Times New Roman"/>
                  <w:sz w:val="20"/>
                  <w:szCs w:val="20"/>
                </w:rPr>
                <w:t>3.1</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Amended and Restated Certificate of Incorporation of AXA Equitable Holdings, Inc. (incorporated by reference to Exhibit 3.1 to our Form 10-Q for the quarterly period ending March 31, 2018, as filed on June 20, 2018 (the “Q-1 2018 Form 10-Q”)).</w:t>
            </w:r>
          </w:p>
        </w:tc>
      </w:tr>
      <w:tr w:rsidR="00000000">
        <w:trPr>
          <w:divId w:val="481241754"/>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19" w:history="1">
              <w:r>
                <w:rPr>
                  <w:rStyle w:val="a3"/>
                  <w:rFonts w:eastAsia="Times New Roman"/>
                  <w:sz w:val="20"/>
                  <w:szCs w:val="20"/>
                </w:rPr>
                <w:t>3.1.1</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Certificate of Amendment of Certificate of Incorporation, effective January 13, 2020 (incorporated by reference to Exhibit 3.1 to our Form 8-K, filed on Jan</w:t>
            </w:r>
            <w:r>
              <w:rPr>
                <w:rFonts w:eastAsia="Times New Roman"/>
                <w:color w:val="000000"/>
                <w:sz w:val="20"/>
                <w:szCs w:val="20"/>
              </w:rPr>
              <w:t xml:space="preserve">uary 10, 2010). </w:t>
            </w:r>
          </w:p>
        </w:tc>
      </w:tr>
      <w:tr w:rsidR="00000000">
        <w:trPr>
          <w:divId w:val="481241754"/>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20" w:history="1">
              <w:r>
                <w:rPr>
                  <w:rStyle w:val="a3"/>
                  <w:rFonts w:eastAsia="Times New Roman"/>
                  <w:sz w:val="20"/>
                  <w:szCs w:val="20"/>
                </w:rPr>
                <w:t>3.2</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5B0BC3">
            <w:pPr>
              <w:spacing w:after="100"/>
              <w:divId w:val="640890878"/>
              <w:rPr>
                <w:rFonts w:eastAsia="Times New Roman"/>
              </w:rPr>
            </w:pPr>
            <w:r>
              <w:rPr>
                <w:rFonts w:eastAsia="Times New Roman"/>
                <w:color w:val="000000"/>
                <w:sz w:val="20"/>
                <w:szCs w:val="20"/>
              </w:rPr>
              <w:t xml:space="preserve">Fourth Amended and Restated By-laws of Equitable Holdings, Inc. (incorporated by reference to Exhibit 3.1 to our Form 8-K filed </w:t>
            </w:r>
            <w:r>
              <w:rPr>
                <w:rFonts w:eastAsia="Times New Roman"/>
                <w:color w:val="000000"/>
                <w:sz w:val="20"/>
                <w:szCs w:val="20"/>
              </w:rPr>
              <w:t>on February 17, 2021).</w:t>
            </w:r>
          </w:p>
        </w:tc>
      </w:tr>
      <w:tr w:rsidR="00000000">
        <w:trPr>
          <w:divId w:val="481241754"/>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21" w:history="1">
              <w:r>
                <w:rPr>
                  <w:rStyle w:val="a3"/>
                  <w:rFonts w:eastAsia="Times New Roman"/>
                  <w:sz w:val="20"/>
                  <w:szCs w:val="20"/>
                </w:rPr>
                <w:t>3.3</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Certificate of Designations with respect to the Series A Preferred Stock of the Company, dated November 21, 2019 (incorporated by reference to Exhibit 3.1 to our Form 8-K filed on November 21, 2019).</w:t>
            </w:r>
          </w:p>
        </w:tc>
      </w:tr>
      <w:tr w:rsidR="00000000">
        <w:trPr>
          <w:divId w:val="481241754"/>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22" w:history="1">
              <w:r>
                <w:rPr>
                  <w:rStyle w:val="a3"/>
                  <w:rFonts w:eastAsia="Times New Roman"/>
                  <w:sz w:val="20"/>
                  <w:szCs w:val="20"/>
                </w:rPr>
                <w:t>3.4</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Certificate of Designations with respect to the Series B Preferred Stock of the Company, filed August 7, 2020 (incorporated by reference to Exhibit 3.1 to our Form 8-K filed on August 11, 2020).</w:t>
            </w:r>
          </w:p>
        </w:tc>
      </w:tr>
      <w:tr w:rsidR="00000000">
        <w:trPr>
          <w:divId w:val="481241754"/>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23" w:history="1">
              <w:r>
                <w:rPr>
                  <w:rStyle w:val="a3"/>
                  <w:rFonts w:eastAsia="Times New Roman"/>
                  <w:sz w:val="20"/>
                  <w:szCs w:val="20"/>
                </w:rPr>
                <w:t>3.5</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Certificate of Designation with respect to the Series C Preferred Stock of the Company, dated January 6, 2021 (incorporated by reference to Exhibit 3.1 to our Form 8-K filed on January 6, 2021).</w:t>
            </w:r>
          </w:p>
        </w:tc>
      </w:tr>
      <w:tr w:rsidR="00000000">
        <w:trPr>
          <w:divId w:val="481241754"/>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24" w:history="1">
              <w:r>
                <w:rPr>
                  <w:rStyle w:val="a3"/>
                  <w:rFonts w:eastAsia="Times New Roman"/>
                  <w:sz w:val="20"/>
                  <w:szCs w:val="20"/>
                </w:rPr>
                <w:t>4.1</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Form of Common Stock Certificate (incorporated by reference to Exhibit 4.1 to the Registration Statement on Form S-1 of AXA Equitable Holdings, Inc., File No. 333-221521 (the “IPO Form S-1”)).</w:t>
            </w:r>
          </w:p>
        </w:tc>
      </w:tr>
      <w:tr w:rsidR="00000000">
        <w:trPr>
          <w:divId w:val="481241754"/>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25" w:history="1">
              <w:r>
                <w:rPr>
                  <w:rStyle w:val="a3"/>
                  <w:rFonts w:eastAsia="Times New Roman"/>
                  <w:sz w:val="20"/>
                  <w:szCs w:val="20"/>
                </w:rPr>
                <w:t>4.2</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 xml:space="preserve">Indenture, dated as of December 1, 1993 from AXA Financial, Inc. to The Bank of NY Mellon Trust Company, N.A. (formerly known as Chemical Bank), as Trustee (incorporated by reference to Exhibit 4.2 to the </w:t>
            </w:r>
            <w:r>
              <w:rPr>
                <w:rFonts w:eastAsia="Times New Roman"/>
                <w:color w:val="000000"/>
                <w:sz w:val="20"/>
                <w:szCs w:val="20"/>
              </w:rPr>
              <w:t>IPO Form S-1).</w:t>
            </w:r>
          </w:p>
        </w:tc>
      </w:tr>
      <w:tr w:rsidR="00000000">
        <w:trPr>
          <w:divId w:val="481241754"/>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26" w:history="1">
              <w:r>
                <w:rPr>
                  <w:rStyle w:val="a3"/>
                  <w:rFonts w:eastAsia="Times New Roman"/>
                  <w:sz w:val="20"/>
                  <w:szCs w:val="20"/>
                </w:rPr>
                <w:t>4.3</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Fourth Supplemental Indenture, dated April </w:t>
            </w:r>
            <w:r>
              <w:rPr>
                <w:rFonts w:eastAsia="Times New Roman"/>
                <w:color w:val="000000"/>
                <w:sz w:val="20"/>
                <w:szCs w:val="20"/>
              </w:rPr>
              <w:t>1, 1998, from AXA Financial, Inc. to The Chase Manhattan Bank (formerly known as Chemical Bank), as Trustee, together with forms of global Senior Note and global Senior Indenture (incorporated by reference to Exhibit 4.3 to the IPO Form S-1).</w:t>
            </w:r>
          </w:p>
        </w:tc>
      </w:tr>
      <w:tr w:rsidR="00000000">
        <w:trPr>
          <w:divId w:val="481241754"/>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27" w:history="1">
              <w:r>
                <w:rPr>
                  <w:rStyle w:val="a3"/>
                  <w:rFonts w:eastAsia="Times New Roman"/>
                  <w:sz w:val="20"/>
                  <w:szCs w:val="20"/>
                </w:rPr>
                <w:t>4.4</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Fifth Supplemental Indenture, dated October 1, 2018, among AXA Equitable Holdings, Inc. AXA Financial, Inc. and The Bank of NY Mellon Trust Company, N.A., as Tr</w:t>
            </w:r>
            <w:r>
              <w:rPr>
                <w:rFonts w:eastAsia="Times New Roman"/>
                <w:color w:val="000000"/>
                <w:sz w:val="20"/>
                <w:szCs w:val="20"/>
              </w:rPr>
              <w:t>ustee (incorporated by reference to Exhibit 4.1 to our Current Report on Form 8-K, filed on October 1, 2018).</w:t>
            </w:r>
          </w:p>
        </w:tc>
      </w:tr>
      <w:tr w:rsidR="00000000">
        <w:trPr>
          <w:divId w:val="481241754"/>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28" w:history="1">
              <w:r>
                <w:rPr>
                  <w:rStyle w:val="a3"/>
                  <w:rFonts w:eastAsia="Times New Roman"/>
                  <w:sz w:val="20"/>
                  <w:szCs w:val="20"/>
                </w:rPr>
                <w:t>4.5</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Indenture, dated as of April 20, 2018, among AXA Equitable Holdings, Inc., as issuer, Wilmington Saving Fund Society, FSB, as trustee, and Citibank, N.A., as security registrar and paying agent (incorporated by reference to Exhibit 4.4 to the IPO Form S-1)</w:t>
            </w:r>
            <w:r>
              <w:rPr>
                <w:rFonts w:eastAsia="Times New Roman"/>
                <w:color w:val="000000"/>
                <w:sz w:val="20"/>
                <w:szCs w:val="20"/>
              </w:rPr>
              <w:t>.</w:t>
            </w:r>
          </w:p>
        </w:tc>
      </w:tr>
      <w:tr w:rsidR="00000000">
        <w:trPr>
          <w:divId w:val="481241754"/>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29" w:history="1">
              <w:r>
                <w:rPr>
                  <w:rStyle w:val="a3"/>
                  <w:rFonts w:eastAsia="Times New Roman"/>
                  <w:sz w:val="20"/>
                  <w:szCs w:val="20"/>
                </w:rPr>
                <w:t>4.6</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First Supplemental Indenture, dated as of April 20, 2018, among AXA Equitable Holdings, Inc., as issuer, Wilmington Saving Fund Society, FSB, a</w:t>
            </w:r>
            <w:r>
              <w:rPr>
                <w:rFonts w:eastAsia="Times New Roman"/>
                <w:color w:val="000000"/>
                <w:sz w:val="20"/>
                <w:szCs w:val="20"/>
              </w:rPr>
              <w:t>s trustee, and Citibank, N.A., as security registrar and paying agent (incorporated by reference to Exhibit 4.5 to the IPO Form S-1).</w:t>
            </w:r>
          </w:p>
        </w:tc>
      </w:tr>
      <w:tr w:rsidR="00000000">
        <w:trPr>
          <w:divId w:val="481241754"/>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30" w:history="1">
              <w:r>
                <w:rPr>
                  <w:rStyle w:val="a3"/>
                  <w:rFonts w:eastAsia="Times New Roman"/>
                  <w:sz w:val="20"/>
                  <w:szCs w:val="20"/>
                </w:rPr>
                <w:t>4.7</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 xml:space="preserve">Second Supplemental Indenture, dated as of April 20, 2018, among AXA Equitable Holdings, Inc., as issuer, Wilmington Saving Fund Society, FSB, as trustee, and Citibank, N.A., as security registrar and paying agent (incorporated by reference to Exhibit 4.6 </w:t>
            </w:r>
            <w:r>
              <w:rPr>
                <w:rFonts w:eastAsia="Times New Roman"/>
                <w:color w:val="000000"/>
                <w:sz w:val="20"/>
                <w:szCs w:val="20"/>
              </w:rPr>
              <w:t>to the IPO Form S-1).</w:t>
            </w:r>
          </w:p>
        </w:tc>
      </w:tr>
      <w:tr w:rsidR="00000000">
        <w:trPr>
          <w:divId w:val="481241754"/>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31" w:history="1">
              <w:r>
                <w:rPr>
                  <w:rStyle w:val="a3"/>
                  <w:rFonts w:eastAsia="Times New Roman"/>
                  <w:sz w:val="20"/>
                  <w:szCs w:val="20"/>
                </w:rPr>
                <w:t>4.8</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 xml:space="preserve">Third Supplemental Indenture, dated as of April 20, 2018, among AXA Equitable Holdings, Inc., as issuer, Wilmington Saving </w:t>
            </w:r>
            <w:r>
              <w:rPr>
                <w:rFonts w:eastAsia="Times New Roman"/>
                <w:color w:val="000000"/>
                <w:sz w:val="20"/>
                <w:szCs w:val="20"/>
              </w:rPr>
              <w:t>Fund Society, FSB, as trustee, and Citibank, N.A., as security registrar and paying agent (incorporated by reference to Exhibit 4.7 to the IPO Form S-1).</w:t>
            </w:r>
          </w:p>
        </w:tc>
      </w:tr>
      <w:tr w:rsidR="00000000">
        <w:trPr>
          <w:divId w:val="481241754"/>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32" w:history="1">
              <w:r>
                <w:rPr>
                  <w:rStyle w:val="a3"/>
                  <w:rFonts w:eastAsia="Times New Roman"/>
                  <w:sz w:val="20"/>
                  <w:szCs w:val="20"/>
                </w:rPr>
                <w:t>4.9#</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Description of the Registrant’s Securities Registered Pursuant to Section 12 of the Securities Exchange Act of 1934.</w:t>
            </w:r>
          </w:p>
        </w:tc>
      </w:tr>
      <w:tr w:rsidR="00000000">
        <w:trPr>
          <w:divId w:val="481241754"/>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33" w:history="1">
              <w:r>
                <w:rPr>
                  <w:rStyle w:val="a3"/>
                  <w:rFonts w:eastAsia="Times New Roman"/>
                  <w:sz w:val="20"/>
                  <w:szCs w:val="20"/>
                </w:rPr>
                <w:t>10.1</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Master Agreement, dated as of April 10, 2013, by and among AXA Equitable Financial Services, LLC, AXA Financial, Inc. and Protective Life Insuranc</w:t>
            </w:r>
            <w:r>
              <w:rPr>
                <w:rFonts w:eastAsia="Times New Roman"/>
                <w:color w:val="000000"/>
                <w:sz w:val="20"/>
                <w:szCs w:val="20"/>
              </w:rPr>
              <w:t>e Company (incorporated by reference to Exhibit 10.5 to the IPO Form S-1).</w:t>
            </w:r>
          </w:p>
        </w:tc>
      </w:tr>
      <w:tr w:rsidR="00000000">
        <w:trPr>
          <w:divId w:val="481241754"/>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34" w:history="1">
              <w:r>
                <w:rPr>
                  <w:rStyle w:val="a3"/>
                  <w:rFonts w:eastAsia="Times New Roman"/>
                  <w:sz w:val="20"/>
                  <w:szCs w:val="20"/>
                </w:rPr>
                <w:t>10.2</w:t>
              </w:r>
            </w:hyperlink>
            <w:hyperlink r:id="rId35" w:history="1">
              <w:r>
                <w:rPr>
                  <w:rStyle w:val="a3"/>
                  <w:rFonts w:eastAsia="Times New Roman"/>
                  <w:sz w:val="20"/>
                  <w:szCs w:val="20"/>
                </w:rPr>
                <w:t>†</w:t>
              </w:r>
            </w:hyperlink>
          </w:p>
        </w:tc>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Employment Agreement, dated as of March 9, 2011, by and between AXA Financial, Inc. and Mark Pearson (incorporated by reference to Exhibit 10.7 to the IPO Form S-1).</w:t>
            </w:r>
          </w:p>
        </w:tc>
      </w:tr>
      <w:tr w:rsidR="00000000">
        <w:trPr>
          <w:divId w:val="481241754"/>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r>
              <w:rPr>
                <w:rFonts w:eastAsia="Times New Roman"/>
                <w:color w:val="000000"/>
                <w:sz w:val="20"/>
                <w:szCs w:val="20"/>
              </w:rPr>
              <w:t> </w:t>
            </w:r>
            <w:r>
              <w:rPr>
                <w:rFonts w:eastAsia="Times New Roman"/>
                <w:color w:val="000000"/>
                <w:sz w:val="20"/>
                <w:szCs w:val="20"/>
              </w:rPr>
              <w:t> </w:t>
            </w:r>
            <w:hyperlink r:id="rId36" w:history="1">
              <w:r>
                <w:rPr>
                  <w:rStyle w:val="a3"/>
                  <w:rFonts w:eastAsia="Times New Roman"/>
                  <w:sz w:val="20"/>
                  <w:szCs w:val="20"/>
                </w:rPr>
                <w:t>10.</w:t>
              </w:r>
            </w:hyperlink>
            <w:hyperlink r:id="rId37" w:history="1">
              <w:r>
                <w:rPr>
                  <w:rStyle w:val="a3"/>
                  <w:rFonts w:eastAsia="Times New Roman"/>
                  <w:sz w:val="20"/>
                  <w:szCs w:val="20"/>
                </w:rPr>
                <w:t>2</w:t>
              </w:r>
            </w:hyperlink>
            <w:hyperlink r:id="rId38" w:history="1">
              <w:r>
                <w:rPr>
                  <w:rStyle w:val="a3"/>
                  <w:rFonts w:eastAsia="Times New Roman"/>
                  <w:sz w:val="20"/>
                  <w:szCs w:val="20"/>
                </w:rPr>
                <w:t>.1†</w:t>
              </w:r>
            </w:hyperlink>
          </w:p>
        </w:tc>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Letter Agreement, dated February </w:t>
            </w:r>
            <w:r>
              <w:rPr>
                <w:rFonts w:eastAsia="Times New Roman"/>
                <w:color w:val="000000"/>
                <w:sz w:val="20"/>
                <w:szCs w:val="20"/>
              </w:rPr>
              <w:t>19, 2013, between AXA Financial, Inc., AXA Equitable Life Insurance Company and Mark Pearson (incorporated by reference to Exhibit 10.7.1 to the IPO Form S-1).</w:t>
            </w:r>
          </w:p>
        </w:tc>
      </w:tr>
      <w:tr w:rsidR="00000000">
        <w:trPr>
          <w:divId w:val="481241754"/>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39" w:history="1">
              <w:r>
                <w:rPr>
                  <w:rStyle w:val="a3"/>
                  <w:rFonts w:eastAsia="Times New Roman"/>
                  <w:sz w:val="20"/>
                  <w:szCs w:val="20"/>
                </w:rPr>
                <w:t>10.</w:t>
              </w:r>
            </w:hyperlink>
            <w:hyperlink r:id="rId40" w:history="1">
              <w:r>
                <w:rPr>
                  <w:rStyle w:val="a3"/>
                  <w:rFonts w:eastAsia="Times New Roman"/>
                  <w:sz w:val="20"/>
                  <w:szCs w:val="20"/>
                </w:rPr>
                <w:t>2</w:t>
              </w:r>
            </w:hyperlink>
            <w:hyperlink r:id="rId41" w:history="1">
              <w:r>
                <w:rPr>
                  <w:rStyle w:val="a3"/>
                  <w:rFonts w:eastAsia="Times New Roman"/>
                  <w:sz w:val="20"/>
                  <w:szCs w:val="20"/>
                </w:rPr>
                <w:t>.2†</w:t>
              </w:r>
            </w:hyperlink>
          </w:p>
        </w:tc>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Letter Agreement, dated May 14, 2015, between AXA Financial, Inc., AXA Equitable Life Insurance Company and Mark Pearson (incorporated by reference to Exhibit 10.7.2 to the IPO Form S-1).</w:t>
            </w:r>
          </w:p>
        </w:tc>
      </w:tr>
      <w:tr w:rsidR="00000000">
        <w:trPr>
          <w:divId w:val="481241754"/>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42" w:history="1">
              <w:r>
                <w:rPr>
                  <w:rStyle w:val="a3"/>
                  <w:rFonts w:eastAsia="Times New Roman"/>
                  <w:sz w:val="20"/>
                  <w:szCs w:val="20"/>
                </w:rPr>
                <w:t>10.</w:t>
              </w:r>
            </w:hyperlink>
            <w:hyperlink r:id="rId43" w:history="1">
              <w:r>
                <w:rPr>
                  <w:rStyle w:val="a3"/>
                  <w:rFonts w:eastAsia="Times New Roman"/>
                  <w:sz w:val="20"/>
                  <w:szCs w:val="20"/>
                </w:rPr>
                <w:t>2</w:t>
              </w:r>
            </w:hyperlink>
            <w:hyperlink r:id="rId44" w:history="1">
              <w:r>
                <w:rPr>
                  <w:rStyle w:val="a3"/>
                  <w:rFonts w:eastAsia="Times New Roman"/>
                  <w:sz w:val="20"/>
                  <w:szCs w:val="20"/>
                </w:rPr>
                <w:t>.3†</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Letter Agreement, dated February 27, 2019, between AXA Equitable Holdings, Inc., AXA Equitable Life Insurance Company and Mark Pearson. (incorporated by reference to Exhibit 10.7.3 to our Form 10-K for the fiscal year ended D</w:t>
            </w:r>
            <w:r>
              <w:rPr>
                <w:rFonts w:eastAsia="Times New Roman"/>
                <w:color w:val="000000"/>
                <w:sz w:val="20"/>
                <w:szCs w:val="20"/>
              </w:rPr>
              <w:t>ecember 31, 2018, as filed March 8, 2019 (the “2018 Form 10-K”)).</w:t>
            </w:r>
          </w:p>
        </w:tc>
      </w:tr>
      <w:tr w:rsidR="00000000">
        <w:trPr>
          <w:divId w:val="481241754"/>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45" w:history="1">
              <w:r>
                <w:rPr>
                  <w:rStyle w:val="a3"/>
                  <w:rFonts w:eastAsia="Times New Roman"/>
                  <w:sz w:val="20"/>
                  <w:szCs w:val="20"/>
                </w:rPr>
                <w:t>10.</w:t>
              </w:r>
            </w:hyperlink>
            <w:hyperlink r:id="rId46" w:history="1">
              <w:r>
                <w:rPr>
                  <w:rStyle w:val="a3"/>
                  <w:rFonts w:eastAsia="Times New Roman"/>
                  <w:sz w:val="20"/>
                  <w:szCs w:val="20"/>
                </w:rPr>
                <w:t>2</w:t>
              </w:r>
            </w:hyperlink>
            <w:hyperlink r:id="rId47" w:history="1">
              <w:r>
                <w:rPr>
                  <w:rStyle w:val="a3"/>
                  <w:rFonts w:eastAsia="Times New Roman"/>
                  <w:sz w:val="20"/>
                  <w:szCs w:val="20"/>
                </w:rPr>
                <w:t>.4†</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Waiver Agreement, dated May 9, 2019, to Mark Pearson’s Employment Agreement dated March 9, 2011 (incorporated by reference to Exhibit 10.1 to AXA Equitable Holdings, Inc.’s Form 10-</w:t>
            </w:r>
            <w:r>
              <w:rPr>
                <w:rFonts w:eastAsia="Times New Roman"/>
                <w:color w:val="000000"/>
                <w:sz w:val="20"/>
                <w:szCs w:val="20"/>
              </w:rPr>
              <w:t>Q for the quarterly period ending June 30, 2019, as filed on August 9, 2019).</w:t>
            </w:r>
          </w:p>
        </w:tc>
      </w:tr>
    </w:tbl>
    <w:p w:rsidR="00000000" w:rsidRDefault="005B0BC3">
      <w:pPr>
        <w:jc w:val="center"/>
        <w:divId w:val="1633711418"/>
        <w:rPr>
          <w:rFonts w:eastAsia="Times New Roman"/>
        </w:rPr>
      </w:pPr>
      <w:r>
        <w:rPr>
          <w:rFonts w:eastAsia="Times New Roman"/>
          <w:color w:val="000000"/>
          <w:sz w:val="20"/>
          <w:szCs w:val="20"/>
        </w:rPr>
        <w:t>249</w:t>
      </w:r>
    </w:p>
    <w:p w:rsidR="00000000" w:rsidRDefault="005B0BC3">
      <w:pPr>
        <w:rPr>
          <w:rFonts w:eastAsia="Times New Roman"/>
        </w:rPr>
      </w:pPr>
      <w:r>
        <w:rPr>
          <w:rFonts w:eastAsia="Times New Roman"/>
        </w:rPr>
        <w:pict>
          <v:rect id="_x0000_i1287" style="width:0;height:1.5pt" o:hralign="center" o:hrstd="t" o:hr="t" fillcolor="#a0a0a0" stroked="f"/>
        </w:pict>
      </w:r>
    </w:p>
    <w:p w:rsidR="00000000" w:rsidRDefault="005B0BC3">
      <w:pPr>
        <w:divId w:val="1527328867"/>
        <w:rPr>
          <w:rFonts w:eastAsia="Times New Roman"/>
        </w:rPr>
      </w:pPr>
      <w:hyperlink w:anchor="i2ac35847634046b3a89f93d9b422e8f5_421" w:history="1">
        <w:r>
          <w:rPr>
            <w:rStyle w:val="a3"/>
            <w:rFonts w:eastAsia="Times New Roman"/>
            <w:b/>
            <w:bCs/>
            <w:sz w:val="20"/>
            <w:szCs w:val="20"/>
          </w:rPr>
          <w:t>Table of Contents</w:t>
        </w:r>
      </w:hyperlink>
    </w:p>
    <w:tbl>
      <w:tblPr>
        <w:tblW w:w="4992" w:type="pct"/>
        <w:tblCellMar>
          <w:top w:w="15" w:type="dxa"/>
          <w:left w:w="15" w:type="dxa"/>
          <w:bottom w:w="15" w:type="dxa"/>
          <w:right w:w="15" w:type="dxa"/>
        </w:tblCellMar>
        <w:tblLook w:val="04A0" w:firstRow="1" w:lastRow="0" w:firstColumn="1" w:lastColumn="0" w:noHBand="0" w:noVBand="1"/>
      </w:tblPr>
      <w:tblGrid>
        <w:gridCol w:w="72"/>
        <w:gridCol w:w="614"/>
        <w:gridCol w:w="36"/>
        <w:gridCol w:w="36"/>
        <w:gridCol w:w="36"/>
        <w:gridCol w:w="36"/>
        <w:gridCol w:w="45"/>
        <w:gridCol w:w="7380"/>
        <w:gridCol w:w="38"/>
      </w:tblGrid>
      <w:tr w:rsidR="00000000">
        <w:trPr>
          <w:divId w:val="1822115362"/>
        </w:trPr>
        <w:tc>
          <w:tcPr>
            <w:tcW w:w="50" w:type="pct"/>
            <w:vAlign w:val="center"/>
            <w:hideMark/>
          </w:tcPr>
          <w:p w:rsidR="00000000" w:rsidRDefault="005B0BC3">
            <w:pPr>
              <w:rPr>
                <w:rFonts w:eastAsia="Times New Roman"/>
              </w:rPr>
            </w:pPr>
          </w:p>
        </w:tc>
        <w:tc>
          <w:tcPr>
            <w:tcW w:w="39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46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822115362"/>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48" w:history="1">
              <w:r>
                <w:rPr>
                  <w:rStyle w:val="a3"/>
                  <w:rFonts w:eastAsia="Times New Roman"/>
                  <w:sz w:val="20"/>
                  <w:szCs w:val="20"/>
                </w:rPr>
                <w:t>10.</w:t>
              </w:r>
            </w:hyperlink>
            <w:hyperlink r:id="rId49" w:history="1">
              <w:r>
                <w:rPr>
                  <w:rStyle w:val="a3"/>
                  <w:rFonts w:eastAsia="Times New Roman"/>
                  <w:sz w:val="20"/>
                  <w:szCs w:val="20"/>
                </w:rPr>
                <w:t>2</w:t>
              </w:r>
            </w:hyperlink>
            <w:hyperlink r:id="rId50" w:history="1">
              <w:r>
                <w:rPr>
                  <w:rStyle w:val="a3"/>
                  <w:rFonts w:eastAsia="Times New Roman"/>
                  <w:sz w:val="20"/>
                  <w:szCs w:val="20"/>
                </w:rPr>
                <w:t>.5†</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Letter Agreement, dated December 18, 2019, between AXA Equitable Holdings, Inc., AXA Equitable Life Insurance Company and Mark Pearson (incorporated by reference to Exhibit 10.1 to our Form 8-K filed on De</w:t>
            </w:r>
            <w:r>
              <w:rPr>
                <w:rFonts w:eastAsia="Times New Roman"/>
                <w:color w:val="000000"/>
                <w:sz w:val="20"/>
                <w:szCs w:val="20"/>
              </w:rPr>
              <w:t>cember 19, 2019).</w:t>
            </w:r>
          </w:p>
        </w:tc>
      </w:tr>
      <w:tr w:rsidR="00000000">
        <w:trPr>
          <w:divId w:val="1822115362"/>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51" w:history="1">
              <w:r>
                <w:rPr>
                  <w:rStyle w:val="a3"/>
                  <w:rFonts w:eastAsia="Times New Roman"/>
                  <w:sz w:val="20"/>
                  <w:szCs w:val="20"/>
                </w:rPr>
                <w:t>10.</w:t>
              </w:r>
            </w:hyperlink>
            <w:hyperlink r:id="rId52" w:history="1">
              <w:r>
                <w:rPr>
                  <w:rStyle w:val="a3"/>
                  <w:rFonts w:eastAsia="Times New Roman"/>
                  <w:sz w:val="20"/>
                  <w:szCs w:val="20"/>
                </w:rPr>
                <w:t>3</w:t>
              </w:r>
            </w:hyperlink>
            <w:hyperlink r:id="rId53" w:history="1">
              <w:r>
                <w:rPr>
                  <w:rStyle w:val="a3"/>
                  <w:rFonts w:eastAsia="Times New Roman"/>
                  <w:sz w:val="20"/>
                  <w:szCs w:val="20"/>
                </w:rPr>
                <w:t>†</w:t>
              </w:r>
            </w:hyperlink>
          </w:p>
        </w:tc>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Director Indemnification Agreement, dated May 4, 2018, between AXA Equitable Holdings, Inc. and each of its directors (incorporated by reference to Exhibit 10.6 to the Q-1 2018 Form 10-Q).</w:t>
            </w:r>
          </w:p>
        </w:tc>
      </w:tr>
      <w:tr w:rsidR="00000000">
        <w:trPr>
          <w:divId w:val="1822115362"/>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54" w:history="1">
              <w:r>
                <w:rPr>
                  <w:rStyle w:val="a3"/>
                  <w:rFonts w:eastAsia="Times New Roman"/>
                  <w:sz w:val="20"/>
                  <w:szCs w:val="20"/>
                </w:rPr>
                <w:t>10.4</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Commercial Paper Dealer Agreement 4(a)(2) Program, dated as of June 1, 2015, between AllianceBernstein L.P., as Issuer, and Citigroup Global Markets Inc., as Dealer (incorporated by reference to Exhibit 10.</w:t>
            </w:r>
            <w:r>
              <w:rPr>
                <w:rFonts w:eastAsia="Times New Roman"/>
                <w:color w:val="000000"/>
                <w:sz w:val="20"/>
                <w:szCs w:val="20"/>
              </w:rPr>
              <w:t>08 to AB Holding’s Form 10-K for the fiscal year ended December 31, 2015, as filed February 11, 2016).</w:t>
            </w:r>
          </w:p>
        </w:tc>
      </w:tr>
      <w:tr w:rsidR="00000000">
        <w:trPr>
          <w:divId w:val="1822115362"/>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55" w:history="1">
              <w:r>
                <w:rPr>
                  <w:rStyle w:val="a3"/>
                  <w:rFonts w:eastAsia="Times New Roman"/>
                  <w:sz w:val="20"/>
                  <w:szCs w:val="20"/>
                </w:rPr>
                <w:t>10.5</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Commercial Paper Dealer Agreement 4(a)(2) Program, dated as of June 1, 2015, between AllianceBernstein L.P., as Issuer, and Credit Suisse Securities (USA) LLC, as Dealer (incorporated by reference to Exhibit 10.09 to AB Holding’s Form 10-K for the fiscal y</w:t>
            </w:r>
            <w:r>
              <w:rPr>
                <w:rFonts w:eastAsia="Times New Roman"/>
                <w:color w:val="000000"/>
                <w:sz w:val="20"/>
                <w:szCs w:val="20"/>
              </w:rPr>
              <w:t>ear ended December 31, 2015, as filed February 11, 2016).</w:t>
            </w:r>
          </w:p>
        </w:tc>
      </w:tr>
      <w:tr w:rsidR="00000000">
        <w:trPr>
          <w:divId w:val="1822115362"/>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56" w:history="1">
              <w:r>
                <w:rPr>
                  <w:rStyle w:val="a3"/>
                  <w:rFonts w:eastAsia="Times New Roman"/>
                  <w:sz w:val="20"/>
                  <w:szCs w:val="20"/>
                </w:rPr>
                <w:t>10.6</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Commercial Paper Dealer Agreement 4(a)(2) Program, dated as of June </w:t>
            </w:r>
            <w:r>
              <w:rPr>
                <w:rFonts w:eastAsia="Times New Roman"/>
                <w:color w:val="000000"/>
                <w:sz w:val="20"/>
                <w:szCs w:val="20"/>
              </w:rPr>
              <w:t>1, 2015, between AllianceBernstein L.P., as Issuer, and Merrill Lynch, Pierce, Fenner &amp; Smith Incorporated, as Dealer (incorporated by reference to Exhibit 10.10 to AB Holding’s Form 10-K for the fiscal year ended December 31, 2015, as filed February 11, 2</w:t>
            </w:r>
            <w:r>
              <w:rPr>
                <w:rFonts w:eastAsia="Times New Roman"/>
                <w:color w:val="000000"/>
                <w:sz w:val="20"/>
                <w:szCs w:val="20"/>
              </w:rPr>
              <w:t>016).</w:t>
            </w:r>
          </w:p>
        </w:tc>
      </w:tr>
      <w:tr w:rsidR="00000000">
        <w:trPr>
          <w:divId w:val="1822115362"/>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57" w:history="1">
              <w:r>
                <w:rPr>
                  <w:rStyle w:val="a3"/>
                  <w:rFonts w:eastAsia="Times New Roman"/>
                  <w:sz w:val="20"/>
                  <w:szCs w:val="20"/>
                </w:rPr>
                <w:t>10.7</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Amended and Restated Credit Agreement, dated as of October 13, 2021 (incorporated by reference to Exhibit 10.01 of AB Holdi</w:t>
            </w:r>
            <w:r>
              <w:rPr>
                <w:rFonts w:eastAsia="Times New Roman"/>
                <w:color w:val="000000"/>
                <w:sz w:val="20"/>
                <w:szCs w:val="20"/>
              </w:rPr>
              <w:t>ng’s Form 8-K, as filed October 19, 2021)</w:t>
            </w:r>
          </w:p>
        </w:tc>
      </w:tr>
      <w:tr w:rsidR="00000000">
        <w:trPr>
          <w:divId w:val="1822115362"/>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58" w:history="1">
              <w:r>
                <w:rPr>
                  <w:rStyle w:val="a3"/>
                  <w:rFonts w:eastAsia="Times New Roman"/>
                  <w:sz w:val="20"/>
                  <w:szCs w:val="20"/>
                </w:rPr>
                <w:t>10.</w:t>
              </w:r>
            </w:hyperlink>
            <w:hyperlink r:id="rId59" w:history="1">
              <w:r>
                <w:rPr>
                  <w:rStyle w:val="a3"/>
                  <w:rFonts w:eastAsia="Times New Roman"/>
                  <w:sz w:val="20"/>
                  <w:szCs w:val="20"/>
                </w:rPr>
                <w:t>8</w:t>
              </w:r>
            </w:hyperlink>
            <w:hyperlink r:id="rId60" w:history="1">
              <w:r>
                <w:rPr>
                  <w:rStyle w:val="a3"/>
                  <w:rFonts w:eastAsia="Times New Roman"/>
                  <w:sz w:val="20"/>
                  <w:szCs w:val="20"/>
                </w:rPr>
                <w:t>†</w:t>
              </w:r>
            </w:hyperlink>
          </w:p>
          <w:p w:rsidR="00000000" w:rsidRDefault="005B0BC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Profit Sharing Plan for Employee</w:t>
            </w:r>
            <w:r>
              <w:rPr>
                <w:rFonts w:eastAsia="Times New Roman"/>
                <w:color w:val="000000"/>
                <w:sz w:val="20"/>
                <w:szCs w:val="20"/>
              </w:rPr>
              <w:t>s of AllianceBernstein L.P., as amended and restated as of January 1, 2015 and as further amended as of January 1, 2017 (incorporated by reference to Exhibit 10.05 to AB Holding’s Form 10-K for the fiscal year ended December 31, 2015, as filed February 11,</w:t>
            </w:r>
            <w:r>
              <w:rPr>
                <w:rFonts w:eastAsia="Times New Roman"/>
                <w:color w:val="000000"/>
                <w:sz w:val="20"/>
                <w:szCs w:val="20"/>
              </w:rPr>
              <w:t xml:space="preserve"> 2016).</w:t>
            </w:r>
          </w:p>
        </w:tc>
      </w:tr>
      <w:tr w:rsidR="00000000">
        <w:trPr>
          <w:divId w:val="1822115362"/>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61" w:history="1">
              <w:r>
                <w:rPr>
                  <w:rStyle w:val="a3"/>
                  <w:rFonts w:eastAsia="Times New Roman"/>
                  <w:sz w:val="20"/>
                  <w:szCs w:val="20"/>
                </w:rPr>
                <w:t>10.</w:t>
              </w:r>
            </w:hyperlink>
            <w:hyperlink r:id="rId62" w:history="1">
              <w:r>
                <w:rPr>
                  <w:rStyle w:val="a3"/>
                  <w:rFonts w:eastAsia="Times New Roman"/>
                  <w:sz w:val="20"/>
                  <w:szCs w:val="20"/>
                </w:rPr>
                <w:t>8</w:t>
              </w:r>
            </w:hyperlink>
            <w:hyperlink r:id="rId63" w:history="1">
              <w:r>
                <w:rPr>
                  <w:rStyle w:val="a3"/>
                  <w:rFonts w:eastAsia="Times New Roman"/>
                  <w:sz w:val="20"/>
                  <w:szCs w:val="20"/>
                </w:rPr>
                <w:t>.1†</w:t>
              </w:r>
            </w:hyperlink>
          </w:p>
          <w:p w:rsidR="00000000" w:rsidRDefault="005B0BC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Amendment to the Profit Sharing Plan for Employees of AllianceBernstein L.P., dated as of October 20, 2016 and effective as of January 1, 2017 (incorporated by re</w:t>
            </w:r>
            <w:r>
              <w:rPr>
                <w:rFonts w:eastAsia="Times New Roman"/>
                <w:color w:val="000000"/>
                <w:sz w:val="20"/>
                <w:szCs w:val="20"/>
              </w:rPr>
              <w:t>ference to Exhibit 10.06 to AB Holding’s Form 10-K for the fiscal year ended December 31, 2017, as filed February 13, 2018).</w:t>
            </w:r>
          </w:p>
        </w:tc>
      </w:tr>
      <w:tr w:rsidR="00000000">
        <w:trPr>
          <w:divId w:val="1822115362"/>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64" w:history="1">
              <w:r>
                <w:rPr>
                  <w:rStyle w:val="a3"/>
                  <w:rFonts w:eastAsia="Times New Roman"/>
                  <w:sz w:val="20"/>
                  <w:szCs w:val="20"/>
                </w:rPr>
                <w:t>10.</w:t>
              </w:r>
            </w:hyperlink>
            <w:hyperlink r:id="rId65" w:history="1">
              <w:r>
                <w:rPr>
                  <w:rStyle w:val="a3"/>
                  <w:rFonts w:eastAsia="Times New Roman"/>
                  <w:sz w:val="20"/>
                  <w:szCs w:val="20"/>
                </w:rPr>
                <w:t>8</w:t>
              </w:r>
            </w:hyperlink>
            <w:hyperlink r:id="rId66" w:history="1">
              <w:r>
                <w:rPr>
                  <w:rStyle w:val="a3"/>
                  <w:rFonts w:eastAsia="Times New Roman"/>
                  <w:sz w:val="20"/>
                  <w:szCs w:val="20"/>
                </w:rPr>
                <w:t>.2†</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Amendment to the Profit Sharing Plan for Employees of AllianceBernstein L.P., dated as of April 1, 2018 (incorporated by reference to Exhibit 10.12 to AB Holding’s Form 10-K for the fiscal year ended December 31, 2018, as filed February 13, 2019).</w:t>
            </w:r>
          </w:p>
        </w:tc>
      </w:tr>
      <w:tr w:rsidR="00000000">
        <w:trPr>
          <w:divId w:val="1822115362"/>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67" w:history="1">
              <w:r>
                <w:rPr>
                  <w:rStyle w:val="a3"/>
                  <w:rFonts w:eastAsia="Times New Roman"/>
                  <w:sz w:val="20"/>
                  <w:szCs w:val="20"/>
                </w:rPr>
                <w:t>10.</w:t>
              </w:r>
            </w:hyperlink>
            <w:hyperlink r:id="rId68" w:history="1">
              <w:r>
                <w:rPr>
                  <w:rStyle w:val="a3"/>
                  <w:rFonts w:eastAsia="Times New Roman"/>
                  <w:sz w:val="20"/>
                  <w:szCs w:val="20"/>
                </w:rPr>
                <w:t>9</w:t>
              </w:r>
            </w:hyperlink>
            <w:hyperlink r:id="rId69" w:history="1">
              <w:r>
                <w:rPr>
                  <w:rStyle w:val="a3"/>
                  <w:rFonts w:eastAsia="Times New Roman"/>
                  <w:sz w:val="20"/>
                  <w:szCs w:val="20"/>
                </w:rPr>
                <w:t>†</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 xml:space="preserve">Employment Agreement, dated as of April 28, 2017, among </w:t>
            </w:r>
            <w:r>
              <w:rPr>
                <w:rFonts w:eastAsia="Times New Roman"/>
                <w:color w:val="000000"/>
                <w:sz w:val="20"/>
                <w:szCs w:val="20"/>
              </w:rPr>
              <w:t>Seth Bernstein, AllianceBernstein Holding L.P., AllianceBernstein L.P. and AllianceBernstein Corporation (incorporated by reference to Exhibit 10.3 to AB Holding’s Form 8-K as filed May 1, 2017).</w:t>
            </w:r>
          </w:p>
        </w:tc>
      </w:tr>
      <w:tr w:rsidR="00000000">
        <w:trPr>
          <w:divId w:val="1822115362"/>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70" w:history="1">
              <w:r>
                <w:rPr>
                  <w:rStyle w:val="a3"/>
                  <w:rFonts w:eastAsia="Times New Roman"/>
                  <w:sz w:val="20"/>
                  <w:szCs w:val="20"/>
                </w:rPr>
                <w:t>10.</w:t>
              </w:r>
            </w:hyperlink>
            <w:hyperlink r:id="rId71" w:history="1">
              <w:r>
                <w:rPr>
                  <w:rStyle w:val="a3"/>
                  <w:rFonts w:eastAsia="Times New Roman"/>
                  <w:sz w:val="20"/>
                  <w:szCs w:val="20"/>
                </w:rPr>
                <w:t>9</w:t>
              </w:r>
            </w:hyperlink>
            <w:hyperlink r:id="rId72" w:history="1">
              <w:r>
                <w:rPr>
                  <w:rStyle w:val="a3"/>
                  <w:rFonts w:eastAsia="Times New Roman"/>
                  <w:sz w:val="20"/>
                  <w:szCs w:val="20"/>
                </w:rPr>
                <w:t>.1†</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Amendment to Seth P. Bernstein’s Employment Agreement (incorporated by reference to Exhibit 10.01 to AB Holding’s Form 10-K for the fiscal year ended December 31, 2018, as filed February 13, 2019).</w:t>
            </w:r>
          </w:p>
        </w:tc>
      </w:tr>
      <w:tr w:rsidR="00000000">
        <w:trPr>
          <w:divId w:val="1822115362"/>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73" w:history="1">
              <w:r>
                <w:rPr>
                  <w:rStyle w:val="a3"/>
                  <w:rFonts w:eastAsia="Times New Roman"/>
                  <w:sz w:val="20"/>
                  <w:szCs w:val="20"/>
                </w:rPr>
                <w:t>10.</w:t>
              </w:r>
            </w:hyperlink>
            <w:hyperlink r:id="rId74" w:history="1">
              <w:r>
                <w:rPr>
                  <w:rStyle w:val="a3"/>
                  <w:rFonts w:eastAsia="Times New Roman"/>
                  <w:sz w:val="20"/>
                  <w:szCs w:val="20"/>
                </w:rPr>
                <w:t>9</w:t>
              </w:r>
            </w:hyperlink>
            <w:hyperlink r:id="rId75" w:history="1">
              <w:r>
                <w:rPr>
                  <w:rStyle w:val="a3"/>
                  <w:rFonts w:eastAsia="Times New Roman"/>
                  <w:sz w:val="20"/>
                  <w:szCs w:val="20"/>
                </w:rPr>
                <w:t>.2†</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 xml:space="preserve">Amendment No. 2 to Seth P. Bernstein’s Employment Agreement (incorporated by reference to Exhibit 10.2 to our Form 8-K filed on December 19, 2019). </w:t>
            </w:r>
          </w:p>
        </w:tc>
      </w:tr>
      <w:tr w:rsidR="00000000">
        <w:trPr>
          <w:divId w:val="1822115362"/>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76" w:history="1">
              <w:r>
                <w:rPr>
                  <w:rStyle w:val="a3"/>
                  <w:rFonts w:eastAsia="Times New Roman"/>
                  <w:sz w:val="20"/>
                  <w:szCs w:val="20"/>
                </w:rPr>
                <w:t>10.1</w:t>
              </w:r>
            </w:hyperlink>
            <w:hyperlink r:id="rId77" w:history="1">
              <w:r>
                <w:rPr>
                  <w:rStyle w:val="a3"/>
                  <w:rFonts w:eastAsia="Times New Roman"/>
                  <w:sz w:val="20"/>
                  <w:szCs w:val="20"/>
                </w:rPr>
                <w:t>0</w:t>
              </w:r>
            </w:hyperlink>
            <w:hyperlink r:id="rId78" w:history="1">
              <w:r>
                <w:rPr>
                  <w:rStyle w:val="a3"/>
                  <w:rFonts w:eastAsia="Times New Roman"/>
                  <w:sz w:val="20"/>
                  <w:szCs w:val="20"/>
                </w:rPr>
                <w:t>†</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AB 2017 Long Term Incentive Plan (incorporated by reference to Exhibit 10.06 to AB Holding’s Form 10-K for the fiscal year ended December 31, 2017, as filed February 13, 2018).</w:t>
            </w:r>
          </w:p>
        </w:tc>
      </w:tr>
      <w:tr w:rsidR="00000000">
        <w:trPr>
          <w:divId w:val="1822115362"/>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79" w:history="1">
              <w:r>
                <w:rPr>
                  <w:rStyle w:val="a3"/>
                  <w:rFonts w:eastAsia="Times New Roman"/>
                  <w:sz w:val="20"/>
                  <w:szCs w:val="20"/>
                </w:rPr>
                <w:t>10.11</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divId w:val="1295019870"/>
              <w:rPr>
                <w:rFonts w:eastAsia="Times New Roman"/>
              </w:rPr>
            </w:pPr>
            <w:r>
              <w:rPr>
                <w:rFonts w:eastAsia="Times New Roman"/>
                <w:color w:val="000000"/>
                <w:sz w:val="20"/>
                <w:szCs w:val="20"/>
              </w:rPr>
              <w:t>Amended and Restated Revolving Credit Agreement, dated as of June 24, 2021, by and among the Company, the Subsidiary Account Parties party thereto, the banks party thereto and JPMorgan Chase Bank, N.A., as Administrative Agent (incorporated by reference to</w:t>
            </w:r>
            <w:r>
              <w:rPr>
                <w:rFonts w:eastAsia="Times New Roman"/>
                <w:color w:val="000000"/>
                <w:sz w:val="20"/>
                <w:szCs w:val="20"/>
              </w:rPr>
              <w:t xml:space="preserve"> Exhibit 10.1 to our Form 8-K filed on June 29, 2021).</w:t>
            </w:r>
          </w:p>
        </w:tc>
      </w:tr>
      <w:tr w:rsidR="00000000">
        <w:trPr>
          <w:divId w:val="1822115362"/>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80" w:history="1">
              <w:r>
                <w:rPr>
                  <w:rStyle w:val="a3"/>
                  <w:rFonts w:eastAsia="Times New Roman"/>
                  <w:sz w:val="20"/>
                  <w:szCs w:val="20"/>
                </w:rPr>
                <w:t>10.12</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Reimbursement Agreement by and among AXA Equitable Holdings, Inc. the Subsidiary Accou</w:t>
            </w:r>
            <w:r>
              <w:rPr>
                <w:rFonts w:eastAsia="Times New Roman"/>
                <w:color w:val="000000"/>
                <w:sz w:val="20"/>
                <w:szCs w:val="20"/>
              </w:rPr>
              <w:t>nt Parties (as defined therein) party thereto and Natixis, New York Branch (incorporated by reference to Exhibit 10.25 to the IPO Form S-1 ).</w:t>
            </w:r>
          </w:p>
        </w:tc>
      </w:tr>
      <w:tr w:rsidR="00000000">
        <w:trPr>
          <w:divId w:val="1822115362"/>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81" w:history="1">
              <w:r>
                <w:rPr>
                  <w:rStyle w:val="a3"/>
                  <w:rFonts w:eastAsia="Times New Roman"/>
                  <w:sz w:val="20"/>
                  <w:szCs w:val="20"/>
                </w:rPr>
                <w:t>10.12.1</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divId w:val="9455502"/>
              <w:rPr>
                <w:rFonts w:eastAsia="Times New Roman"/>
              </w:rPr>
            </w:pPr>
            <w:r>
              <w:rPr>
                <w:rFonts w:eastAsia="Times New Roman"/>
                <w:color w:val="000000"/>
                <w:sz w:val="20"/>
                <w:szCs w:val="20"/>
              </w:rPr>
              <w:t>Amendment No. 1 to Reimbursement Agreement by and among Equitable Holdings, Inc., the Subsidiary Account Parties (as defined therein) party thereto and Natixis, New York Branch (incorporated by reference to Exhibit 10.2 to our Form 8-K filed on March 26</w:t>
            </w:r>
            <w:r>
              <w:rPr>
                <w:rFonts w:eastAsia="Times New Roman"/>
                <w:color w:val="000000"/>
                <w:sz w:val="20"/>
                <w:szCs w:val="20"/>
              </w:rPr>
              <w:t>, 2021).</w:t>
            </w:r>
          </w:p>
        </w:tc>
      </w:tr>
      <w:tr w:rsidR="00000000">
        <w:trPr>
          <w:divId w:val="1822115362"/>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82" w:history="1">
              <w:r>
                <w:rPr>
                  <w:rStyle w:val="a3"/>
                  <w:rFonts w:eastAsia="Times New Roman"/>
                  <w:sz w:val="20"/>
                  <w:szCs w:val="20"/>
                </w:rPr>
                <w:t>10.12.2</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divId w:val="959381927"/>
              <w:rPr>
                <w:rFonts w:eastAsia="Times New Roman"/>
              </w:rPr>
            </w:pPr>
            <w:r>
              <w:rPr>
                <w:rFonts w:eastAsia="Times New Roman"/>
                <w:color w:val="000000"/>
                <w:sz w:val="20"/>
                <w:szCs w:val="20"/>
              </w:rPr>
              <w:t>Amendment No. 2 to Reimbursement Agreement by and among Equitable Holdings, Inc., the Subsidiary Account Parties (as defined therei</w:t>
            </w:r>
            <w:r>
              <w:rPr>
                <w:rFonts w:eastAsia="Times New Roman"/>
                <w:color w:val="000000"/>
                <w:sz w:val="20"/>
                <w:szCs w:val="20"/>
              </w:rPr>
              <w:t>n) party thereto and Natixis, New York Branch (incorporated by reference to Exhibit 10.2 to our Form 8-K filed on June 29, 2021).</w:t>
            </w:r>
          </w:p>
        </w:tc>
      </w:tr>
      <w:tr w:rsidR="00000000">
        <w:trPr>
          <w:divId w:val="1822115362"/>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83" w:history="1">
              <w:r>
                <w:rPr>
                  <w:rStyle w:val="a3"/>
                  <w:rFonts w:eastAsia="Times New Roman"/>
                  <w:sz w:val="20"/>
                  <w:szCs w:val="20"/>
                </w:rPr>
                <w:t>10.13</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Reimburseme</w:t>
            </w:r>
            <w:r>
              <w:rPr>
                <w:rFonts w:eastAsia="Times New Roman"/>
                <w:color w:val="000000"/>
                <w:sz w:val="20"/>
                <w:szCs w:val="20"/>
              </w:rPr>
              <w:t>nt Agreement by and among AXA Equitable Holdings, Inc. the Subsidiary Account Parties (as defined therein) party thereto and HSBC Bank USA, National Association (incorporated by reference to Exhibit 10.26 to the IPO Form S-1).</w:t>
            </w:r>
          </w:p>
        </w:tc>
      </w:tr>
      <w:tr w:rsidR="00000000">
        <w:trPr>
          <w:divId w:val="1822115362"/>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84" w:history="1">
              <w:r>
                <w:rPr>
                  <w:rStyle w:val="a3"/>
                  <w:rFonts w:eastAsia="Times New Roman"/>
                  <w:sz w:val="20"/>
                  <w:szCs w:val="20"/>
                </w:rPr>
                <w:t>10.13.1</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divId w:val="1808743552"/>
              <w:rPr>
                <w:rFonts w:eastAsia="Times New Roman"/>
              </w:rPr>
            </w:pPr>
            <w:r>
              <w:rPr>
                <w:rFonts w:eastAsia="Times New Roman"/>
                <w:color w:val="000000"/>
                <w:sz w:val="20"/>
                <w:szCs w:val="20"/>
              </w:rPr>
              <w:t>Amendment No. 1 to Reimbursement Agreement by and among Equitable Holdings, Inc., the Subsidiary Account Parties (as defined therein) party the</w:t>
            </w:r>
            <w:r>
              <w:rPr>
                <w:rFonts w:eastAsia="Times New Roman"/>
                <w:color w:val="000000"/>
                <w:sz w:val="20"/>
                <w:szCs w:val="20"/>
              </w:rPr>
              <w:t>reto and HSBC Bank USA, National Association (incorporated by reference to Exhibit 10.3 to our Form 8-K filed on March 26, 2021).</w:t>
            </w:r>
          </w:p>
        </w:tc>
      </w:tr>
      <w:tr w:rsidR="00000000">
        <w:trPr>
          <w:divId w:val="1822115362"/>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85" w:history="1">
              <w:r>
                <w:rPr>
                  <w:rStyle w:val="a3"/>
                  <w:rFonts w:eastAsia="Times New Roman"/>
                  <w:sz w:val="20"/>
                  <w:szCs w:val="20"/>
                </w:rPr>
                <w:t>10.13.2</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divId w:val="458383512"/>
              <w:rPr>
                <w:rFonts w:eastAsia="Times New Roman"/>
              </w:rPr>
            </w:pPr>
            <w:r>
              <w:rPr>
                <w:rFonts w:eastAsia="Times New Roman"/>
                <w:color w:val="000000"/>
                <w:sz w:val="20"/>
                <w:szCs w:val="20"/>
              </w:rPr>
              <w:t xml:space="preserve">Amendment </w:t>
            </w:r>
            <w:r>
              <w:rPr>
                <w:rFonts w:eastAsia="Times New Roman"/>
                <w:color w:val="000000"/>
                <w:sz w:val="20"/>
                <w:szCs w:val="20"/>
              </w:rPr>
              <w:t>No. 2 to Reimbursement Agreement by and among Equitable Holdings, Inc., the Subsidiary Account Parties (as defined therein) party thereto and HSBC Bank USA, National Association (incorporated by reference to Exhibit 10.3 to our Form 8-K filed on June 29, 2</w:t>
            </w:r>
            <w:r>
              <w:rPr>
                <w:rFonts w:eastAsia="Times New Roman"/>
                <w:color w:val="000000"/>
                <w:sz w:val="20"/>
                <w:szCs w:val="20"/>
              </w:rPr>
              <w:t>021).</w:t>
            </w:r>
          </w:p>
        </w:tc>
      </w:tr>
      <w:tr w:rsidR="00000000">
        <w:trPr>
          <w:divId w:val="1822115362"/>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86" w:history="1">
              <w:r>
                <w:rPr>
                  <w:rStyle w:val="a3"/>
                  <w:rFonts w:eastAsia="Times New Roman"/>
                  <w:sz w:val="20"/>
                  <w:szCs w:val="20"/>
                </w:rPr>
                <w:t>10.14</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Reimbursement Agreement by and among AXA Equitable Holdings, Inc. the Subsidiary Account Parties (as defined therein) party thereto and Citibank Europe PLC (incorporated by reference to Exhibit 10.27 to the IPO Form S-1).</w:t>
            </w:r>
          </w:p>
        </w:tc>
      </w:tr>
    </w:tbl>
    <w:p w:rsidR="00000000" w:rsidRDefault="005B0BC3">
      <w:pPr>
        <w:jc w:val="center"/>
        <w:divId w:val="708066280"/>
        <w:rPr>
          <w:rFonts w:eastAsia="Times New Roman"/>
        </w:rPr>
      </w:pPr>
      <w:r>
        <w:rPr>
          <w:rFonts w:eastAsia="Times New Roman"/>
          <w:color w:val="000000"/>
          <w:sz w:val="20"/>
          <w:szCs w:val="20"/>
        </w:rPr>
        <w:t>250</w:t>
      </w:r>
    </w:p>
    <w:p w:rsidR="00000000" w:rsidRDefault="005B0BC3">
      <w:pPr>
        <w:rPr>
          <w:rFonts w:eastAsia="Times New Roman"/>
        </w:rPr>
      </w:pPr>
      <w:r>
        <w:rPr>
          <w:rFonts w:eastAsia="Times New Roman"/>
        </w:rPr>
        <w:pict>
          <v:rect id="_x0000_i1288" style="width:0;height:1.5pt" o:hralign="center" o:hrstd="t" o:hr="t" fillcolor="#a0a0a0" stroked="f"/>
        </w:pict>
      </w:r>
    </w:p>
    <w:p w:rsidR="00000000" w:rsidRDefault="005B0BC3">
      <w:pPr>
        <w:divId w:val="456802743"/>
        <w:rPr>
          <w:rFonts w:eastAsia="Times New Roman"/>
        </w:rPr>
      </w:pPr>
      <w:hyperlink w:anchor="i2ac35847634046b3a89f93d9b422e8f5_421" w:history="1">
        <w:r>
          <w:rPr>
            <w:rStyle w:val="a3"/>
            <w:rFonts w:eastAsia="Times New Roman"/>
            <w:b/>
            <w:bCs/>
            <w:sz w:val="20"/>
            <w:szCs w:val="20"/>
          </w:rPr>
          <w:t>Table of Contents</w:t>
        </w:r>
      </w:hyperlink>
    </w:p>
    <w:tbl>
      <w:tblPr>
        <w:tblW w:w="4992" w:type="pct"/>
        <w:tblCellMar>
          <w:top w:w="15" w:type="dxa"/>
          <w:left w:w="15" w:type="dxa"/>
          <w:bottom w:w="15" w:type="dxa"/>
          <w:right w:w="15" w:type="dxa"/>
        </w:tblCellMar>
        <w:tblLook w:val="04A0" w:firstRow="1" w:lastRow="0" w:firstColumn="1" w:lastColumn="0" w:noHBand="0" w:noVBand="1"/>
      </w:tblPr>
      <w:tblGrid>
        <w:gridCol w:w="72"/>
        <w:gridCol w:w="614"/>
        <w:gridCol w:w="36"/>
        <w:gridCol w:w="36"/>
        <w:gridCol w:w="36"/>
        <w:gridCol w:w="36"/>
        <w:gridCol w:w="46"/>
        <w:gridCol w:w="7380"/>
        <w:gridCol w:w="37"/>
      </w:tblGrid>
      <w:tr w:rsidR="00000000">
        <w:trPr>
          <w:divId w:val="1361276981"/>
        </w:trPr>
        <w:tc>
          <w:tcPr>
            <w:tcW w:w="50" w:type="pct"/>
            <w:vAlign w:val="center"/>
            <w:hideMark/>
          </w:tcPr>
          <w:p w:rsidR="00000000" w:rsidRDefault="005B0BC3">
            <w:pPr>
              <w:rPr>
                <w:rFonts w:eastAsia="Times New Roman"/>
              </w:rPr>
            </w:pPr>
          </w:p>
        </w:tc>
        <w:tc>
          <w:tcPr>
            <w:tcW w:w="39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46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361276981"/>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87" w:history="1">
              <w:r>
                <w:rPr>
                  <w:rStyle w:val="a3"/>
                  <w:rFonts w:eastAsia="Times New Roman"/>
                  <w:sz w:val="20"/>
                  <w:szCs w:val="20"/>
                </w:rPr>
                <w:t>10.14.1</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divId w:val="514922687"/>
              <w:rPr>
                <w:rFonts w:eastAsia="Times New Roman"/>
              </w:rPr>
            </w:pPr>
            <w:r>
              <w:rPr>
                <w:rFonts w:eastAsia="Times New Roman"/>
                <w:color w:val="000000"/>
                <w:sz w:val="20"/>
                <w:szCs w:val="20"/>
              </w:rPr>
              <w:t>Amendment No. 1 to Reimbursement Agreement by and among Equitable Holdings, Inc., the Subsidiary Account Parties (as defined therein) party the</w:t>
            </w:r>
            <w:r>
              <w:rPr>
                <w:rFonts w:eastAsia="Times New Roman"/>
                <w:color w:val="000000"/>
                <w:sz w:val="20"/>
                <w:szCs w:val="20"/>
              </w:rPr>
              <w:t>reto and Citibank Europe PLC (incorporated by reference to Exhibit 10.4 to our Form 8-K filed on March 26, 2021).</w:t>
            </w:r>
          </w:p>
        </w:tc>
      </w:tr>
      <w:tr w:rsidR="00000000">
        <w:trPr>
          <w:divId w:val="1361276981"/>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88" w:history="1">
              <w:r>
                <w:rPr>
                  <w:rStyle w:val="a3"/>
                  <w:rFonts w:eastAsia="Times New Roman"/>
                  <w:sz w:val="20"/>
                  <w:szCs w:val="20"/>
                </w:rPr>
                <w:t>10.14.2</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divId w:val="1824393746"/>
              <w:rPr>
                <w:rFonts w:eastAsia="Times New Roman"/>
              </w:rPr>
            </w:pPr>
            <w:r>
              <w:rPr>
                <w:rFonts w:eastAsia="Times New Roman"/>
                <w:color w:val="000000"/>
                <w:sz w:val="20"/>
                <w:szCs w:val="20"/>
              </w:rPr>
              <w:t>Amendment No. 2 to Reimbur</w:t>
            </w:r>
            <w:r>
              <w:rPr>
                <w:rFonts w:eastAsia="Times New Roman"/>
                <w:color w:val="000000"/>
                <w:sz w:val="20"/>
                <w:szCs w:val="20"/>
              </w:rPr>
              <w:t>sement Agreement by and among Equitable Holdings, Inc., the Subsidiary Account Parties (as defined therein) party thereto and Citibank Europe PLC (incorporated by reference to Exhibit 10.4 to our Form 8-K filed on June 29, 2021).</w:t>
            </w:r>
          </w:p>
        </w:tc>
      </w:tr>
      <w:tr w:rsidR="00000000">
        <w:trPr>
          <w:divId w:val="1361276981"/>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89" w:history="1">
              <w:r>
                <w:rPr>
                  <w:rStyle w:val="a3"/>
                  <w:rFonts w:eastAsia="Times New Roman"/>
                  <w:sz w:val="20"/>
                  <w:szCs w:val="20"/>
                </w:rPr>
                <w:t>10.15</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Reimbursement Agreement by and among AXA Equitable Holdings, Inc. the Subsidiary Account Parties (as defined therein) party thereto and Credit A</w:t>
            </w:r>
            <w:r>
              <w:rPr>
                <w:rFonts w:eastAsia="Times New Roman"/>
                <w:color w:val="000000"/>
                <w:sz w:val="20"/>
                <w:szCs w:val="20"/>
              </w:rPr>
              <w:t>gricole Corporate and Investment Bank (incorporated by reference to Exhibit 10.28 to the IPO Form S-1).</w:t>
            </w:r>
          </w:p>
        </w:tc>
      </w:tr>
      <w:tr w:rsidR="00000000">
        <w:trPr>
          <w:divId w:val="1361276981"/>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90" w:history="1">
              <w:r>
                <w:rPr>
                  <w:rStyle w:val="a3"/>
                  <w:rFonts w:eastAsia="Times New Roman"/>
                  <w:sz w:val="20"/>
                  <w:szCs w:val="20"/>
                </w:rPr>
                <w:t>10.15.1</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divId w:val="1633830640"/>
              <w:rPr>
                <w:rFonts w:eastAsia="Times New Roman"/>
              </w:rPr>
            </w:pPr>
            <w:r>
              <w:rPr>
                <w:rFonts w:eastAsia="Times New Roman"/>
                <w:color w:val="000000"/>
                <w:sz w:val="20"/>
                <w:szCs w:val="20"/>
              </w:rPr>
              <w:t>Amendment No. 1 to Reimbursement Agr</w:t>
            </w:r>
            <w:r>
              <w:rPr>
                <w:rFonts w:eastAsia="Times New Roman"/>
                <w:color w:val="000000"/>
                <w:sz w:val="20"/>
                <w:szCs w:val="20"/>
              </w:rPr>
              <w:t>eement by and among Equitable Holdings, Inc., the Subsidiary Account Parties (as defined therein) party thereto and Credit Agricole Corporate and Investment Bank (incorporated by reference to Exhibit 10.5 to our Form 8-K filed on March 26, 2021).</w:t>
            </w:r>
          </w:p>
        </w:tc>
      </w:tr>
      <w:tr w:rsidR="00000000">
        <w:trPr>
          <w:divId w:val="1361276981"/>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91" w:history="1">
              <w:r>
                <w:rPr>
                  <w:rStyle w:val="a3"/>
                  <w:rFonts w:eastAsia="Times New Roman"/>
                  <w:sz w:val="20"/>
                  <w:szCs w:val="20"/>
                </w:rPr>
                <w:t>10.15.2</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divId w:val="2126071940"/>
              <w:rPr>
                <w:rFonts w:eastAsia="Times New Roman"/>
              </w:rPr>
            </w:pPr>
            <w:r>
              <w:rPr>
                <w:rFonts w:eastAsia="Times New Roman"/>
                <w:color w:val="000000"/>
                <w:sz w:val="20"/>
                <w:szCs w:val="20"/>
              </w:rPr>
              <w:t>Amendment No. 2 to Reimbursement Agreement by and among Equitable Holdings, Inc., the Subsidiary Account Parties (as defined therein) party thereto and Credit Agricole Corporate and Investment Bank (incorporated by reference to Exhibit 10.5 to our Form 8-K</w:t>
            </w:r>
            <w:r>
              <w:rPr>
                <w:rFonts w:eastAsia="Times New Roman"/>
                <w:color w:val="000000"/>
                <w:sz w:val="20"/>
                <w:szCs w:val="20"/>
              </w:rPr>
              <w:t xml:space="preserve"> filed on June 29, 2021).</w:t>
            </w:r>
          </w:p>
        </w:tc>
      </w:tr>
      <w:tr w:rsidR="00000000">
        <w:trPr>
          <w:divId w:val="1361276981"/>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92" w:history="1">
              <w:r>
                <w:rPr>
                  <w:rStyle w:val="a3"/>
                  <w:rFonts w:eastAsia="Times New Roman"/>
                  <w:sz w:val="20"/>
                  <w:szCs w:val="20"/>
                </w:rPr>
                <w:t>10.16</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Reimbursement Agreement by and among AXA Equitable Holdings, Inc. the Subsidiary Account Parties (as defined therei</w:t>
            </w:r>
            <w:r>
              <w:rPr>
                <w:rFonts w:eastAsia="Times New Roman"/>
                <w:color w:val="000000"/>
                <w:sz w:val="20"/>
                <w:szCs w:val="20"/>
              </w:rPr>
              <w:t>n) party thereto and Barclays Bank PLC (incorporated by reference to Exhibit 10.29 to the IPO Form S-1).</w:t>
            </w:r>
          </w:p>
        </w:tc>
      </w:tr>
      <w:tr w:rsidR="00000000">
        <w:trPr>
          <w:divId w:val="1361276981"/>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93" w:history="1">
              <w:r>
                <w:rPr>
                  <w:rStyle w:val="a3"/>
                  <w:rFonts w:eastAsia="Times New Roman"/>
                  <w:sz w:val="20"/>
                  <w:szCs w:val="20"/>
                </w:rPr>
                <w:t>10.16.1</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divId w:val="3024306"/>
              <w:rPr>
                <w:rFonts w:eastAsia="Times New Roman"/>
              </w:rPr>
            </w:pPr>
            <w:r>
              <w:rPr>
                <w:rFonts w:eastAsia="Times New Roman"/>
                <w:color w:val="000000"/>
                <w:sz w:val="20"/>
                <w:szCs w:val="20"/>
              </w:rPr>
              <w:t>Amendment No. 1 to Reimbursement Ag</w:t>
            </w:r>
            <w:r>
              <w:rPr>
                <w:rFonts w:eastAsia="Times New Roman"/>
                <w:color w:val="000000"/>
                <w:sz w:val="20"/>
                <w:szCs w:val="20"/>
              </w:rPr>
              <w:t>reement by and among Equitable Holdings, Inc., the Subsidiary Account Parties (as defined therein) party thereto and Barclays Bank PLC (incorporated by reference to Exhibit 10.6 to our Form 8-K filed on March 26, 2021).</w:t>
            </w:r>
          </w:p>
        </w:tc>
      </w:tr>
      <w:tr w:rsidR="00000000">
        <w:trPr>
          <w:divId w:val="1361276981"/>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94" w:history="1">
              <w:r>
                <w:rPr>
                  <w:rStyle w:val="a3"/>
                  <w:rFonts w:eastAsia="Times New Roman"/>
                  <w:sz w:val="20"/>
                  <w:szCs w:val="20"/>
                </w:rPr>
                <w:t>10.16.2</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divId w:val="719325708"/>
              <w:rPr>
                <w:rFonts w:eastAsia="Times New Roman"/>
              </w:rPr>
            </w:pPr>
            <w:r>
              <w:rPr>
                <w:rFonts w:eastAsia="Times New Roman"/>
                <w:color w:val="000000"/>
                <w:sz w:val="20"/>
                <w:szCs w:val="20"/>
              </w:rPr>
              <w:t>Amendment No. 2 to Reimbursement Agreement by and among Equitable Holdings, Inc., the Subsidiary Account Parties (as defined therein) party the</w:t>
            </w:r>
            <w:r>
              <w:rPr>
                <w:rFonts w:eastAsia="Times New Roman"/>
                <w:color w:val="000000"/>
                <w:sz w:val="20"/>
                <w:szCs w:val="20"/>
              </w:rPr>
              <w:t>reto and Barclays Bank PLC (incorporated by reference to Exhibit 10.6 to our Form 8-K filed on June 29, 2021).</w:t>
            </w:r>
          </w:p>
        </w:tc>
      </w:tr>
      <w:tr w:rsidR="00000000">
        <w:trPr>
          <w:divId w:val="1361276981"/>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95" w:history="1">
              <w:r>
                <w:rPr>
                  <w:rStyle w:val="a3"/>
                  <w:rFonts w:eastAsia="Times New Roman"/>
                  <w:sz w:val="20"/>
                  <w:szCs w:val="20"/>
                </w:rPr>
                <w:t>10.17</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Reimbursement Agreement by and</w:t>
            </w:r>
            <w:r>
              <w:rPr>
                <w:rFonts w:eastAsia="Times New Roman"/>
                <w:color w:val="000000"/>
                <w:sz w:val="20"/>
                <w:szCs w:val="20"/>
              </w:rPr>
              <w:t xml:space="preserve"> among AXA Equitable Holdings, Inc. the Subsidiary Account Parties (as defined therein) party thereto and JPMorgan Chase Bank, N.A (incorporated by reference to Exhibit 10.30 to the IPO Form S-1).</w:t>
            </w:r>
          </w:p>
        </w:tc>
      </w:tr>
      <w:tr w:rsidR="00000000">
        <w:trPr>
          <w:divId w:val="1361276981"/>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96" w:history="1">
              <w:r>
                <w:rPr>
                  <w:rStyle w:val="a3"/>
                  <w:rFonts w:eastAsia="Times New Roman"/>
                  <w:sz w:val="20"/>
                  <w:szCs w:val="20"/>
                </w:rPr>
                <w:t>10.17.1</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divId w:val="1904873881"/>
              <w:rPr>
                <w:rFonts w:eastAsia="Times New Roman"/>
              </w:rPr>
            </w:pPr>
            <w:r>
              <w:rPr>
                <w:rFonts w:eastAsia="Times New Roman"/>
                <w:color w:val="000000"/>
                <w:sz w:val="20"/>
                <w:szCs w:val="20"/>
              </w:rPr>
              <w:t>Amendment No. 1 to Reimbursement Agreement by and among Equitable Holdings, Inc., the Subsidiary Account Parties (as defined therein) party thereto and JPMorgan Chase Bank, N.A (incorporated by reference to Exhibit 10.7 to our Form 8-K filed on March 26, 2</w:t>
            </w:r>
            <w:r>
              <w:rPr>
                <w:rFonts w:eastAsia="Times New Roman"/>
                <w:color w:val="000000"/>
                <w:sz w:val="20"/>
                <w:szCs w:val="20"/>
              </w:rPr>
              <w:t>021).</w:t>
            </w:r>
          </w:p>
        </w:tc>
      </w:tr>
      <w:tr w:rsidR="00000000">
        <w:trPr>
          <w:divId w:val="1361276981"/>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97" w:history="1">
              <w:r>
                <w:rPr>
                  <w:rStyle w:val="a3"/>
                  <w:rFonts w:eastAsia="Times New Roman"/>
                  <w:sz w:val="20"/>
                  <w:szCs w:val="20"/>
                </w:rPr>
                <w:t>10.17.2</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divId w:val="897941077"/>
              <w:rPr>
                <w:rFonts w:eastAsia="Times New Roman"/>
              </w:rPr>
            </w:pPr>
            <w:r>
              <w:rPr>
                <w:rFonts w:eastAsia="Times New Roman"/>
                <w:color w:val="000000"/>
                <w:sz w:val="20"/>
                <w:szCs w:val="20"/>
              </w:rPr>
              <w:t xml:space="preserve">Amendment No. 2 to Reimbursement Agreement by and among Equitable Holdings, Inc., the Subsidiary Account Parties (as defined therein) </w:t>
            </w:r>
            <w:r>
              <w:rPr>
                <w:rFonts w:eastAsia="Times New Roman"/>
                <w:color w:val="000000"/>
                <w:sz w:val="20"/>
                <w:szCs w:val="20"/>
              </w:rPr>
              <w:t>party thereto and JPMorgan Chase Bank, N.A. (incorporated by reference to Exhibit 10.7 to our Form 8-K filed on June 29, 2021).</w:t>
            </w:r>
          </w:p>
        </w:tc>
      </w:tr>
      <w:tr w:rsidR="00000000">
        <w:trPr>
          <w:divId w:val="1361276981"/>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98" w:history="1">
              <w:r>
                <w:rPr>
                  <w:rStyle w:val="a3"/>
                  <w:rFonts w:eastAsia="Times New Roman"/>
                  <w:sz w:val="20"/>
                  <w:szCs w:val="20"/>
                </w:rPr>
                <w:t>10.18</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Reimbursement Agreement by and among AXA Equitable Holdings, Inc. the Subsidiary Account Parties (as defined therein) party thereto and Landesbank Hessen-Thüringen Girozentrale, acting through its New York Branch (incorporated by reference to Exhibit 10.31</w:t>
            </w:r>
            <w:r>
              <w:rPr>
                <w:rFonts w:eastAsia="Times New Roman"/>
                <w:color w:val="000000"/>
                <w:sz w:val="20"/>
                <w:szCs w:val="20"/>
              </w:rPr>
              <w:t xml:space="preserve"> to the IPO Form S-1).</w:t>
            </w:r>
          </w:p>
        </w:tc>
      </w:tr>
      <w:tr w:rsidR="00000000">
        <w:trPr>
          <w:divId w:val="1361276981"/>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99" w:history="1">
              <w:r>
                <w:rPr>
                  <w:rStyle w:val="a3"/>
                  <w:rFonts w:eastAsia="Times New Roman"/>
                  <w:sz w:val="20"/>
                  <w:szCs w:val="20"/>
                </w:rPr>
                <w:t>10.18.1</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divId w:val="713697316"/>
              <w:rPr>
                <w:rFonts w:eastAsia="Times New Roman"/>
              </w:rPr>
            </w:pPr>
            <w:r>
              <w:rPr>
                <w:rFonts w:eastAsia="Times New Roman"/>
                <w:color w:val="000000"/>
                <w:sz w:val="20"/>
                <w:szCs w:val="20"/>
              </w:rPr>
              <w:t>Second Amendment to Reimbursement Agreement by and among Equitable Holdings, Inc., the Subsidiary Account Parties (as defined therein) party thereto and Landesbank Hessen-Thüringen Girozentrale, acting through its New York Branch (incorporated by reference</w:t>
            </w:r>
            <w:r>
              <w:rPr>
                <w:rFonts w:eastAsia="Times New Roman"/>
                <w:color w:val="000000"/>
                <w:sz w:val="20"/>
                <w:szCs w:val="20"/>
              </w:rPr>
              <w:t xml:space="preserve"> to Exhibit 10.8 to our Form 8-K filed on March 26, 2021).</w:t>
            </w:r>
          </w:p>
        </w:tc>
      </w:tr>
      <w:tr w:rsidR="00000000">
        <w:trPr>
          <w:divId w:val="1361276981"/>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100" w:history="1">
              <w:r>
                <w:rPr>
                  <w:rStyle w:val="a3"/>
                  <w:rFonts w:eastAsia="Times New Roman"/>
                  <w:sz w:val="20"/>
                  <w:szCs w:val="20"/>
                </w:rPr>
                <w:t>10.18.2</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divId w:val="1992564445"/>
              <w:rPr>
                <w:rFonts w:eastAsia="Times New Roman"/>
              </w:rPr>
            </w:pPr>
            <w:r>
              <w:rPr>
                <w:rFonts w:eastAsia="Times New Roman"/>
                <w:color w:val="000000"/>
                <w:sz w:val="20"/>
                <w:szCs w:val="20"/>
              </w:rPr>
              <w:t>Third Amendment to Reimbursement Agreement by and among Equitable Holdings, Inc.,</w:t>
            </w:r>
            <w:r>
              <w:rPr>
                <w:rFonts w:eastAsia="Times New Roman"/>
                <w:color w:val="000000"/>
                <w:sz w:val="20"/>
                <w:szCs w:val="20"/>
              </w:rPr>
              <w:t xml:space="preserve"> the Subsidiary Account Parties (as defined therein) party thereto and Landesbank Hessen-Thüringen Girozentrale, acting through its New York Branch (incorporated by reference to Exhibit 10.8 to our Form 8-K filed on June 29, 2021).</w:t>
            </w:r>
          </w:p>
        </w:tc>
      </w:tr>
      <w:tr w:rsidR="00000000">
        <w:trPr>
          <w:divId w:val="1361276981"/>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101" w:history="1">
              <w:r>
                <w:rPr>
                  <w:rStyle w:val="a3"/>
                  <w:rFonts w:eastAsia="Times New Roman"/>
                  <w:sz w:val="20"/>
                  <w:szCs w:val="20"/>
                </w:rPr>
                <w:t>10.18.3</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divId w:val="114062122"/>
              <w:rPr>
                <w:rFonts w:eastAsia="Times New Roman"/>
              </w:rPr>
            </w:pPr>
            <w:r>
              <w:rPr>
                <w:rFonts w:eastAsia="Times New Roman"/>
                <w:color w:val="000000"/>
                <w:sz w:val="20"/>
                <w:szCs w:val="20"/>
              </w:rPr>
              <w:t>Fourth Amendment to Reimbursement Agreement by and among Equitable Holdings, Inc., the Subsidiary Account Parties (as defined the</w:t>
            </w:r>
            <w:r>
              <w:rPr>
                <w:rFonts w:eastAsia="Times New Roman"/>
                <w:color w:val="000000"/>
                <w:sz w:val="20"/>
                <w:szCs w:val="20"/>
              </w:rPr>
              <w:t>rein) party thereto and Landesbank Hessen-Thüringen Girozentrale, acting through its New York Branch (incorporated by reference to Exhibit 10.1 to our Form 8-K filed on December 16, 2021).</w:t>
            </w:r>
          </w:p>
        </w:tc>
      </w:tr>
      <w:tr w:rsidR="00000000">
        <w:trPr>
          <w:divId w:val="1361276981"/>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102" w:history="1">
              <w:r>
                <w:rPr>
                  <w:rStyle w:val="a3"/>
                  <w:rFonts w:eastAsia="Times New Roman"/>
                  <w:sz w:val="20"/>
                  <w:szCs w:val="20"/>
                </w:rPr>
                <w:t>10.19</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Reimbursement Agreement by and among AXA Equitable Holdings, Inc. the Subsidiary Account Parties (as defined therein) party thereto and Commerzbank AG, New York Branch (incorporated by reference to Exhibit 10</w:t>
            </w:r>
            <w:r>
              <w:rPr>
                <w:rFonts w:eastAsia="Times New Roman"/>
                <w:color w:val="000000"/>
                <w:sz w:val="20"/>
                <w:szCs w:val="20"/>
              </w:rPr>
              <w:t>.32 to the IPO Form S-1).</w:t>
            </w:r>
          </w:p>
        </w:tc>
      </w:tr>
      <w:tr w:rsidR="00000000">
        <w:trPr>
          <w:divId w:val="1361276981"/>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103" w:history="1">
              <w:r>
                <w:rPr>
                  <w:rStyle w:val="a3"/>
                  <w:rFonts w:eastAsia="Times New Roman"/>
                  <w:sz w:val="20"/>
                  <w:szCs w:val="20"/>
                </w:rPr>
                <w:t>10.19.1</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divId w:val="1233393432"/>
              <w:rPr>
                <w:rFonts w:eastAsia="Times New Roman"/>
              </w:rPr>
            </w:pPr>
            <w:r>
              <w:rPr>
                <w:rFonts w:eastAsia="Times New Roman"/>
                <w:color w:val="000000"/>
                <w:sz w:val="20"/>
                <w:szCs w:val="20"/>
              </w:rPr>
              <w:t>Amendment No. 1 to Reimbursement Agreement by and among Equitable Holdings, Inc., the Subsidiary Account Parties (as defined therein) party thereto and Commerzbank AG, New York Branch (incorporated by reference to Exhibit 10.9 to our Form 8-K filed on Marc</w:t>
            </w:r>
            <w:r>
              <w:rPr>
                <w:rFonts w:eastAsia="Times New Roman"/>
                <w:color w:val="000000"/>
                <w:sz w:val="20"/>
                <w:szCs w:val="20"/>
              </w:rPr>
              <w:t>h 26, 2021).</w:t>
            </w:r>
          </w:p>
        </w:tc>
      </w:tr>
      <w:tr w:rsidR="00000000">
        <w:trPr>
          <w:divId w:val="1361276981"/>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104" w:history="1">
              <w:r>
                <w:rPr>
                  <w:rStyle w:val="a3"/>
                  <w:rFonts w:eastAsia="Times New Roman"/>
                  <w:sz w:val="20"/>
                  <w:szCs w:val="20"/>
                </w:rPr>
                <w:t>10.19.2</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divId w:val="1965578637"/>
              <w:rPr>
                <w:rFonts w:eastAsia="Times New Roman"/>
              </w:rPr>
            </w:pPr>
            <w:r>
              <w:rPr>
                <w:rFonts w:eastAsia="Times New Roman"/>
                <w:color w:val="000000"/>
                <w:sz w:val="20"/>
                <w:szCs w:val="20"/>
              </w:rPr>
              <w:t>Amendment No. 2 to Reimbursement Agreement by and among Equitable Holdings, Inc., the Subsidiary Account Parties (as defined th</w:t>
            </w:r>
            <w:r>
              <w:rPr>
                <w:rFonts w:eastAsia="Times New Roman"/>
                <w:color w:val="000000"/>
                <w:sz w:val="20"/>
                <w:szCs w:val="20"/>
              </w:rPr>
              <w:t>erein) party thereto and Commerzbank AG, New York Branch (incorporated by reference to Exhibit 10.9 to our Form 8-K filed on June 29, 2021).</w:t>
            </w:r>
          </w:p>
        </w:tc>
      </w:tr>
      <w:tr w:rsidR="00000000">
        <w:trPr>
          <w:divId w:val="1361276981"/>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105" w:history="1">
              <w:r>
                <w:rPr>
                  <w:rStyle w:val="a3"/>
                  <w:rFonts w:eastAsia="Times New Roman"/>
                  <w:sz w:val="20"/>
                  <w:szCs w:val="20"/>
                </w:rPr>
                <w:t>10.</w:t>
              </w:r>
            </w:hyperlink>
            <w:hyperlink r:id="rId106" w:history="1">
              <w:r>
                <w:rPr>
                  <w:rStyle w:val="a3"/>
                  <w:rFonts w:eastAsia="Times New Roman"/>
                  <w:sz w:val="20"/>
                  <w:szCs w:val="20"/>
                </w:rPr>
                <w:t>20</w:t>
              </w:r>
            </w:hyperlink>
            <w:hyperlink r:id="rId107" w:history="1">
              <w:r>
                <w:rPr>
                  <w:rStyle w:val="a3"/>
                  <w:rFonts w:eastAsia="Times New Roman"/>
                  <w:sz w:val="20"/>
                  <w:szCs w:val="20"/>
                </w:rPr>
                <w:t>†</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Equitable Severance Benefit Plan (incorporated by reference to Exhibit 10.45 to the IPO Form S-1).</w:t>
            </w:r>
          </w:p>
        </w:tc>
      </w:tr>
      <w:tr w:rsidR="00000000">
        <w:trPr>
          <w:divId w:val="1361276981"/>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108" w:history="1">
              <w:r>
                <w:rPr>
                  <w:rStyle w:val="a3"/>
                  <w:rFonts w:eastAsia="Times New Roman"/>
                  <w:sz w:val="20"/>
                  <w:szCs w:val="20"/>
                </w:rPr>
                <w:t>10.</w:t>
              </w:r>
            </w:hyperlink>
            <w:hyperlink r:id="rId109" w:history="1">
              <w:r>
                <w:rPr>
                  <w:rStyle w:val="a3"/>
                  <w:rFonts w:eastAsia="Times New Roman"/>
                  <w:sz w:val="20"/>
                  <w:szCs w:val="20"/>
                </w:rPr>
                <w:t>21</w:t>
              </w:r>
            </w:hyperlink>
            <w:hyperlink r:id="rId110" w:history="1">
              <w:r>
                <w:rPr>
                  <w:rStyle w:val="a3"/>
                  <w:rFonts w:eastAsia="Times New Roman"/>
                  <w:sz w:val="20"/>
                  <w:szCs w:val="20"/>
                </w:rPr>
                <w:t>†</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Equitable Supplemental Severance Plan for Executives (incorporated by reference to Exhibit 10.25 to the Q-1 2018 Form 10-Q).</w:t>
            </w:r>
          </w:p>
        </w:tc>
      </w:tr>
    </w:tbl>
    <w:p w:rsidR="00000000" w:rsidRDefault="005B0BC3">
      <w:pPr>
        <w:jc w:val="center"/>
        <w:divId w:val="1537963273"/>
        <w:rPr>
          <w:rFonts w:eastAsia="Times New Roman"/>
        </w:rPr>
      </w:pPr>
      <w:r>
        <w:rPr>
          <w:rFonts w:eastAsia="Times New Roman"/>
          <w:color w:val="000000"/>
          <w:sz w:val="20"/>
          <w:szCs w:val="20"/>
        </w:rPr>
        <w:t>251</w:t>
      </w:r>
    </w:p>
    <w:p w:rsidR="00000000" w:rsidRDefault="005B0BC3">
      <w:pPr>
        <w:rPr>
          <w:rFonts w:eastAsia="Times New Roman"/>
        </w:rPr>
      </w:pPr>
      <w:r>
        <w:rPr>
          <w:rFonts w:eastAsia="Times New Roman"/>
        </w:rPr>
        <w:pict>
          <v:rect id="_x0000_i1289" style="width:0;height:1.5pt" o:hralign="center" o:hrstd="t" o:hr="t" fillcolor="#a0a0a0" stroked="f"/>
        </w:pict>
      </w:r>
    </w:p>
    <w:p w:rsidR="00000000" w:rsidRDefault="005B0BC3">
      <w:pPr>
        <w:divId w:val="1479692187"/>
        <w:rPr>
          <w:rFonts w:eastAsia="Times New Roman"/>
        </w:rPr>
      </w:pPr>
      <w:hyperlink w:anchor="i2ac35847634046b3a89f93d9b422e8f5_421" w:history="1">
        <w:r>
          <w:rPr>
            <w:rStyle w:val="a3"/>
            <w:rFonts w:eastAsia="Times New Roman"/>
            <w:b/>
            <w:bCs/>
            <w:sz w:val="20"/>
            <w:szCs w:val="20"/>
          </w:rPr>
          <w:t>Table of Contents</w:t>
        </w:r>
      </w:hyperlink>
    </w:p>
    <w:tbl>
      <w:tblPr>
        <w:tblW w:w="4992" w:type="pct"/>
        <w:tblCellMar>
          <w:top w:w="15" w:type="dxa"/>
          <w:left w:w="15" w:type="dxa"/>
          <w:bottom w:w="15" w:type="dxa"/>
          <w:right w:w="15" w:type="dxa"/>
        </w:tblCellMar>
        <w:tblLook w:val="04A0" w:firstRow="1" w:lastRow="0" w:firstColumn="1" w:lastColumn="0" w:noHBand="0" w:noVBand="1"/>
      </w:tblPr>
      <w:tblGrid>
        <w:gridCol w:w="83"/>
        <w:gridCol w:w="649"/>
        <w:gridCol w:w="36"/>
        <w:gridCol w:w="36"/>
        <w:gridCol w:w="36"/>
        <w:gridCol w:w="36"/>
        <w:gridCol w:w="38"/>
        <w:gridCol w:w="7342"/>
        <w:gridCol w:w="37"/>
      </w:tblGrid>
      <w:tr w:rsidR="00000000">
        <w:trPr>
          <w:divId w:val="576212593"/>
        </w:trPr>
        <w:tc>
          <w:tcPr>
            <w:tcW w:w="50" w:type="pct"/>
            <w:vAlign w:val="center"/>
            <w:hideMark/>
          </w:tcPr>
          <w:p w:rsidR="00000000" w:rsidRDefault="005B0BC3">
            <w:pPr>
              <w:rPr>
                <w:rFonts w:eastAsia="Times New Roman"/>
              </w:rPr>
            </w:pPr>
          </w:p>
        </w:tc>
        <w:tc>
          <w:tcPr>
            <w:tcW w:w="39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46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576212593"/>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111" w:history="1">
              <w:r>
                <w:rPr>
                  <w:rStyle w:val="a3"/>
                  <w:rFonts w:eastAsia="Times New Roman"/>
                  <w:sz w:val="20"/>
                  <w:szCs w:val="20"/>
                </w:rPr>
                <w:t>10.</w:t>
              </w:r>
            </w:hyperlink>
            <w:hyperlink r:id="rId112" w:history="1">
              <w:r>
                <w:rPr>
                  <w:rStyle w:val="a3"/>
                  <w:rFonts w:eastAsia="Times New Roman"/>
                  <w:sz w:val="20"/>
                  <w:szCs w:val="20"/>
                </w:rPr>
                <w:t>22</w:t>
              </w:r>
            </w:hyperlink>
            <w:hyperlink r:id="rId113" w:history="1">
              <w:r>
                <w:rPr>
                  <w:rStyle w:val="a3"/>
                  <w:rFonts w:eastAsia="Times New Roman"/>
                  <w:sz w:val="20"/>
                  <w:szCs w:val="20"/>
                </w:rPr>
                <w:t>.1†</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 xml:space="preserve">Equitable Supplemental Severance Plan for Executives, as amended and restated as of August 9, 2019 (incorporated by reference to Exhibit 10.2 to our Form 10-Q for the quarterly </w:t>
            </w:r>
            <w:r>
              <w:rPr>
                <w:rFonts w:eastAsia="Times New Roman"/>
                <w:color w:val="000000"/>
                <w:sz w:val="20"/>
                <w:szCs w:val="20"/>
              </w:rPr>
              <w:t>period ending June 30, 2019, as filed on August 9, 2019).</w:t>
            </w:r>
          </w:p>
        </w:tc>
      </w:tr>
      <w:tr w:rsidR="00000000">
        <w:trPr>
          <w:divId w:val="576212593"/>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114" w:history="1">
              <w:r>
                <w:rPr>
                  <w:rStyle w:val="a3"/>
                  <w:rFonts w:eastAsia="Times New Roman"/>
                  <w:sz w:val="20"/>
                  <w:szCs w:val="20"/>
                </w:rPr>
                <w:t>10.</w:t>
              </w:r>
            </w:hyperlink>
            <w:hyperlink r:id="rId115" w:history="1">
              <w:r>
                <w:rPr>
                  <w:rStyle w:val="a3"/>
                  <w:rFonts w:eastAsia="Times New Roman"/>
                  <w:sz w:val="20"/>
                  <w:szCs w:val="20"/>
                </w:rPr>
                <w:t>23</w:t>
              </w:r>
            </w:hyperlink>
            <w:hyperlink r:id="rId116" w:history="1">
              <w:r>
                <w:rPr>
                  <w:rStyle w:val="a3"/>
                  <w:rFonts w:eastAsia="Times New Roman"/>
                  <w:sz w:val="20"/>
                  <w:szCs w:val="20"/>
                </w:rPr>
                <w:t>†</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Equitable Executive Survivor Benefits Plan (i</w:t>
            </w:r>
            <w:r>
              <w:rPr>
                <w:rFonts w:eastAsia="Times New Roman"/>
                <w:color w:val="000000"/>
                <w:sz w:val="20"/>
                <w:szCs w:val="20"/>
              </w:rPr>
              <w:t>ncorporated by reference to Exhibit 10.47 to the IPO Form S-1).</w:t>
            </w:r>
          </w:p>
        </w:tc>
      </w:tr>
      <w:tr w:rsidR="00000000">
        <w:trPr>
          <w:divId w:val="576212593"/>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117" w:history="1">
              <w:r>
                <w:rPr>
                  <w:rStyle w:val="a3"/>
                  <w:rFonts w:eastAsia="Times New Roman"/>
                  <w:sz w:val="20"/>
                  <w:szCs w:val="20"/>
                </w:rPr>
                <w:t>10.</w:t>
              </w:r>
            </w:hyperlink>
            <w:hyperlink r:id="rId118" w:history="1">
              <w:r>
                <w:rPr>
                  <w:rStyle w:val="a3"/>
                  <w:rFonts w:eastAsia="Times New Roman"/>
                  <w:sz w:val="20"/>
                  <w:szCs w:val="20"/>
                </w:rPr>
                <w:t>24</w:t>
              </w:r>
            </w:hyperlink>
            <w:hyperlink r:id="rId119" w:history="1">
              <w:r>
                <w:rPr>
                  <w:rStyle w:val="a3"/>
                  <w:rFonts w:eastAsia="Times New Roman"/>
                  <w:sz w:val="20"/>
                  <w:szCs w:val="20"/>
                </w:rPr>
                <w:t>†</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Amended and Restated Variable Deferred Compensation Plan for Executives (incorporated by reference to Exhibit 10.48 to the IPO For</w:t>
            </w:r>
            <w:r>
              <w:rPr>
                <w:rFonts w:eastAsia="Times New Roman"/>
                <w:color w:val="000000"/>
                <w:sz w:val="20"/>
                <w:szCs w:val="20"/>
              </w:rPr>
              <w:t>m S-1).</w:t>
            </w:r>
          </w:p>
        </w:tc>
      </w:tr>
      <w:tr w:rsidR="00000000">
        <w:trPr>
          <w:divId w:val="576212593"/>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120" w:history="1">
              <w:r>
                <w:rPr>
                  <w:rStyle w:val="a3"/>
                  <w:rFonts w:eastAsia="Times New Roman"/>
                  <w:sz w:val="20"/>
                  <w:szCs w:val="20"/>
                </w:rPr>
                <w:t>10.</w:t>
              </w:r>
            </w:hyperlink>
            <w:hyperlink r:id="rId121" w:history="1">
              <w:r>
                <w:rPr>
                  <w:rStyle w:val="a3"/>
                  <w:rFonts w:eastAsia="Times New Roman"/>
                  <w:sz w:val="20"/>
                  <w:szCs w:val="20"/>
                </w:rPr>
                <w:t>25</w:t>
              </w:r>
            </w:hyperlink>
            <w:hyperlink r:id="rId122" w:history="1">
              <w:r>
                <w:rPr>
                  <w:rStyle w:val="a3"/>
                  <w:rFonts w:eastAsia="Times New Roman"/>
                  <w:sz w:val="20"/>
                  <w:szCs w:val="20"/>
                </w:rPr>
                <w:t>†</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 xml:space="preserve">Amended and Restated Equitable Post-2004 Variable Deferred </w:t>
            </w:r>
            <w:r>
              <w:rPr>
                <w:rFonts w:eastAsia="Times New Roman"/>
                <w:color w:val="000000"/>
                <w:sz w:val="20"/>
                <w:szCs w:val="20"/>
              </w:rPr>
              <w:t>Compensation Plan for Executives (incorporated by reference to Exhibit 10.49 to the IPO Form S-1).</w:t>
            </w:r>
          </w:p>
        </w:tc>
      </w:tr>
      <w:tr w:rsidR="00000000">
        <w:trPr>
          <w:divId w:val="576212593"/>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123" w:history="1">
              <w:r>
                <w:rPr>
                  <w:rStyle w:val="a3"/>
                  <w:rFonts w:eastAsia="Times New Roman"/>
                  <w:sz w:val="20"/>
                  <w:szCs w:val="20"/>
                </w:rPr>
                <w:t>10.</w:t>
              </w:r>
            </w:hyperlink>
            <w:hyperlink r:id="rId124" w:history="1">
              <w:r>
                <w:rPr>
                  <w:rStyle w:val="a3"/>
                  <w:rFonts w:eastAsia="Times New Roman"/>
                  <w:sz w:val="20"/>
                  <w:szCs w:val="20"/>
                </w:rPr>
                <w:t>26</w:t>
              </w:r>
            </w:hyperlink>
            <w:hyperlink r:id="rId125" w:history="1">
              <w:r>
                <w:rPr>
                  <w:rStyle w:val="a3"/>
                  <w:rFonts w:eastAsia="Times New Roman"/>
                  <w:sz w:val="20"/>
                  <w:szCs w:val="20"/>
                </w:rPr>
                <w:t>†</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Amendment to the Equitable Post-2004 Variable Deferred Compensation Plan for Executives, effective as of January 1, 2019 (incorporated by reference to Exhibit 10.69 to the 2018 Form 10-K).</w:t>
            </w:r>
          </w:p>
        </w:tc>
      </w:tr>
      <w:tr w:rsidR="00000000">
        <w:trPr>
          <w:divId w:val="576212593"/>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126" w:history="1">
              <w:r>
                <w:rPr>
                  <w:rStyle w:val="a3"/>
                  <w:rFonts w:eastAsia="Times New Roman"/>
                  <w:sz w:val="20"/>
                  <w:szCs w:val="20"/>
                </w:rPr>
                <w:t>10.</w:t>
              </w:r>
            </w:hyperlink>
            <w:hyperlink r:id="rId127" w:history="1">
              <w:r>
                <w:rPr>
                  <w:rStyle w:val="a3"/>
                  <w:rFonts w:eastAsia="Times New Roman"/>
                  <w:sz w:val="20"/>
                  <w:szCs w:val="20"/>
                </w:rPr>
                <w:t>27</w:t>
              </w:r>
            </w:hyperlink>
            <w:hyperlink r:id="rId128" w:history="1">
              <w:r>
                <w:rPr>
                  <w:rStyle w:val="a3"/>
                  <w:rFonts w:eastAsia="Times New Roman"/>
                  <w:sz w:val="20"/>
                  <w:szCs w:val="20"/>
                </w:rPr>
                <w:t>†</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Equit</w:t>
            </w:r>
            <w:r>
              <w:rPr>
                <w:rFonts w:eastAsia="Times New Roman"/>
                <w:color w:val="000000"/>
                <w:sz w:val="20"/>
                <w:szCs w:val="20"/>
              </w:rPr>
              <w:t>able Excess Retirement Plan (incorporated by reference to Exhibit 10.50 to the IPO Form S-1).</w:t>
            </w:r>
          </w:p>
        </w:tc>
      </w:tr>
      <w:tr w:rsidR="00000000">
        <w:trPr>
          <w:divId w:val="576212593"/>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129" w:history="1">
              <w:r>
                <w:rPr>
                  <w:rStyle w:val="a3"/>
                  <w:rFonts w:eastAsia="Times New Roman"/>
                  <w:sz w:val="20"/>
                  <w:szCs w:val="20"/>
                </w:rPr>
                <w:t>10.</w:t>
              </w:r>
            </w:hyperlink>
            <w:hyperlink r:id="rId130" w:history="1">
              <w:r>
                <w:rPr>
                  <w:rStyle w:val="a3"/>
                  <w:rFonts w:eastAsia="Times New Roman"/>
                  <w:sz w:val="20"/>
                  <w:szCs w:val="20"/>
                </w:rPr>
                <w:t>28</w:t>
              </w:r>
            </w:hyperlink>
            <w:hyperlink r:id="rId131" w:history="1">
              <w:r>
                <w:rPr>
                  <w:rStyle w:val="a3"/>
                  <w:rFonts w:eastAsia="Times New Roman"/>
                  <w:sz w:val="20"/>
                  <w:szCs w:val="20"/>
                </w:rPr>
                <w:t>†</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Equitable Holdings, Inc. Equity Plan for Directors (incorporated by reference to Exhibit 10.51 to the IPO Form S-1).</w:t>
            </w:r>
          </w:p>
        </w:tc>
      </w:tr>
      <w:tr w:rsidR="00000000">
        <w:trPr>
          <w:divId w:val="576212593"/>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132" w:history="1">
              <w:r>
                <w:rPr>
                  <w:rStyle w:val="a3"/>
                  <w:rFonts w:eastAsia="Times New Roman"/>
                  <w:sz w:val="20"/>
                  <w:szCs w:val="20"/>
                </w:rPr>
                <w:t>10.</w:t>
              </w:r>
            </w:hyperlink>
            <w:hyperlink r:id="rId133" w:history="1">
              <w:r>
                <w:rPr>
                  <w:rStyle w:val="a3"/>
                  <w:rFonts w:eastAsia="Times New Roman"/>
                  <w:sz w:val="20"/>
                  <w:szCs w:val="20"/>
                </w:rPr>
                <w:t>29</w:t>
              </w:r>
            </w:hyperlink>
            <w:hyperlink r:id="rId134" w:history="1">
              <w:r>
                <w:rPr>
                  <w:rStyle w:val="a3"/>
                  <w:rFonts w:eastAsia="Times New Roman"/>
                  <w:sz w:val="20"/>
                  <w:szCs w:val="20"/>
                </w:rPr>
                <w:t>†</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Form of Stock Opti</w:t>
            </w:r>
            <w:r>
              <w:rPr>
                <w:rFonts w:eastAsia="Times New Roman"/>
                <w:color w:val="000000"/>
                <w:sz w:val="20"/>
                <w:szCs w:val="20"/>
              </w:rPr>
              <w:t>on Agreement under the Equitable Holdings, Inc. Equity Plan for Directors (incorporated by reference to Exhibit 10.52 to the IPO Form S-1).</w:t>
            </w:r>
          </w:p>
        </w:tc>
      </w:tr>
      <w:tr w:rsidR="00000000">
        <w:trPr>
          <w:divId w:val="576212593"/>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135" w:history="1">
              <w:r>
                <w:rPr>
                  <w:rStyle w:val="a3"/>
                  <w:rFonts w:eastAsia="Times New Roman"/>
                  <w:sz w:val="20"/>
                  <w:szCs w:val="20"/>
                </w:rPr>
                <w:t>10.</w:t>
              </w:r>
            </w:hyperlink>
            <w:hyperlink r:id="rId136" w:history="1">
              <w:r>
                <w:rPr>
                  <w:rStyle w:val="a3"/>
                  <w:rFonts w:eastAsia="Times New Roman"/>
                  <w:sz w:val="20"/>
                  <w:szCs w:val="20"/>
                </w:rPr>
                <w:t>30</w:t>
              </w:r>
            </w:hyperlink>
            <w:hyperlink r:id="rId137" w:history="1">
              <w:r>
                <w:rPr>
                  <w:rStyle w:val="a3"/>
                  <w:rFonts w:eastAsia="Times New Roman"/>
                  <w:sz w:val="20"/>
                  <w:szCs w:val="20"/>
                </w:rPr>
                <w:t>†</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Form of Restricted Stock Agreement under the Equitable Holdings, Inc. Equity Plan for Directors (incorporated by reference to Exhibit 10.53 to the IPO Form S-1).</w:t>
            </w:r>
          </w:p>
        </w:tc>
      </w:tr>
      <w:tr w:rsidR="00000000">
        <w:trPr>
          <w:divId w:val="576212593"/>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138" w:history="1">
              <w:r>
                <w:rPr>
                  <w:rStyle w:val="a3"/>
                  <w:rFonts w:eastAsia="Times New Roman"/>
                  <w:sz w:val="20"/>
                  <w:szCs w:val="20"/>
                </w:rPr>
                <w:t>10.</w:t>
              </w:r>
            </w:hyperlink>
            <w:hyperlink r:id="rId139" w:history="1">
              <w:r>
                <w:rPr>
                  <w:rStyle w:val="a3"/>
                  <w:rFonts w:eastAsia="Times New Roman"/>
                  <w:sz w:val="20"/>
                  <w:szCs w:val="20"/>
                </w:rPr>
                <w:t>31</w:t>
              </w:r>
            </w:hyperlink>
            <w:hyperlink r:id="rId140" w:history="1">
              <w:r>
                <w:rPr>
                  <w:rStyle w:val="a3"/>
                  <w:rFonts w:eastAsia="Times New Roman"/>
                  <w:sz w:val="20"/>
                  <w:szCs w:val="20"/>
                </w:rPr>
                <w:t>†</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Equitable Post-2004 Variable Def</w:t>
            </w:r>
            <w:r>
              <w:rPr>
                <w:rFonts w:eastAsia="Times New Roman"/>
                <w:color w:val="000000"/>
                <w:sz w:val="20"/>
                <w:szCs w:val="20"/>
              </w:rPr>
              <w:t>erred Compensation Plan for Directors (incorporated by reference to Exhibit 10.54 to the IPO Form S-1).</w:t>
            </w:r>
          </w:p>
        </w:tc>
      </w:tr>
      <w:tr w:rsidR="00000000">
        <w:trPr>
          <w:divId w:val="576212593"/>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141" w:history="1">
              <w:r>
                <w:rPr>
                  <w:rStyle w:val="a3"/>
                  <w:rFonts w:eastAsia="Times New Roman"/>
                  <w:sz w:val="20"/>
                  <w:szCs w:val="20"/>
                </w:rPr>
                <w:t>10.</w:t>
              </w:r>
            </w:hyperlink>
            <w:hyperlink r:id="rId142" w:history="1">
              <w:r>
                <w:rPr>
                  <w:rStyle w:val="a3"/>
                  <w:rFonts w:eastAsia="Times New Roman"/>
                  <w:sz w:val="20"/>
                  <w:szCs w:val="20"/>
                </w:rPr>
                <w:t>32</w:t>
              </w:r>
            </w:hyperlink>
            <w:hyperlink r:id="rId143" w:history="1">
              <w:r>
                <w:rPr>
                  <w:rStyle w:val="a3"/>
                  <w:rFonts w:eastAsia="Times New Roman"/>
                  <w:sz w:val="20"/>
                  <w:szCs w:val="20"/>
                </w:rPr>
                <w:t>†</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Equitable Holdings, Inc. Charitable Award Program for Directors (incorporated by reference to Exhibit 10.55 to the IPO Form S-1).</w:t>
            </w:r>
          </w:p>
        </w:tc>
      </w:tr>
      <w:tr w:rsidR="00000000">
        <w:trPr>
          <w:divId w:val="576212593"/>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144" w:history="1">
              <w:r>
                <w:rPr>
                  <w:rStyle w:val="a3"/>
                  <w:rFonts w:eastAsia="Times New Roman"/>
                  <w:sz w:val="20"/>
                  <w:szCs w:val="20"/>
                </w:rPr>
                <w:t>10.</w:t>
              </w:r>
            </w:hyperlink>
            <w:hyperlink r:id="rId145" w:history="1">
              <w:r>
                <w:rPr>
                  <w:rStyle w:val="a3"/>
                  <w:rFonts w:eastAsia="Times New Roman"/>
                  <w:sz w:val="20"/>
                  <w:szCs w:val="20"/>
                </w:rPr>
                <w:t>33</w:t>
              </w:r>
            </w:hyperlink>
            <w:hyperlink r:id="rId146" w:history="1">
              <w:r>
                <w:rPr>
                  <w:rStyle w:val="a3"/>
                  <w:rFonts w:eastAsia="Times New Roman"/>
                  <w:sz w:val="20"/>
                  <w:szCs w:val="20"/>
                </w:rPr>
                <w:t>†</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 xml:space="preserve">Equitable Holdings, Inc. Short-Term Incentive Compensation Plan </w:t>
            </w:r>
            <w:r>
              <w:rPr>
                <w:rFonts w:eastAsia="Times New Roman"/>
                <w:color w:val="000000"/>
                <w:sz w:val="20"/>
                <w:szCs w:val="20"/>
              </w:rPr>
              <w:t>(incorporated by reference to Exhibit 10.56 to the IPO Form S-1).</w:t>
            </w:r>
          </w:p>
        </w:tc>
      </w:tr>
      <w:tr w:rsidR="00000000">
        <w:trPr>
          <w:divId w:val="576212593"/>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147" w:history="1">
              <w:r>
                <w:rPr>
                  <w:rStyle w:val="a3"/>
                  <w:rFonts w:eastAsia="Times New Roman"/>
                  <w:sz w:val="20"/>
                  <w:szCs w:val="20"/>
                </w:rPr>
                <w:t>10.</w:t>
              </w:r>
            </w:hyperlink>
            <w:hyperlink r:id="rId148" w:history="1">
              <w:r>
                <w:rPr>
                  <w:rStyle w:val="a3"/>
                  <w:rFonts w:eastAsia="Times New Roman"/>
                  <w:sz w:val="20"/>
                  <w:szCs w:val="20"/>
                </w:rPr>
                <w:t>34</w:t>
              </w:r>
            </w:hyperlink>
            <w:hyperlink r:id="rId149" w:history="1">
              <w:r>
                <w:rPr>
                  <w:rStyle w:val="a3"/>
                  <w:rFonts w:eastAsia="Times New Roman"/>
                  <w:sz w:val="20"/>
                  <w:szCs w:val="20"/>
                </w:rPr>
                <w:t>†</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AXA Equitable Holdings, Inc. 2018 Omnibus Incentive Plan (incorporated by reference to Exhibit 10.57 to the IPO Form S-1).</w:t>
            </w:r>
          </w:p>
        </w:tc>
      </w:tr>
      <w:tr w:rsidR="00000000">
        <w:trPr>
          <w:divId w:val="576212593"/>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150" w:history="1">
              <w:r>
                <w:rPr>
                  <w:rStyle w:val="a3"/>
                  <w:rFonts w:eastAsia="Times New Roman"/>
                  <w:sz w:val="20"/>
                  <w:szCs w:val="20"/>
                </w:rPr>
                <w:t>10.</w:t>
              </w:r>
            </w:hyperlink>
            <w:hyperlink r:id="rId151" w:history="1">
              <w:r>
                <w:rPr>
                  <w:rStyle w:val="a3"/>
                  <w:rFonts w:eastAsia="Times New Roman"/>
                  <w:sz w:val="20"/>
                  <w:szCs w:val="20"/>
                </w:rPr>
                <w:t>3</w:t>
              </w:r>
            </w:hyperlink>
            <w:hyperlink r:id="rId152" w:history="1">
              <w:r>
                <w:rPr>
                  <w:rStyle w:val="a3"/>
                  <w:rFonts w:eastAsia="Times New Roman"/>
                  <w:sz w:val="20"/>
                  <w:szCs w:val="20"/>
                </w:rPr>
                <w:t>5</w:t>
              </w:r>
            </w:hyperlink>
            <w:hyperlink r:id="rId153" w:history="1">
              <w:r>
                <w:rPr>
                  <w:rStyle w:val="a3"/>
                  <w:rFonts w:eastAsia="Times New Roman"/>
                  <w:sz w:val="20"/>
                  <w:szCs w:val="20"/>
                </w:rPr>
                <w:t>†</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divId w:val="906648066"/>
              <w:rPr>
                <w:rFonts w:eastAsia="Times New Roman"/>
              </w:rPr>
            </w:pPr>
            <w:r>
              <w:rPr>
                <w:rFonts w:eastAsia="Times New Roman"/>
                <w:color w:val="000000"/>
                <w:sz w:val="20"/>
                <w:szCs w:val="20"/>
              </w:rPr>
              <w:t>Equitable Holdings, Inc. 2019 Omnibus Incentive Plan (incorporated by re</w:t>
            </w:r>
            <w:r>
              <w:rPr>
                <w:rFonts w:eastAsia="Times New Roman"/>
                <w:color w:val="000000"/>
                <w:sz w:val="20"/>
                <w:szCs w:val="20"/>
              </w:rPr>
              <w:t>ference to Appendix B of the Equitable Holdings, Inc. DEF 14A, as filed on April 8, 2020).</w:t>
            </w:r>
          </w:p>
        </w:tc>
      </w:tr>
      <w:tr w:rsidR="00000000">
        <w:trPr>
          <w:divId w:val="576212593"/>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154" w:history="1">
              <w:r>
                <w:rPr>
                  <w:rStyle w:val="a3"/>
                  <w:rFonts w:eastAsia="Times New Roman"/>
                  <w:sz w:val="20"/>
                  <w:szCs w:val="20"/>
                </w:rPr>
                <w:t>10.</w:t>
              </w:r>
            </w:hyperlink>
            <w:hyperlink r:id="rId155" w:history="1">
              <w:r>
                <w:rPr>
                  <w:rStyle w:val="a3"/>
                  <w:rFonts w:eastAsia="Times New Roman"/>
                  <w:sz w:val="20"/>
                  <w:szCs w:val="20"/>
                </w:rPr>
                <w:t>36</w:t>
              </w:r>
            </w:hyperlink>
            <w:hyperlink r:id="rId156" w:history="1">
              <w:r>
                <w:rPr>
                  <w:rStyle w:val="a3"/>
                  <w:rFonts w:eastAsia="Times New Roman"/>
                  <w:sz w:val="20"/>
                  <w:szCs w:val="20"/>
                </w:rPr>
                <w:t>†</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Equitable Holdings, Inc. Stock Purchase Plan (incorporated by reference to Exhi</w:t>
            </w:r>
            <w:r>
              <w:rPr>
                <w:rFonts w:eastAsia="Times New Roman"/>
                <w:color w:val="000000"/>
                <w:sz w:val="20"/>
                <w:szCs w:val="20"/>
              </w:rPr>
              <w:t>bit 10.62 to the 2018 Form 10-K).</w:t>
            </w:r>
          </w:p>
        </w:tc>
      </w:tr>
      <w:tr w:rsidR="00000000">
        <w:trPr>
          <w:divId w:val="576212593"/>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157" w:history="1">
              <w:r>
                <w:rPr>
                  <w:rStyle w:val="a3"/>
                  <w:rFonts w:eastAsia="Times New Roman"/>
                  <w:sz w:val="20"/>
                  <w:szCs w:val="20"/>
                </w:rPr>
                <w:t>10.</w:t>
              </w:r>
            </w:hyperlink>
            <w:hyperlink r:id="rId158" w:history="1">
              <w:r>
                <w:rPr>
                  <w:rStyle w:val="a3"/>
                  <w:rFonts w:eastAsia="Times New Roman"/>
                  <w:sz w:val="20"/>
                  <w:szCs w:val="20"/>
                </w:rPr>
                <w:t>37</w:t>
              </w:r>
            </w:hyperlink>
            <w:hyperlink r:id="rId159" w:history="1">
              <w:r>
                <w:rPr>
                  <w:rStyle w:val="a3"/>
                  <w:rFonts w:eastAsia="Times New Roman"/>
                  <w:sz w:val="20"/>
                  <w:szCs w:val="20"/>
                </w:rPr>
                <w:t>†#</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Form of Performance Shares Award Agreement under the 2019 Omnibus Incentive Plan, effective February 16, 2022.</w:t>
            </w:r>
          </w:p>
        </w:tc>
      </w:tr>
      <w:tr w:rsidR="00000000">
        <w:trPr>
          <w:divId w:val="576212593"/>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160" w:history="1">
              <w:r>
                <w:rPr>
                  <w:rStyle w:val="a3"/>
                  <w:rFonts w:eastAsia="Times New Roman"/>
                  <w:sz w:val="20"/>
                  <w:szCs w:val="20"/>
                </w:rPr>
                <w:t>10.</w:t>
              </w:r>
            </w:hyperlink>
            <w:hyperlink r:id="rId161" w:history="1">
              <w:r>
                <w:rPr>
                  <w:rStyle w:val="a3"/>
                  <w:rFonts w:eastAsia="Times New Roman"/>
                  <w:sz w:val="20"/>
                  <w:szCs w:val="20"/>
                </w:rPr>
                <w:t>38</w:t>
              </w:r>
            </w:hyperlink>
            <w:hyperlink r:id="rId162" w:history="1">
              <w:r>
                <w:rPr>
                  <w:rStyle w:val="a3"/>
                  <w:rFonts w:eastAsia="Times New Roman"/>
                  <w:sz w:val="20"/>
                  <w:szCs w:val="20"/>
                </w:rPr>
                <w:t>†#</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Form of Restricted Stock Unit Award Agreement under the 2019 Omnibus Incentive Plan, effective February 16, 2022.</w:t>
            </w:r>
          </w:p>
        </w:tc>
      </w:tr>
      <w:tr w:rsidR="00000000">
        <w:trPr>
          <w:divId w:val="576212593"/>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163" w:history="1">
              <w:r>
                <w:rPr>
                  <w:rStyle w:val="a3"/>
                  <w:rFonts w:eastAsia="Times New Roman"/>
                  <w:sz w:val="20"/>
                  <w:szCs w:val="20"/>
                </w:rPr>
                <w:t>10.</w:t>
              </w:r>
            </w:hyperlink>
            <w:hyperlink r:id="rId164" w:history="1">
              <w:r>
                <w:rPr>
                  <w:rStyle w:val="a3"/>
                  <w:rFonts w:eastAsia="Times New Roman"/>
                  <w:sz w:val="20"/>
                  <w:szCs w:val="20"/>
                </w:rPr>
                <w:t>39</w:t>
              </w:r>
            </w:hyperlink>
            <w:hyperlink r:id="rId165" w:history="1">
              <w:r>
                <w:rPr>
                  <w:rStyle w:val="a3"/>
                  <w:rFonts w:eastAsia="Times New Roman"/>
                  <w:sz w:val="20"/>
                  <w:szCs w:val="20"/>
                </w:rPr>
                <w:t>†</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Form</w:t>
            </w:r>
            <w:r>
              <w:rPr>
                <w:rFonts w:eastAsia="Times New Roman"/>
                <w:color w:val="000000"/>
                <w:sz w:val="20"/>
                <w:szCs w:val="20"/>
              </w:rPr>
              <w:t xml:space="preserve"> of Performance Shares Award Agreement under the 2019 Omnibus Incentive Plan for awards granted before February 16, 2022 (incorporated by reference to Exhibit 10.56 to our Form 10-K for the fiscal year ended December 31, 2020, as filed February 24, 2021 (t</w:t>
            </w:r>
            <w:r>
              <w:rPr>
                <w:rFonts w:eastAsia="Times New Roman"/>
                <w:color w:val="000000"/>
                <w:sz w:val="20"/>
                <w:szCs w:val="20"/>
              </w:rPr>
              <w:t>he “2020 Form 10-K)).</w:t>
            </w:r>
          </w:p>
        </w:tc>
      </w:tr>
      <w:tr w:rsidR="00000000">
        <w:trPr>
          <w:divId w:val="576212593"/>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166" w:history="1">
              <w:r>
                <w:rPr>
                  <w:rStyle w:val="a3"/>
                  <w:rFonts w:eastAsia="Times New Roman"/>
                  <w:sz w:val="20"/>
                  <w:szCs w:val="20"/>
                </w:rPr>
                <w:t>10.</w:t>
              </w:r>
            </w:hyperlink>
            <w:hyperlink r:id="rId167" w:history="1">
              <w:r>
                <w:rPr>
                  <w:rStyle w:val="a3"/>
                  <w:rFonts w:eastAsia="Times New Roman"/>
                  <w:sz w:val="20"/>
                  <w:szCs w:val="20"/>
                </w:rPr>
                <w:t>40</w:t>
              </w:r>
            </w:hyperlink>
            <w:hyperlink r:id="rId168" w:history="1">
              <w:r>
                <w:rPr>
                  <w:rStyle w:val="a3"/>
                  <w:rFonts w:eastAsia="Times New Roman"/>
                  <w:sz w:val="20"/>
                  <w:szCs w:val="20"/>
                </w:rPr>
                <w:t xml:space="preserve">† </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Form of Restricted Stock Uni</w:t>
            </w:r>
            <w:r>
              <w:rPr>
                <w:rFonts w:eastAsia="Times New Roman"/>
                <w:color w:val="000000"/>
                <w:sz w:val="20"/>
                <w:szCs w:val="20"/>
              </w:rPr>
              <w:t>t Award Agreement under the 2019 Omnibus Incentive Plan for awards granted before February 16, 2022 (incorporated by reference to Exhibit 10.57 to the 2020 Form 10-K).</w:t>
            </w:r>
          </w:p>
        </w:tc>
      </w:tr>
      <w:tr w:rsidR="00000000">
        <w:trPr>
          <w:divId w:val="576212593"/>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169" w:history="1">
              <w:r>
                <w:rPr>
                  <w:rStyle w:val="a3"/>
                  <w:rFonts w:eastAsia="Times New Roman"/>
                  <w:sz w:val="20"/>
                  <w:szCs w:val="20"/>
                </w:rPr>
                <w:t>10.</w:t>
              </w:r>
            </w:hyperlink>
            <w:hyperlink r:id="rId170" w:history="1">
              <w:r>
                <w:rPr>
                  <w:rStyle w:val="a3"/>
                  <w:rFonts w:eastAsia="Times New Roman"/>
                  <w:sz w:val="20"/>
                  <w:szCs w:val="20"/>
                </w:rPr>
                <w:t>41</w:t>
              </w:r>
            </w:hyperlink>
            <w:hyperlink r:id="rId171" w:history="1">
              <w:r>
                <w:rPr>
                  <w:rStyle w:val="a3"/>
                  <w:rFonts w:eastAsia="Times New Roman"/>
                  <w:sz w:val="20"/>
                  <w:szCs w:val="20"/>
                </w:rPr>
                <w:t>†</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Fo</w:t>
            </w:r>
            <w:r>
              <w:rPr>
                <w:rFonts w:eastAsia="Times New Roman"/>
                <w:color w:val="000000"/>
                <w:sz w:val="20"/>
                <w:szCs w:val="20"/>
              </w:rPr>
              <w:t>rm of Stock Option Award Agreement under the 2019 Omnibus Incentive Plan for awards granted before February 16, 2022 (incorporated by reference to Exhibit 10.58 to the 2020 Form 10-K).</w:t>
            </w:r>
          </w:p>
        </w:tc>
      </w:tr>
      <w:tr w:rsidR="00000000">
        <w:trPr>
          <w:divId w:val="576212593"/>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172" w:history="1">
              <w:r>
                <w:rPr>
                  <w:rStyle w:val="a3"/>
                  <w:rFonts w:eastAsia="Times New Roman"/>
                  <w:sz w:val="20"/>
                  <w:szCs w:val="20"/>
                </w:rPr>
                <w:t>10.</w:t>
              </w:r>
            </w:hyperlink>
            <w:hyperlink r:id="rId173" w:history="1">
              <w:r>
                <w:rPr>
                  <w:rStyle w:val="a3"/>
                  <w:rFonts w:eastAsia="Times New Roman"/>
                  <w:sz w:val="20"/>
                  <w:szCs w:val="20"/>
                </w:rPr>
                <w:t>42</w:t>
              </w:r>
            </w:hyperlink>
            <w:hyperlink r:id="rId174" w:history="1">
              <w:r>
                <w:rPr>
                  <w:rStyle w:val="a3"/>
                  <w:rFonts w:eastAsia="Times New Roman"/>
                  <w:sz w:val="20"/>
                  <w:szCs w:val="20"/>
                </w:rPr>
                <w:t>†</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AllianceBernstein 2021 Incentive Compensation Award Program (incorporated by reference to Exhibit 10.01 to AB Holding’s Form 10-K for the fiscal year ended December 31, 2021, as filed February 11, 2022 (the “AB 2021 Form 10-K”).</w:t>
            </w:r>
          </w:p>
        </w:tc>
      </w:tr>
      <w:tr w:rsidR="00000000">
        <w:trPr>
          <w:divId w:val="576212593"/>
        </w:trPr>
        <w:tc>
          <w:tcPr>
            <w:tcW w:w="0" w:type="auto"/>
            <w:gridSpan w:val="3"/>
            <w:tcMar>
              <w:top w:w="30" w:type="dxa"/>
              <w:left w:w="20" w:type="dxa"/>
              <w:bottom w:w="30" w:type="dxa"/>
              <w:right w:w="20" w:type="dxa"/>
            </w:tcMar>
            <w:vAlign w:val="center"/>
            <w:hideMark/>
          </w:tcPr>
          <w:p w:rsidR="00000000" w:rsidRDefault="005B0BC3">
            <w:pPr>
              <w:spacing w:after="100"/>
              <w:jc w:val="center"/>
              <w:rPr>
                <w:rFonts w:eastAsia="Times New Roman"/>
              </w:rPr>
            </w:pPr>
            <w:hyperlink r:id="rId175" w:history="1">
              <w:r>
                <w:rPr>
                  <w:rStyle w:val="a3"/>
                  <w:rFonts w:eastAsia="Times New Roman"/>
                  <w:sz w:val="20"/>
                  <w:szCs w:val="20"/>
                </w:rPr>
                <w:t>10.</w:t>
              </w:r>
            </w:hyperlink>
            <w:hyperlink r:id="rId176" w:history="1">
              <w:r>
                <w:rPr>
                  <w:rStyle w:val="a3"/>
                  <w:rFonts w:eastAsia="Times New Roman"/>
                  <w:sz w:val="20"/>
                  <w:szCs w:val="20"/>
                </w:rPr>
                <w:t>43</w:t>
              </w:r>
            </w:hyperlink>
            <w:hyperlink r:id="rId177" w:history="1">
              <w:r>
                <w:rPr>
                  <w:rStyle w:val="a3"/>
                  <w:rFonts w:eastAsia="Times New Roman"/>
                  <w:sz w:val="20"/>
                  <w:szCs w:val="20"/>
                </w:rPr>
                <w:t>†</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AllianceBernstein 2021 Deferred Cash Compensation Program (incorporated by reference to Exhibit 10.02 of the AB 2021 Form 10-K).</w:t>
            </w:r>
          </w:p>
        </w:tc>
      </w:tr>
      <w:tr w:rsidR="00000000">
        <w:trPr>
          <w:divId w:val="576212593"/>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178" w:history="1">
              <w:r>
                <w:rPr>
                  <w:rStyle w:val="a3"/>
                  <w:rFonts w:eastAsia="Times New Roman"/>
                  <w:sz w:val="20"/>
                  <w:szCs w:val="20"/>
                </w:rPr>
                <w:t>10.</w:t>
              </w:r>
            </w:hyperlink>
            <w:hyperlink r:id="rId179" w:history="1">
              <w:r>
                <w:rPr>
                  <w:rStyle w:val="a3"/>
                  <w:rFonts w:eastAsia="Times New Roman"/>
                  <w:sz w:val="20"/>
                  <w:szCs w:val="20"/>
                </w:rPr>
                <w:t>44</w:t>
              </w:r>
            </w:hyperlink>
            <w:hyperlink r:id="rId180" w:history="1">
              <w:r>
                <w:rPr>
                  <w:rStyle w:val="a3"/>
                  <w:rFonts w:eastAsia="Times New Roman"/>
                  <w:sz w:val="20"/>
                  <w:szCs w:val="20"/>
                </w:rPr>
                <w:t>†</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Form of Award Agreement, dated as of December 31, 2021, under Incentive Compensation Award Program, Deferred Cash Compensation Program and AB 2017 Long Term Incentive Plan (incorporated by reference to Exhibit 10.03 of the AB 2021 Form 10-K).</w:t>
            </w:r>
          </w:p>
        </w:tc>
      </w:tr>
      <w:tr w:rsidR="00000000">
        <w:trPr>
          <w:divId w:val="576212593"/>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181" w:history="1">
              <w:r>
                <w:rPr>
                  <w:rStyle w:val="a3"/>
                  <w:rFonts w:eastAsia="Times New Roman"/>
                  <w:sz w:val="20"/>
                  <w:szCs w:val="20"/>
                </w:rPr>
                <w:t>10.45</w:t>
              </w:r>
            </w:hyperlink>
            <w:hyperlink r:id="rId182" w:history="1">
              <w:r>
                <w:rPr>
                  <w:rStyle w:val="a3"/>
                  <w:rFonts w:eastAsia="Times New Roman"/>
                  <w:sz w:val="20"/>
                  <w:szCs w:val="20"/>
                </w:rPr>
                <w:t>†</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Form of Award Agreement under AB 2017 Lon</w:t>
            </w:r>
            <w:r>
              <w:rPr>
                <w:rFonts w:eastAsia="Times New Roman"/>
                <w:color w:val="000000"/>
                <w:sz w:val="20"/>
                <w:szCs w:val="20"/>
              </w:rPr>
              <w:t>g Term Incentive Plan relating to equity compensation awards to Independent Directors (incorporated by reference to Exhibit 10.04 of the AB 2021 Form 10-K).</w:t>
            </w:r>
          </w:p>
        </w:tc>
      </w:tr>
      <w:tr w:rsidR="00000000">
        <w:trPr>
          <w:divId w:val="576212593"/>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183" w:history="1">
              <w:r>
                <w:rPr>
                  <w:rStyle w:val="a3"/>
                  <w:rFonts w:eastAsia="Times New Roman"/>
                  <w:sz w:val="20"/>
                  <w:szCs w:val="20"/>
                </w:rPr>
                <w:t>10.46</w:t>
              </w:r>
            </w:hyperlink>
            <w:hyperlink r:id="rId184" w:history="1">
              <w:r>
                <w:rPr>
                  <w:rStyle w:val="a3"/>
                  <w:rFonts w:eastAsia="Times New Roman"/>
                  <w:sz w:val="20"/>
                  <w:szCs w:val="20"/>
                </w:rPr>
                <w:t>†</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B0BC3">
            <w:pPr>
              <w:spacing w:after="100"/>
              <w:rPr>
                <w:rFonts w:eastAsia="Times New Roman"/>
              </w:rPr>
            </w:pPr>
            <w:r>
              <w:rPr>
                <w:rFonts w:eastAsia="Times New Roman"/>
                <w:color w:val="000000"/>
                <w:sz w:val="20"/>
                <w:szCs w:val="20"/>
              </w:rPr>
              <w:t>AllianceBernstein Change in Control Plan for Executive Officers (incorporated by reference to Exhibit 99.01 to AB Holding’s Form 8-K, as filed December 14, 2020).</w:t>
            </w:r>
          </w:p>
        </w:tc>
      </w:tr>
      <w:tr w:rsidR="00000000">
        <w:trPr>
          <w:divId w:val="576212593"/>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185" w:history="1">
              <w:r>
                <w:rPr>
                  <w:rStyle w:val="a3"/>
                  <w:rFonts w:eastAsia="Times New Roman"/>
                  <w:sz w:val="20"/>
                  <w:szCs w:val="20"/>
                </w:rPr>
                <w:t>10.47</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Master Transaction Agreement, dated as of October 27, 2020 among Equitable Holdings, Inc., Venerable Insurance and Annuity Company an</w:t>
            </w:r>
            <w:r>
              <w:rPr>
                <w:rFonts w:eastAsia="Times New Roman"/>
                <w:color w:val="000000"/>
                <w:sz w:val="20"/>
                <w:szCs w:val="20"/>
              </w:rPr>
              <w:t>d solely with respect to Article XIV, Venerable Holdings, Inc. (incorporated by reference to Exhibit 10.64 to the 202 Form 10-K.</w:t>
            </w:r>
          </w:p>
        </w:tc>
      </w:tr>
    </w:tbl>
    <w:p w:rsidR="00000000" w:rsidRDefault="005B0BC3">
      <w:pPr>
        <w:jc w:val="center"/>
        <w:divId w:val="1884975133"/>
        <w:rPr>
          <w:rFonts w:eastAsia="Times New Roman"/>
        </w:rPr>
      </w:pPr>
      <w:r>
        <w:rPr>
          <w:rFonts w:eastAsia="Times New Roman"/>
          <w:color w:val="000000"/>
          <w:sz w:val="20"/>
          <w:szCs w:val="20"/>
        </w:rPr>
        <w:t>252</w:t>
      </w:r>
    </w:p>
    <w:p w:rsidR="00000000" w:rsidRDefault="005B0BC3">
      <w:pPr>
        <w:rPr>
          <w:rFonts w:eastAsia="Times New Roman"/>
        </w:rPr>
      </w:pPr>
      <w:r>
        <w:rPr>
          <w:rFonts w:eastAsia="Times New Roman"/>
        </w:rPr>
        <w:pict>
          <v:rect id="_x0000_i1290" style="width:0;height:1.5pt" o:hralign="center" o:hrstd="t" o:hr="t" fillcolor="#a0a0a0" stroked="f"/>
        </w:pict>
      </w:r>
    </w:p>
    <w:p w:rsidR="00000000" w:rsidRDefault="005B0BC3">
      <w:pPr>
        <w:divId w:val="1713730463"/>
        <w:rPr>
          <w:rFonts w:eastAsia="Times New Roman"/>
        </w:rPr>
      </w:pPr>
      <w:hyperlink w:anchor="i2ac35847634046b3a89f93d9b422e8f5_421" w:history="1">
        <w:r>
          <w:rPr>
            <w:rStyle w:val="a3"/>
            <w:rFonts w:eastAsia="Times New Roman"/>
            <w:b/>
            <w:bCs/>
            <w:sz w:val="20"/>
            <w:szCs w:val="20"/>
          </w:rPr>
          <w:t>Table of Contents</w:t>
        </w:r>
      </w:hyperlink>
    </w:p>
    <w:tbl>
      <w:tblPr>
        <w:tblW w:w="4992" w:type="pct"/>
        <w:tblCellMar>
          <w:top w:w="15" w:type="dxa"/>
          <w:left w:w="15" w:type="dxa"/>
          <w:bottom w:w="15" w:type="dxa"/>
          <w:right w:w="15" w:type="dxa"/>
        </w:tblCellMar>
        <w:tblLook w:val="04A0" w:firstRow="1" w:lastRow="0" w:firstColumn="1" w:lastColumn="0" w:noHBand="0" w:noVBand="1"/>
      </w:tblPr>
      <w:tblGrid>
        <w:gridCol w:w="88"/>
        <w:gridCol w:w="684"/>
        <w:gridCol w:w="36"/>
        <w:gridCol w:w="36"/>
        <w:gridCol w:w="36"/>
        <w:gridCol w:w="36"/>
        <w:gridCol w:w="38"/>
        <w:gridCol w:w="7302"/>
        <w:gridCol w:w="37"/>
      </w:tblGrid>
      <w:tr w:rsidR="00000000">
        <w:trPr>
          <w:divId w:val="1425493893"/>
        </w:trPr>
        <w:tc>
          <w:tcPr>
            <w:tcW w:w="50" w:type="pct"/>
            <w:vAlign w:val="center"/>
            <w:hideMark/>
          </w:tcPr>
          <w:p w:rsidR="00000000" w:rsidRDefault="005B0BC3">
            <w:pPr>
              <w:rPr>
                <w:rFonts w:eastAsia="Times New Roman"/>
              </w:rPr>
            </w:pPr>
          </w:p>
        </w:tc>
        <w:tc>
          <w:tcPr>
            <w:tcW w:w="39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26"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446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425493893"/>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186" w:history="1">
              <w:r>
                <w:rPr>
                  <w:rStyle w:val="a3"/>
                  <w:rFonts w:eastAsia="Times New Roman"/>
                  <w:sz w:val="20"/>
                  <w:szCs w:val="20"/>
                </w:rPr>
                <w:t>10.48</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divId w:val="325783981"/>
              <w:rPr>
                <w:rFonts w:eastAsia="Times New Roman"/>
              </w:rPr>
            </w:pPr>
            <w:r>
              <w:rPr>
                <w:rFonts w:eastAsia="Times New Roman"/>
                <w:color w:val="000000"/>
                <w:sz w:val="20"/>
                <w:szCs w:val="20"/>
              </w:rPr>
              <w:t>Coinsurance and Modified Coinsurance Agreement, dated as of June 1, 2021, between Equitable Financial Life Insurance Company and Corporate Solutions Life Reinsurance Company (redacted) (incorporated by reference to Exhibit 10.1 to the Current Report on For</w:t>
            </w:r>
            <w:r>
              <w:rPr>
                <w:rFonts w:eastAsia="Times New Roman"/>
                <w:color w:val="000000"/>
                <w:sz w:val="20"/>
                <w:szCs w:val="20"/>
              </w:rPr>
              <w:t>m 8-K filed by Equitable Financial Life Insurance Company on June 1, 2021).</w:t>
            </w:r>
          </w:p>
        </w:tc>
      </w:tr>
      <w:tr w:rsidR="00000000">
        <w:trPr>
          <w:divId w:val="1425493893"/>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187" w:history="1">
              <w:r>
                <w:rPr>
                  <w:rStyle w:val="a3"/>
                  <w:rFonts w:eastAsia="Times New Roman"/>
                  <w:sz w:val="20"/>
                  <w:szCs w:val="20"/>
                </w:rPr>
                <w:t>21.1#</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List of Subsidiaries of Equitable Holdings, Inc.</w:t>
            </w:r>
          </w:p>
        </w:tc>
      </w:tr>
      <w:tr w:rsidR="00000000">
        <w:trPr>
          <w:divId w:val="1425493893"/>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188" w:history="1">
              <w:r>
                <w:rPr>
                  <w:rStyle w:val="a3"/>
                  <w:rFonts w:eastAsia="Times New Roman"/>
                  <w:sz w:val="20"/>
                  <w:szCs w:val="20"/>
                </w:rPr>
                <w:t>23.1#</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Consent of PricewaterhouseCoopers LLP.</w:t>
            </w:r>
          </w:p>
        </w:tc>
      </w:tr>
      <w:tr w:rsidR="00000000">
        <w:trPr>
          <w:divId w:val="1425493893"/>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189" w:history="1">
              <w:r>
                <w:rPr>
                  <w:rStyle w:val="a3"/>
                  <w:rFonts w:eastAsia="Times New Roman"/>
                  <w:sz w:val="20"/>
                  <w:szCs w:val="20"/>
                </w:rPr>
                <w:t>31.1#</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Certification of the Registrant’s Chief Executive Officer pursuant to Section 302 of the Sarbanes-Oxley Act of 2002</w:t>
            </w:r>
          </w:p>
        </w:tc>
      </w:tr>
      <w:tr w:rsidR="00000000">
        <w:trPr>
          <w:divId w:val="1425493893"/>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190" w:history="1">
              <w:r>
                <w:rPr>
                  <w:rStyle w:val="a3"/>
                  <w:rFonts w:eastAsia="Times New Roman"/>
                  <w:sz w:val="20"/>
                  <w:szCs w:val="20"/>
                </w:rPr>
                <w:t>31</w:t>
              </w:r>
              <w:r>
                <w:rPr>
                  <w:rStyle w:val="a3"/>
                  <w:rFonts w:eastAsia="Times New Roman"/>
                  <w:sz w:val="20"/>
                  <w:szCs w:val="20"/>
                </w:rPr>
                <w:t>.2#</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Certification of the Registrant’s Chief Financial Officer pursuant to Section 302 of the Sarbanes-Oxley Act of 2002</w:t>
            </w:r>
          </w:p>
        </w:tc>
      </w:tr>
      <w:tr w:rsidR="00000000">
        <w:trPr>
          <w:divId w:val="1425493893"/>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191" w:history="1">
              <w:r>
                <w:rPr>
                  <w:rStyle w:val="a3"/>
                  <w:rFonts w:eastAsia="Times New Roman"/>
                  <w:sz w:val="20"/>
                  <w:szCs w:val="20"/>
                </w:rPr>
                <w:t>32.1#</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Certification of the Registrant’</w:t>
            </w:r>
            <w:r>
              <w:rPr>
                <w:rFonts w:eastAsia="Times New Roman"/>
                <w:color w:val="000000"/>
                <w:sz w:val="20"/>
                <w:szCs w:val="20"/>
              </w:rPr>
              <w:t>s Chief Executive Officer pursuant to Section 906 of the Sarbanes-Oxley Act of 2002</w:t>
            </w:r>
          </w:p>
        </w:tc>
      </w:tr>
      <w:tr w:rsidR="00000000">
        <w:trPr>
          <w:divId w:val="1425493893"/>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hyperlink r:id="rId192" w:history="1">
              <w:r>
                <w:rPr>
                  <w:rStyle w:val="a3"/>
                  <w:rFonts w:eastAsia="Times New Roman"/>
                  <w:sz w:val="20"/>
                  <w:szCs w:val="20"/>
                </w:rPr>
                <w:t>32.2#</w:t>
              </w:r>
            </w:hyperlink>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Certification of the Registrant’s Chief Financial Officer pursuant to Section 906 of the Sarbanes-Oxley Act of 2002</w:t>
            </w:r>
          </w:p>
        </w:tc>
      </w:tr>
      <w:tr w:rsidR="00000000">
        <w:trPr>
          <w:divId w:val="1425493893"/>
          <w:trHeight w:val="180"/>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425493893"/>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XBRL Instance Document</w:t>
            </w:r>
          </w:p>
        </w:tc>
      </w:tr>
      <w:tr w:rsidR="00000000">
        <w:trPr>
          <w:divId w:val="1425493893"/>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XBRL Taxonomy Extension Schema Document</w:t>
            </w:r>
          </w:p>
        </w:tc>
      </w:tr>
      <w:tr w:rsidR="00000000">
        <w:trPr>
          <w:divId w:val="1425493893"/>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XBRL Taxonomy Extension Calculation Linkbase Document</w:t>
            </w:r>
          </w:p>
        </w:tc>
      </w:tr>
      <w:tr w:rsidR="00000000">
        <w:trPr>
          <w:divId w:val="1425493893"/>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XBRL Taxonomy Extension Label Linkbase Document</w:t>
            </w:r>
          </w:p>
        </w:tc>
      </w:tr>
      <w:tr w:rsidR="00000000">
        <w:trPr>
          <w:divId w:val="1425493893"/>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XBRL Taxonomy Extension Presentation Linkbase Document</w:t>
            </w:r>
          </w:p>
        </w:tc>
      </w:tr>
      <w:tr w:rsidR="00000000">
        <w:trPr>
          <w:divId w:val="1425493893"/>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XBRL Taxonomy Extension Definition Linkbase Document</w:t>
            </w:r>
          </w:p>
        </w:tc>
      </w:tr>
      <w:tr w:rsidR="00000000">
        <w:trPr>
          <w:divId w:val="1425493893"/>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Cover Page Interactive Data File (formatted in Inline XBRL and contained in Exhibits 101)</w:t>
            </w:r>
          </w:p>
        </w:tc>
      </w:tr>
      <w:tr w:rsidR="00000000">
        <w:trPr>
          <w:divId w:val="1425493893"/>
          <w:trHeight w:val="240"/>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425493893"/>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Filed herewith.</w:t>
            </w:r>
          </w:p>
        </w:tc>
      </w:tr>
      <w:tr w:rsidR="00000000">
        <w:trPr>
          <w:divId w:val="1425493893"/>
        </w:trPr>
        <w:tc>
          <w:tcPr>
            <w:tcW w:w="0" w:type="auto"/>
            <w:gridSpan w:val="3"/>
            <w:tcMar>
              <w:top w:w="30" w:type="dxa"/>
              <w:left w:w="20" w:type="dxa"/>
              <w:bottom w:w="30" w:type="dxa"/>
              <w:right w:w="20" w:type="dxa"/>
            </w:tcMar>
            <w:hideMark/>
          </w:tcPr>
          <w:p w:rsidR="00000000" w:rsidRDefault="005B0BC3">
            <w:pPr>
              <w:spacing w:after="100"/>
              <w:jc w:val="center"/>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Identifies each management contract or compensatory plan or arrangement.</w:t>
            </w:r>
          </w:p>
        </w:tc>
      </w:tr>
    </w:tbl>
    <w:p w:rsidR="00000000" w:rsidRDefault="005B0BC3">
      <w:pPr>
        <w:jc w:val="center"/>
        <w:divId w:val="1102187762"/>
        <w:rPr>
          <w:rFonts w:eastAsia="Times New Roman"/>
        </w:rPr>
      </w:pPr>
      <w:r>
        <w:rPr>
          <w:rFonts w:eastAsia="Times New Roman"/>
          <w:b/>
          <w:bCs/>
          <w:color w:val="000000"/>
          <w:sz w:val="20"/>
          <w:szCs w:val="20"/>
        </w:rPr>
        <w:t xml:space="preserve">SIGNATURES </w:t>
      </w:r>
    </w:p>
    <w:p w:rsidR="00000000" w:rsidRDefault="005B0BC3">
      <w:pPr>
        <w:divId w:val="777061391"/>
        <w:rPr>
          <w:rFonts w:eastAsia="Times New Roman"/>
        </w:rPr>
      </w:pPr>
      <w:r>
        <w:rPr>
          <w:rFonts w:eastAsia="Times New Roman"/>
          <w:color w:val="000000"/>
          <w:sz w:val="20"/>
          <w:szCs w:val="20"/>
        </w:rPr>
        <w:t>Pursuant to the requirements of Section </w:t>
      </w:r>
      <w:r>
        <w:rPr>
          <w:rFonts w:eastAsia="Times New Roman"/>
          <w:color w:val="000000"/>
          <w:sz w:val="20"/>
          <w:szCs w:val="20"/>
        </w:rPr>
        <w:t>13 or 15(d) of the Securities Exchange Act of 1934, Equitable Holdings, Inc. has duly caused this report to be signed on its behalf by the undersigned, thereunto duly authorized, on February 22, 2022.</w:t>
      </w:r>
    </w:p>
    <w:tbl>
      <w:tblPr>
        <w:tblW w:w="5000" w:type="pct"/>
        <w:tblCellMar>
          <w:top w:w="15" w:type="dxa"/>
          <w:left w:w="15" w:type="dxa"/>
          <w:bottom w:w="15" w:type="dxa"/>
          <w:right w:w="15" w:type="dxa"/>
        </w:tblCellMar>
        <w:tblLook w:val="04A0" w:firstRow="1" w:lastRow="0" w:firstColumn="1" w:lastColumn="0" w:noHBand="0" w:noVBand="1"/>
      </w:tblPr>
      <w:tblGrid>
        <w:gridCol w:w="68"/>
        <w:gridCol w:w="3343"/>
        <w:gridCol w:w="36"/>
        <w:gridCol w:w="69"/>
        <w:gridCol w:w="332"/>
        <w:gridCol w:w="38"/>
        <w:gridCol w:w="69"/>
        <w:gridCol w:w="4315"/>
        <w:gridCol w:w="36"/>
      </w:tblGrid>
      <w:tr w:rsidR="00000000">
        <w:trPr>
          <w:divId w:val="1182671310"/>
        </w:trPr>
        <w:tc>
          <w:tcPr>
            <w:tcW w:w="50" w:type="pct"/>
            <w:vAlign w:val="center"/>
            <w:hideMark/>
          </w:tcPr>
          <w:p w:rsidR="00000000" w:rsidRDefault="005B0BC3">
            <w:pPr>
              <w:rPr>
                <w:rFonts w:eastAsia="Times New Roman"/>
              </w:rPr>
            </w:pPr>
          </w:p>
        </w:tc>
        <w:tc>
          <w:tcPr>
            <w:tcW w:w="202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20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260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182671310"/>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6"/>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EQUITABLE HOLDINGS, INC.</w:t>
            </w:r>
          </w:p>
        </w:tc>
      </w:tr>
      <w:tr w:rsidR="00000000">
        <w:trPr>
          <w:divId w:val="1182671310"/>
          <w:trHeight w:val="240"/>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182671310"/>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5B0BC3">
            <w:pPr>
              <w:spacing w:after="100"/>
              <w:jc w:val="both"/>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/s/ Mark Pearson</w:t>
            </w:r>
          </w:p>
        </w:tc>
      </w:tr>
      <w:tr w:rsidR="00000000">
        <w:trPr>
          <w:divId w:val="1182671310"/>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Name: Mark Pearson</w:t>
            </w:r>
          </w:p>
        </w:tc>
      </w:tr>
      <w:tr w:rsidR="00000000">
        <w:trPr>
          <w:divId w:val="1182671310"/>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5B0BC3">
            <w:pPr>
              <w:spacing w:after="100"/>
              <w:rPr>
                <w:rFonts w:eastAsia="Times New Roman"/>
              </w:rPr>
            </w:pPr>
            <w:r>
              <w:rPr>
                <w:rFonts w:eastAsia="Times New Roman"/>
                <w:color w:val="000000"/>
                <w:sz w:val="20"/>
                <w:szCs w:val="20"/>
              </w:rPr>
              <w:t>Title: President and Chief Executive Officer</w:t>
            </w:r>
          </w:p>
        </w:tc>
      </w:tr>
    </w:tbl>
    <w:p w:rsidR="00000000" w:rsidRDefault="005B0BC3">
      <w:pPr>
        <w:divId w:val="1762598948"/>
        <w:rPr>
          <w:rFonts w:eastAsia="Times New Roman"/>
        </w:rPr>
      </w:pPr>
    </w:p>
    <w:p w:rsidR="00000000" w:rsidRDefault="005B0BC3">
      <w:pPr>
        <w:divId w:val="405685097"/>
        <w:rPr>
          <w:rFonts w:eastAsia="Times New Roman"/>
        </w:rPr>
      </w:pPr>
      <w:r>
        <w:rPr>
          <w:rFonts w:eastAsia="Times New Roman"/>
          <w:color w:val="000000"/>
          <w:sz w:val="20"/>
          <w:szCs w:val="20"/>
        </w:rPr>
        <w:t>Pursuant to the requirements of the Securities Exchange Act of 1934, this report has been signed below by the following persons on behalf of the registrant, and in the capacities indicated, on February 22, 2022.</w:t>
      </w:r>
    </w:p>
    <w:p w:rsidR="00000000" w:rsidRDefault="005B0BC3">
      <w:pPr>
        <w:jc w:val="center"/>
        <w:divId w:val="687676780"/>
        <w:rPr>
          <w:rFonts w:eastAsia="Times New Roman"/>
        </w:rPr>
      </w:pPr>
      <w:r>
        <w:rPr>
          <w:rFonts w:eastAsia="Times New Roman"/>
          <w:color w:val="000000"/>
          <w:sz w:val="20"/>
          <w:szCs w:val="20"/>
        </w:rPr>
        <w:t>253</w:t>
      </w:r>
    </w:p>
    <w:p w:rsidR="00000000" w:rsidRDefault="005B0BC3">
      <w:pPr>
        <w:rPr>
          <w:rFonts w:eastAsia="Times New Roman"/>
        </w:rPr>
      </w:pPr>
      <w:r>
        <w:rPr>
          <w:rFonts w:eastAsia="Times New Roman"/>
        </w:rPr>
        <w:pict>
          <v:rect id="_x0000_i1291" style="width:0;height:1.5pt" o:hralign="center" o:hrstd="t" o:hr="t" fillcolor="#a0a0a0" stroked="f"/>
        </w:pict>
      </w:r>
    </w:p>
    <w:p w:rsidR="00000000" w:rsidRDefault="005B0BC3">
      <w:pPr>
        <w:divId w:val="1495871724"/>
        <w:rPr>
          <w:rFonts w:eastAsia="Times New Roman"/>
        </w:rPr>
      </w:pPr>
      <w:hyperlink w:anchor="i2ac35847634046b3a89f93d9b422e8f5_421" w:history="1">
        <w:r>
          <w:rPr>
            <w:rStyle w:val="a3"/>
            <w:rFonts w:eastAsia="Times New Roman"/>
            <w:b/>
            <w:bCs/>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0"/>
        <w:gridCol w:w="3250"/>
        <w:gridCol w:w="36"/>
        <w:gridCol w:w="36"/>
        <w:gridCol w:w="58"/>
        <w:gridCol w:w="36"/>
        <w:gridCol w:w="61"/>
        <w:gridCol w:w="4732"/>
        <w:gridCol w:w="37"/>
      </w:tblGrid>
      <w:tr w:rsidR="00000000">
        <w:trPr>
          <w:divId w:val="1520659984"/>
        </w:trPr>
        <w:tc>
          <w:tcPr>
            <w:tcW w:w="50" w:type="pct"/>
            <w:vAlign w:val="center"/>
            <w:hideMark/>
          </w:tcPr>
          <w:p w:rsidR="00000000" w:rsidRDefault="005B0BC3">
            <w:pPr>
              <w:rPr>
                <w:rFonts w:eastAsia="Times New Roman"/>
              </w:rPr>
            </w:pPr>
          </w:p>
        </w:tc>
        <w:tc>
          <w:tcPr>
            <w:tcW w:w="1969"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48"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c>
          <w:tcPr>
            <w:tcW w:w="50" w:type="pct"/>
            <w:vAlign w:val="center"/>
            <w:hideMark/>
          </w:tcPr>
          <w:p w:rsidR="00000000" w:rsidRDefault="005B0BC3">
            <w:pPr>
              <w:spacing w:after="100"/>
              <w:rPr>
                <w:rFonts w:eastAsia="Times New Roman"/>
                <w:sz w:val="20"/>
                <w:szCs w:val="20"/>
              </w:rPr>
            </w:pPr>
          </w:p>
        </w:tc>
        <w:tc>
          <w:tcPr>
            <w:tcW w:w="2861" w:type="pct"/>
            <w:vAlign w:val="center"/>
            <w:hideMark/>
          </w:tcPr>
          <w:p w:rsidR="00000000" w:rsidRDefault="005B0BC3">
            <w:pPr>
              <w:spacing w:after="100"/>
              <w:rPr>
                <w:rFonts w:eastAsia="Times New Roman"/>
                <w:sz w:val="20"/>
                <w:szCs w:val="20"/>
              </w:rPr>
            </w:pPr>
          </w:p>
        </w:tc>
        <w:tc>
          <w:tcPr>
            <w:tcW w:w="5" w:type="pct"/>
            <w:vAlign w:val="center"/>
            <w:hideMark/>
          </w:tcPr>
          <w:p w:rsidR="00000000" w:rsidRDefault="005B0BC3">
            <w:pPr>
              <w:spacing w:after="100"/>
              <w:rPr>
                <w:rFonts w:eastAsia="Times New Roman"/>
                <w:sz w:val="20"/>
                <w:szCs w:val="20"/>
              </w:rPr>
            </w:pPr>
          </w:p>
        </w:tc>
      </w:tr>
      <w:tr w:rsidR="00000000">
        <w:trPr>
          <w:divId w:val="1520659984"/>
        </w:trPr>
        <w:tc>
          <w:tcPr>
            <w:tcW w:w="0" w:type="auto"/>
            <w:gridSpan w:val="3"/>
            <w:tcMar>
              <w:top w:w="30" w:type="dxa"/>
              <w:left w:w="20" w:type="dxa"/>
              <w:bottom w:w="30" w:type="dxa"/>
              <w:right w:w="20" w:type="dxa"/>
            </w:tcMar>
            <w:vAlign w:val="bottom"/>
            <w:hideMark/>
          </w:tcPr>
          <w:p w:rsidR="00000000" w:rsidRDefault="005B0BC3">
            <w:pPr>
              <w:spacing w:after="100"/>
              <w:jc w:val="center"/>
              <w:divId w:val="1109591366"/>
              <w:rPr>
                <w:rFonts w:eastAsia="Times New Roman"/>
              </w:rPr>
            </w:pPr>
            <w:r>
              <w:rPr>
                <w:rFonts w:eastAsia="Times New Roman"/>
                <w:b/>
                <w:bCs/>
                <w:color w:val="000000"/>
                <w:sz w:val="20"/>
                <w:szCs w:val="20"/>
                <w:u w:val="single"/>
              </w:rPr>
              <w:t>Signature</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5B0BC3">
            <w:pPr>
              <w:spacing w:after="100"/>
              <w:jc w:val="center"/>
              <w:divId w:val="1490561529"/>
              <w:rPr>
                <w:rFonts w:eastAsia="Times New Roman"/>
              </w:rPr>
            </w:pPr>
            <w:r>
              <w:rPr>
                <w:rFonts w:eastAsia="Times New Roman"/>
                <w:b/>
                <w:bCs/>
                <w:color w:val="000000"/>
                <w:sz w:val="20"/>
                <w:szCs w:val="20"/>
                <w:u w:val="single"/>
              </w:rPr>
              <w:t>Title</w:t>
            </w:r>
          </w:p>
        </w:tc>
      </w:tr>
      <w:tr w:rsidR="00000000">
        <w:trPr>
          <w:divId w:val="1520659984"/>
          <w:trHeight w:val="180"/>
        </w:trPr>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520659984"/>
          <w:trHeight w:val="280"/>
        </w:trPr>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/s/ Mark Pearson</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5B0BC3">
            <w:pPr>
              <w:spacing w:after="100"/>
              <w:rPr>
                <w:rFonts w:eastAsia="Times New Roman"/>
              </w:rPr>
            </w:pPr>
            <w:r>
              <w:rPr>
                <w:rFonts w:eastAsia="Times New Roman"/>
                <w:color w:val="000000"/>
                <w:sz w:val="20"/>
                <w:szCs w:val="20"/>
              </w:rPr>
              <w:t>President and Chief Executive Officer and Director</w:t>
            </w:r>
            <w:r>
              <w:rPr>
                <w:rFonts w:eastAsia="Times New Roman"/>
                <w:color w:val="000000"/>
                <w:sz w:val="20"/>
                <w:szCs w:val="20"/>
              </w:rPr>
              <w:br/>
              <w:t>(Principal Executive Officer)</w:t>
            </w:r>
          </w:p>
        </w:tc>
      </w:tr>
      <w:tr w:rsidR="00000000">
        <w:trPr>
          <w:divId w:val="1520659984"/>
          <w:trHeight w:val="280"/>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 Mark Pearson</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vMerge/>
            <w:vAlign w:val="center"/>
            <w:hideMark/>
          </w:tcPr>
          <w:p w:rsidR="00000000" w:rsidRDefault="005B0BC3">
            <w:pPr>
              <w:spacing w:after="100"/>
              <w:rPr>
                <w:rFonts w:eastAsia="Times New Roman"/>
              </w:rPr>
            </w:pPr>
          </w:p>
        </w:tc>
      </w:tr>
      <w:tr w:rsidR="00000000">
        <w:trPr>
          <w:divId w:val="1520659984"/>
          <w:trHeight w:val="120"/>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520659984"/>
          <w:trHeight w:val="280"/>
        </w:trPr>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/s/ Robin M. Raju</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5B0BC3">
            <w:pPr>
              <w:spacing w:after="100"/>
              <w:rPr>
                <w:rFonts w:eastAsia="Times New Roman"/>
              </w:rPr>
            </w:pPr>
            <w:r>
              <w:rPr>
                <w:rFonts w:eastAsia="Times New Roman"/>
                <w:color w:val="000000"/>
                <w:sz w:val="20"/>
                <w:szCs w:val="20"/>
              </w:rPr>
              <w:t>Chief Financial Officer</w:t>
            </w:r>
            <w:r>
              <w:rPr>
                <w:rFonts w:eastAsia="Times New Roman"/>
                <w:color w:val="000000"/>
                <w:sz w:val="20"/>
                <w:szCs w:val="20"/>
              </w:rPr>
              <w:br/>
              <w:t>(Principal Financial Officer)</w:t>
            </w:r>
          </w:p>
        </w:tc>
      </w:tr>
      <w:tr w:rsidR="00000000">
        <w:trPr>
          <w:divId w:val="1520659984"/>
          <w:trHeight w:val="280"/>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Robin M. Raju</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vMerge/>
            <w:vAlign w:val="center"/>
            <w:hideMark/>
          </w:tcPr>
          <w:p w:rsidR="00000000" w:rsidRDefault="005B0BC3">
            <w:pPr>
              <w:spacing w:after="100"/>
              <w:rPr>
                <w:rFonts w:eastAsia="Times New Roman"/>
              </w:rPr>
            </w:pPr>
          </w:p>
        </w:tc>
      </w:tr>
      <w:tr w:rsidR="00000000">
        <w:trPr>
          <w:divId w:val="1520659984"/>
          <w:trHeight w:val="120"/>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520659984"/>
          <w:trHeight w:val="280"/>
        </w:trPr>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/s/ William Eckert</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5B0BC3">
            <w:pPr>
              <w:spacing w:after="100"/>
              <w:rPr>
                <w:rFonts w:eastAsia="Times New Roman"/>
              </w:rPr>
            </w:pPr>
            <w:r>
              <w:rPr>
                <w:rFonts w:eastAsia="Times New Roman"/>
                <w:color w:val="000000"/>
                <w:sz w:val="20"/>
                <w:szCs w:val="20"/>
              </w:rPr>
              <w:t>Chief Accounting Officer</w:t>
            </w:r>
            <w:r>
              <w:rPr>
                <w:rFonts w:eastAsia="Times New Roman"/>
                <w:color w:val="000000"/>
                <w:sz w:val="20"/>
                <w:szCs w:val="20"/>
              </w:rPr>
              <w:br/>
              <w:t>(Principal Accounting Officer)</w:t>
            </w:r>
          </w:p>
        </w:tc>
      </w:tr>
      <w:tr w:rsidR="00000000">
        <w:trPr>
          <w:divId w:val="1520659984"/>
          <w:trHeight w:val="280"/>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 William Eckert</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vMerge/>
            <w:vAlign w:val="center"/>
            <w:hideMark/>
          </w:tcPr>
          <w:p w:rsidR="00000000" w:rsidRDefault="005B0BC3">
            <w:pPr>
              <w:spacing w:after="100"/>
              <w:rPr>
                <w:rFonts w:eastAsia="Times New Roman"/>
              </w:rPr>
            </w:pPr>
          </w:p>
        </w:tc>
      </w:tr>
      <w:tr w:rsidR="00000000">
        <w:trPr>
          <w:divId w:val="1520659984"/>
          <w:trHeight w:val="120"/>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520659984"/>
          <w:trHeight w:val="280"/>
        </w:trPr>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/s/ Francis Hondal</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5B0BC3">
            <w:pPr>
              <w:spacing w:after="100"/>
              <w:rPr>
                <w:rFonts w:eastAsia="Times New Roman"/>
              </w:rPr>
            </w:pPr>
            <w:r>
              <w:rPr>
                <w:rFonts w:eastAsia="Times New Roman"/>
                <w:color w:val="000000"/>
                <w:sz w:val="20"/>
                <w:szCs w:val="20"/>
              </w:rPr>
              <w:t>Director</w:t>
            </w:r>
          </w:p>
        </w:tc>
      </w:tr>
      <w:tr w:rsidR="00000000">
        <w:trPr>
          <w:divId w:val="1520659984"/>
          <w:trHeight w:val="280"/>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Francis Hondal</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vMerge/>
            <w:vAlign w:val="center"/>
            <w:hideMark/>
          </w:tcPr>
          <w:p w:rsidR="00000000" w:rsidRDefault="005B0BC3">
            <w:pPr>
              <w:spacing w:after="100"/>
              <w:rPr>
                <w:rFonts w:eastAsia="Times New Roman"/>
              </w:rPr>
            </w:pPr>
          </w:p>
        </w:tc>
      </w:tr>
      <w:tr w:rsidR="00000000">
        <w:trPr>
          <w:divId w:val="1520659984"/>
          <w:trHeight w:val="120"/>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520659984"/>
          <w:trHeight w:val="280"/>
        </w:trPr>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/s/ Daniel G. Kaye</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5B0BC3">
            <w:pPr>
              <w:spacing w:after="100"/>
              <w:rPr>
                <w:rFonts w:eastAsia="Times New Roman"/>
              </w:rPr>
            </w:pPr>
            <w:r>
              <w:rPr>
                <w:rFonts w:eastAsia="Times New Roman"/>
                <w:color w:val="000000"/>
                <w:sz w:val="20"/>
                <w:szCs w:val="20"/>
              </w:rPr>
              <w:t>Director</w:t>
            </w:r>
          </w:p>
        </w:tc>
      </w:tr>
      <w:tr w:rsidR="00000000">
        <w:trPr>
          <w:divId w:val="1520659984"/>
          <w:trHeight w:val="280"/>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Daniel G. Kaye</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vMerge/>
            <w:vAlign w:val="center"/>
            <w:hideMark/>
          </w:tcPr>
          <w:p w:rsidR="00000000" w:rsidRDefault="005B0BC3">
            <w:pPr>
              <w:spacing w:after="100"/>
              <w:rPr>
                <w:rFonts w:eastAsia="Times New Roman"/>
              </w:rPr>
            </w:pPr>
          </w:p>
        </w:tc>
      </w:tr>
      <w:tr w:rsidR="00000000">
        <w:trPr>
          <w:divId w:val="1520659984"/>
          <w:trHeight w:val="120"/>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520659984"/>
          <w:trHeight w:val="280"/>
        </w:trPr>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/s/ Joan M. Lamm-Tennant</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5B0BC3">
            <w:pPr>
              <w:spacing w:after="100"/>
              <w:rPr>
                <w:rFonts w:eastAsia="Times New Roman"/>
              </w:rPr>
            </w:pPr>
            <w:r>
              <w:rPr>
                <w:rFonts w:eastAsia="Times New Roman"/>
                <w:color w:val="000000"/>
                <w:sz w:val="20"/>
                <w:szCs w:val="20"/>
              </w:rPr>
              <w:t>Chair of the Board</w:t>
            </w:r>
          </w:p>
        </w:tc>
      </w:tr>
      <w:tr w:rsidR="00000000">
        <w:trPr>
          <w:divId w:val="1520659984"/>
          <w:trHeight w:val="280"/>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Joan M. Lamm-Tennant</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vMerge/>
            <w:vAlign w:val="center"/>
            <w:hideMark/>
          </w:tcPr>
          <w:p w:rsidR="00000000" w:rsidRDefault="005B0BC3">
            <w:pPr>
              <w:spacing w:after="100"/>
              <w:rPr>
                <w:rFonts w:eastAsia="Times New Roman"/>
              </w:rPr>
            </w:pPr>
          </w:p>
        </w:tc>
      </w:tr>
      <w:tr w:rsidR="00000000">
        <w:trPr>
          <w:divId w:val="1520659984"/>
          <w:trHeight w:val="120"/>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520659984"/>
          <w:trHeight w:val="280"/>
        </w:trPr>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/s/ Kristi A. Matus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5B0BC3">
            <w:pPr>
              <w:spacing w:after="100"/>
              <w:rPr>
                <w:rFonts w:eastAsia="Times New Roman"/>
              </w:rPr>
            </w:pPr>
            <w:r>
              <w:rPr>
                <w:rFonts w:eastAsia="Times New Roman"/>
                <w:color w:val="000000"/>
                <w:sz w:val="20"/>
                <w:szCs w:val="20"/>
              </w:rPr>
              <w:t>Director</w:t>
            </w:r>
          </w:p>
        </w:tc>
      </w:tr>
      <w:tr w:rsidR="00000000">
        <w:trPr>
          <w:divId w:val="1520659984"/>
          <w:trHeight w:val="280"/>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Kristi A. Matus</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vMerge/>
            <w:vAlign w:val="center"/>
            <w:hideMark/>
          </w:tcPr>
          <w:p w:rsidR="00000000" w:rsidRDefault="005B0BC3">
            <w:pPr>
              <w:spacing w:after="100"/>
              <w:rPr>
                <w:rFonts w:eastAsia="Times New Roman"/>
              </w:rPr>
            </w:pPr>
          </w:p>
        </w:tc>
      </w:tr>
      <w:tr w:rsidR="00000000">
        <w:trPr>
          <w:divId w:val="1520659984"/>
          <w:trHeight w:val="120"/>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520659984"/>
          <w:trHeight w:val="280"/>
        </w:trPr>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/s/ Bertram L. Scott</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5B0BC3">
            <w:pPr>
              <w:spacing w:after="100"/>
              <w:rPr>
                <w:rFonts w:eastAsia="Times New Roman"/>
              </w:rPr>
            </w:pPr>
            <w:r>
              <w:rPr>
                <w:rFonts w:eastAsia="Times New Roman"/>
                <w:color w:val="000000"/>
                <w:sz w:val="20"/>
                <w:szCs w:val="20"/>
              </w:rPr>
              <w:t>Director</w:t>
            </w:r>
          </w:p>
        </w:tc>
      </w:tr>
      <w:tr w:rsidR="00000000">
        <w:trPr>
          <w:divId w:val="1520659984"/>
          <w:trHeight w:val="280"/>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Bertram L. Scott</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vMerge/>
            <w:vAlign w:val="center"/>
            <w:hideMark/>
          </w:tcPr>
          <w:p w:rsidR="00000000" w:rsidRDefault="005B0BC3">
            <w:pPr>
              <w:spacing w:after="100"/>
              <w:rPr>
                <w:rFonts w:eastAsia="Times New Roman"/>
              </w:rPr>
            </w:pPr>
          </w:p>
        </w:tc>
      </w:tr>
      <w:tr w:rsidR="00000000">
        <w:trPr>
          <w:divId w:val="1520659984"/>
          <w:trHeight w:val="120"/>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520659984"/>
          <w:trHeight w:val="280"/>
        </w:trPr>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/s/ George H. Stansfield</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5B0BC3">
            <w:pPr>
              <w:spacing w:after="100"/>
              <w:rPr>
                <w:rFonts w:eastAsia="Times New Roman"/>
              </w:rPr>
            </w:pPr>
            <w:r>
              <w:rPr>
                <w:rFonts w:eastAsia="Times New Roman"/>
                <w:color w:val="000000"/>
                <w:sz w:val="20"/>
                <w:szCs w:val="20"/>
              </w:rPr>
              <w:t>Director</w:t>
            </w:r>
          </w:p>
        </w:tc>
      </w:tr>
      <w:tr w:rsidR="00000000">
        <w:trPr>
          <w:divId w:val="1520659984"/>
          <w:trHeight w:val="280"/>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George H. Stansfield</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vMerge/>
            <w:vAlign w:val="center"/>
            <w:hideMark/>
          </w:tcPr>
          <w:p w:rsidR="00000000" w:rsidRDefault="005B0BC3">
            <w:pPr>
              <w:spacing w:after="100"/>
              <w:rPr>
                <w:rFonts w:eastAsia="Times New Roman"/>
              </w:rPr>
            </w:pPr>
          </w:p>
        </w:tc>
      </w:tr>
      <w:tr w:rsidR="00000000">
        <w:trPr>
          <w:divId w:val="1520659984"/>
          <w:trHeight w:val="60"/>
        </w:trPr>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5B0BC3">
            <w:pPr>
              <w:spacing w:after="100"/>
              <w:rPr>
                <w:rFonts w:eastAsia="Times New Roman"/>
                <w:sz w:val="20"/>
                <w:szCs w:val="20"/>
              </w:rPr>
            </w:pPr>
          </w:p>
        </w:tc>
      </w:tr>
      <w:tr w:rsidR="00000000">
        <w:trPr>
          <w:divId w:val="1520659984"/>
          <w:trHeight w:val="280"/>
        </w:trPr>
        <w:tc>
          <w:tcPr>
            <w:tcW w:w="0" w:type="auto"/>
            <w:gridSpan w:val="3"/>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/s/ Charles G. T. Stonehill</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rsidR="00000000" w:rsidRDefault="005B0BC3">
            <w:pPr>
              <w:spacing w:after="100"/>
              <w:rPr>
                <w:rFonts w:eastAsia="Times New Roman"/>
              </w:rPr>
            </w:pPr>
            <w:r>
              <w:rPr>
                <w:rFonts w:eastAsia="Times New Roman"/>
                <w:color w:val="000000"/>
                <w:sz w:val="20"/>
                <w:szCs w:val="20"/>
              </w:rPr>
              <w:t>Director</w:t>
            </w:r>
          </w:p>
        </w:tc>
      </w:tr>
      <w:tr w:rsidR="00000000">
        <w:trPr>
          <w:divId w:val="1520659984"/>
          <w:trHeight w:val="280"/>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5B0BC3">
            <w:pPr>
              <w:spacing w:after="100"/>
              <w:jc w:val="center"/>
              <w:rPr>
                <w:rFonts w:eastAsia="Times New Roman"/>
              </w:rPr>
            </w:pPr>
            <w:r>
              <w:rPr>
                <w:rFonts w:eastAsia="Times New Roman"/>
                <w:color w:val="000000"/>
                <w:sz w:val="20"/>
                <w:szCs w:val="20"/>
              </w:rPr>
              <w:t>Charles G. T. Stonehill</w:t>
            </w:r>
          </w:p>
        </w:tc>
        <w:tc>
          <w:tcPr>
            <w:tcW w:w="0" w:type="auto"/>
            <w:gridSpan w:val="3"/>
            <w:tcMar>
              <w:top w:w="0" w:type="dxa"/>
              <w:left w:w="20" w:type="dxa"/>
              <w:bottom w:w="0" w:type="dxa"/>
              <w:right w:w="20" w:type="dxa"/>
            </w:tcMar>
            <w:vAlign w:val="center"/>
            <w:hideMark/>
          </w:tcPr>
          <w:p w:rsidR="00000000" w:rsidRDefault="005B0BC3">
            <w:pPr>
              <w:spacing w:after="100"/>
              <w:jc w:val="center"/>
              <w:rPr>
                <w:rFonts w:eastAsia="Times New Roman"/>
              </w:rPr>
            </w:pPr>
          </w:p>
        </w:tc>
        <w:tc>
          <w:tcPr>
            <w:tcW w:w="0" w:type="auto"/>
            <w:gridSpan w:val="3"/>
            <w:vMerge/>
            <w:vAlign w:val="center"/>
            <w:hideMark/>
          </w:tcPr>
          <w:p w:rsidR="00000000" w:rsidRDefault="005B0BC3">
            <w:pPr>
              <w:spacing w:after="100"/>
              <w:rPr>
                <w:rFonts w:eastAsia="Times New Roman"/>
              </w:rPr>
            </w:pPr>
          </w:p>
        </w:tc>
      </w:tr>
    </w:tbl>
    <w:p w:rsidR="005B0BC3" w:rsidRDefault="005B0BC3">
      <w:pPr>
        <w:jc w:val="center"/>
        <w:divId w:val="2012950828"/>
        <w:rPr>
          <w:rFonts w:eastAsia="Times New Roman"/>
        </w:rPr>
      </w:pPr>
      <w:r>
        <w:rPr>
          <w:rFonts w:eastAsia="Times New Roman"/>
          <w:color w:val="000000"/>
          <w:sz w:val="20"/>
          <w:szCs w:val="20"/>
        </w:rPr>
        <w:t>254</w:t>
      </w:r>
    </w:p>
    <w:sectPr w:rsidR="005B0BC3">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B0BC3"/>
    <w:rsid w:val="005B0BC3"/>
  </w:rsids>
  <m:mathPr>
    <m:mathFont m:val="Cambria Math"/>
    <m:brkBin m:val="before"/>
    <m:brkBinSub m:val="--"/>
    <m:smallFrac m:val="0"/>
    <m:dispDef/>
    <m:lMargin m:val="0"/>
    <m:rMargin m:val="0"/>
    <m:defJc m:val="centerGroup"/>
    <m:wrapIndent m:val="1440"/>
    <m:intLim m:val="subSup"/>
    <m:naryLim m:val="undOvr"/>
  </m:mathPr>
  <w:attachedSchema w:val="http://xbrl.sec.gov/exch/2021"/>
  <w:attachedSchema w:val="http://fasb.org/us-gaap/2021-01-31"/>
  <w:attachedSchema w:val="http://www.xbrl.org/2003/linkbase"/>
  <w:attachedSchema w:val="http://www.sec.gov/inlineXBRL/transformation/2015-08-31"/>
  <w:attachedSchema w:val="http://xbrl.sec.gov/stpr/2021"/>
  <w:attachedSchema w:val="http://www.equitable.com/20211231"/>
  <w:attachedSchema w:val="http://xbrl.sec.gov/dei/2021q4"/>
  <w:attachedSchema w:val="http://www.xbrl.org/2009/utr"/>
  <w:attachedSchema w:val="http://xbrl.org/2006/xbrldi"/>
  <w:attachedSchema w:val="http://www.xbrl.org/inlineXBRL/transformation/2020-02-12"/>
  <w:attachedSchema w:val="http://fasb.org/srt/2021-01-31"/>
  <w:attachedSchema w:val="http://www.w3.org/1999/xlink"/>
  <w:attachedSchema w:val="http://www.xbrl.org/2003/instance"/>
  <w:attachedSchema w:val="http://www.xbrl.org/2013/inlineXBRL"/>
  <w:attachedSchema w:val="http://www.xbrl.org/2003/iso4217"/>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023">
      <w:marLeft w:val="0"/>
      <w:marRight w:val="0"/>
      <w:marTop w:val="0"/>
      <w:marBottom w:val="240"/>
      <w:divBdr>
        <w:top w:val="none" w:sz="0" w:space="0" w:color="auto"/>
        <w:left w:val="none" w:sz="0" w:space="0" w:color="auto"/>
        <w:bottom w:val="none" w:sz="0" w:space="0" w:color="auto"/>
        <w:right w:val="none" w:sz="0" w:space="0" w:color="auto"/>
      </w:divBdr>
    </w:div>
    <w:div w:id="1130374">
      <w:marLeft w:val="0"/>
      <w:marRight w:val="0"/>
      <w:marTop w:val="180"/>
      <w:marBottom w:val="180"/>
      <w:divBdr>
        <w:top w:val="none" w:sz="0" w:space="0" w:color="auto"/>
        <w:left w:val="none" w:sz="0" w:space="0" w:color="auto"/>
        <w:bottom w:val="none" w:sz="0" w:space="0" w:color="auto"/>
        <w:right w:val="none" w:sz="0" w:space="0" w:color="auto"/>
      </w:divBdr>
    </w:div>
    <w:div w:id="1325065">
      <w:marLeft w:val="0"/>
      <w:marRight w:val="0"/>
      <w:marTop w:val="180"/>
      <w:marBottom w:val="180"/>
      <w:divBdr>
        <w:top w:val="none" w:sz="0" w:space="0" w:color="auto"/>
        <w:left w:val="none" w:sz="0" w:space="0" w:color="auto"/>
        <w:bottom w:val="none" w:sz="0" w:space="0" w:color="auto"/>
        <w:right w:val="none" w:sz="0" w:space="0" w:color="auto"/>
      </w:divBdr>
    </w:div>
    <w:div w:id="1980142">
      <w:marLeft w:val="0"/>
      <w:marRight w:val="0"/>
      <w:marTop w:val="120"/>
      <w:marBottom w:val="120"/>
      <w:divBdr>
        <w:top w:val="none" w:sz="0" w:space="0" w:color="auto"/>
        <w:left w:val="none" w:sz="0" w:space="0" w:color="auto"/>
        <w:bottom w:val="none" w:sz="0" w:space="0" w:color="auto"/>
        <w:right w:val="none" w:sz="0" w:space="0" w:color="auto"/>
      </w:divBdr>
    </w:div>
    <w:div w:id="2123996">
      <w:marLeft w:val="0"/>
      <w:marRight w:val="0"/>
      <w:marTop w:val="0"/>
      <w:marBottom w:val="0"/>
      <w:divBdr>
        <w:top w:val="none" w:sz="0" w:space="0" w:color="auto"/>
        <w:left w:val="none" w:sz="0" w:space="0" w:color="auto"/>
        <w:bottom w:val="none" w:sz="0" w:space="0" w:color="auto"/>
        <w:right w:val="none" w:sz="0" w:space="0" w:color="auto"/>
      </w:divBdr>
      <w:divsChild>
        <w:div w:id="402410301">
          <w:marLeft w:val="0"/>
          <w:marRight w:val="0"/>
          <w:marTop w:val="0"/>
          <w:marBottom w:val="0"/>
          <w:divBdr>
            <w:top w:val="none" w:sz="0" w:space="0" w:color="auto"/>
            <w:left w:val="none" w:sz="0" w:space="0" w:color="auto"/>
            <w:bottom w:val="none" w:sz="0" w:space="0" w:color="auto"/>
            <w:right w:val="none" w:sz="0" w:space="0" w:color="auto"/>
          </w:divBdr>
        </w:div>
      </w:divsChild>
    </w:div>
    <w:div w:id="3167040">
      <w:marLeft w:val="0"/>
      <w:marRight w:val="0"/>
      <w:marTop w:val="0"/>
      <w:marBottom w:val="180"/>
      <w:divBdr>
        <w:top w:val="none" w:sz="0" w:space="0" w:color="auto"/>
        <w:left w:val="none" w:sz="0" w:space="0" w:color="auto"/>
        <w:bottom w:val="none" w:sz="0" w:space="0" w:color="auto"/>
        <w:right w:val="none" w:sz="0" w:space="0" w:color="auto"/>
      </w:divBdr>
    </w:div>
    <w:div w:id="3824984">
      <w:marLeft w:val="0"/>
      <w:marRight w:val="0"/>
      <w:marTop w:val="0"/>
      <w:marBottom w:val="240"/>
      <w:divBdr>
        <w:top w:val="none" w:sz="0" w:space="0" w:color="auto"/>
        <w:left w:val="none" w:sz="0" w:space="0" w:color="auto"/>
        <w:bottom w:val="none" w:sz="0" w:space="0" w:color="auto"/>
        <w:right w:val="none" w:sz="0" w:space="0" w:color="auto"/>
      </w:divBdr>
    </w:div>
    <w:div w:id="4552748">
      <w:marLeft w:val="0"/>
      <w:marRight w:val="0"/>
      <w:marTop w:val="0"/>
      <w:marBottom w:val="0"/>
      <w:divBdr>
        <w:top w:val="none" w:sz="0" w:space="0" w:color="auto"/>
        <w:left w:val="none" w:sz="0" w:space="0" w:color="auto"/>
        <w:bottom w:val="none" w:sz="0" w:space="0" w:color="auto"/>
        <w:right w:val="none" w:sz="0" w:space="0" w:color="auto"/>
      </w:divBdr>
    </w:div>
    <w:div w:id="4597635">
      <w:marLeft w:val="0"/>
      <w:marRight w:val="0"/>
      <w:marTop w:val="0"/>
      <w:marBottom w:val="0"/>
      <w:divBdr>
        <w:top w:val="none" w:sz="0" w:space="0" w:color="auto"/>
        <w:left w:val="none" w:sz="0" w:space="0" w:color="auto"/>
        <w:bottom w:val="none" w:sz="0" w:space="0" w:color="auto"/>
        <w:right w:val="none" w:sz="0" w:space="0" w:color="auto"/>
      </w:divBdr>
    </w:div>
    <w:div w:id="6904405">
      <w:marLeft w:val="0"/>
      <w:marRight w:val="0"/>
      <w:marTop w:val="120"/>
      <w:marBottom w:val="180"/>
      <w:divBdr>
        <w:top w:val="none" w:sz="0" w:space="0" w:color="auto"/>
        <w:left w:val="none" w:sz="0" w:space="0" w:color="auto"/>
        <w:bottom w:val="none" w:sz="0" w:space="0" w:color="auto"/>
        <w:right w:val="none" w:sz="0" w:space="0" w:color="auto"/>
      </w:divBdr>
    </w:div>
    <w:div w:id="7029222">
      <w:marLeft w:val="0"/>
      <w:marRight w:val="0"/>
      <w:marTop w:val="0"/>
      <w:marBottom w:val="240"/>
      <w:divBdr>
        <w:top w:val="none" w:sz="0" w:space="0" w:color="auto"/>
        <w:left w:val="none" w:sz="0" w:space="0" w:color="auto"/>
        <w:bottom w:val="none" w:sz="0" w:space="0" w:color="auto"/>
        <w:right w:val="none" w:sz="0" w:space="0" w:color="auto"/>
      </w:divBdr>
    </w:div>
    <w:div w:id="7218647">
      <w:marLeft w:val="0"/>
      <w:marRight w:val="0"/>
      <w:marTop w:val="0"/>
      <w:marBottom w:val="0"/>
      <w:divBdr>
        <w:top w:val="none" w:sz="0" w:space="0" w:color="auto"/>
        <w:left w:val="none" w:sz="0" w:space="0" w:color="auto"/>
        <w:bottom w:val="none" w:sz="0" w:space="0" w:color="auto"/>
        <w:right w:val="none" w:sz="0" w:space="0" w:color="auto"/>
      </w:divBdr>
    </w:div>
    <w:div w:id="7298285">
      <w:marLeft w:val="0"/>
      <w:marRight w:val="0"/>
      <w:marTop w:val="0"/>
      <w:marBottom w:val="0"/>
      <w:divBdr>
        <w:top w:val="none" w:sz="0" w:space="0" w:color="auto"/>
        <w:left w:val="none" w:sz="0" w:space="0" w:color="auto"/>
        <w:bottom w:val="none" w:sz="0" w:space="0" w:color="auto"/>
        <w:right w:val="none" w:sz="0" w:space="0" w:color="auto"/>
      </w:divBdr>
    </w:div>
    <w:div w:id="7369715">
      <w:marLeft w:val="0"/>
      <w:marRight w:val="0"/>
      <w:marTop w:val="0"/>
      <w:marBottom w:val="0"/>
      <w:divBdr>
        <w:top w:val="none" w:sz="0" w:space="0" w:color="auto"/>
        <w:left w:val="none" w:sz="0" w:space="0" w:color="auto"/>
        <w:bottom w:val="none" w:sz="0" w:space="0" w:color="auto"/>
        <w:right w:val="none" w:sz="0" w:space="0" w:color="auto"/>
      </w:divBdr>
    </w:div>
    <w:div w:id="8220447">
      <w:marLeft w:val="0"/>
      <w:marRight w:val="0"/>
      <w:marTop w:val="0"/>
      <w:marBottom w:val="240"/>
      <w:divBdr>
        <w:top w:val="none" w:sz="0" w:space="0" w:color="auto"/>
        <w:left w:val="none" w:sz="0" w:space="0" w:color="auto"/>
        <w:bottom w:val="none" w:sz="0" w:space="0" w:color="auto"/>
        <w:right w:val="none" w:sz="0" w:space="0" w:color="auto"/>
      </w:divBdr>
    </w:div>
    <w:div w:id="9795875">
      <w:marLeft w:val="0"/>
      <w:marRight w:val="0"/>
      <w:marTop w:val="0"/>
      <w:marBottom w:val="0"/>
      <w:divBdr>
        <w:top w:val="none" w:sz="0" w:space="0" w:color="auto"/>
        <w:left w:val="none" w:sz="0" w:space="0" w:color="auto"/>
        <w:bottom w:val="none" w:sz="0" w:space="0" w:color="auto"/>
        <w:right w:val="none" w:sz="0" w:space="0" w:color="auto"/>
      </w:divBdr>
      <w:divsChild>
        <w:div w:id="1537963273">
          <w:marLeft w:val="0"/>
          <w:marRight w:val="0"/>
          <w:marTop w:val="0"/>
          <w:marBottom w:val="0"/>
          <w:divBdr>
            <w:top w:val="none" w:sz="0" w:space="0" w:color="auto"/>
            <w:left w:val="none" w:sz="0" w:space="0" w:color="auto"/>
            <w:bottom w:val="none" w:sz="0" w:space="0" w:color="auto"/>
            <w:right w:val="none" w:sz="0" w:space="0" w:color="auto"/>
          </w:divBdr>
        </w:div>
      </w:divsChild>
    </w:div>
    <w:div w:id="10887249">
      <w:marLeft w:val="0"/>
      <w:marRight w:val="0"/>
      <w:marTop w:val="0"/>
      <w:marBottom w:val="0"/>
      <w:divBdr>
        <w:top w:val="none" w:sz="0" w:space="0" w:color="auto"/>
        <w:left w:val="none" w:sz="0" w:space="0" w:color="auto"/>
        <w:bottom w:val="none" w:sz="0" w:space="0" w:color="auto"/>
        <w:right w:val="none" w:sz="0" w:space="0" w:color="auto"/>
      </w:divBdr>
    </w:div>
    <w:div w:id="10962398">
      <w:marLeft w:val="0"/>
      <w:marRight w:val="0"/>
      <w:marTop w:val="0"/>
      <w:marBottom w:val="20"/>
      <w:divBdr>
        <w:top w:val="none" w:sz="0" w:space="0" w:color="auto"/>
        <w:left w:val="none" w:sz="0" w:space="0" w:color="auto"/>
        <w:bottom w:val="none" w:sz="0" w:space="0" w:color="auto"/>
        <w:right w:val="none" w:sz="0" w:space="0" w:color="auto"/>
      </w:divBdr>
    </w:div>
    <w:div w:id="11106571">
      <w:marLeft w:val="0"/>
      <w:marRight w:val="0"/>
      <w:marTop w:val="100"/>
      <w:marBottom w:val="0"/>
      <w:divBdr>
        <w:top w:val="none" w:sz="0" w:space="0" w:color="auto"/>
        <w:left w:val="none" w:sz="0" w:space="0" w:color="auto"/>
        <w:bottom w:val="none" w:sz="0" w:space="0" w:color="auto"/>
        <w:right w:val="none" w:sz="0" w:space="0" w:color="auto"/>
      </w:divBdr>
    </w:div>
    <w:div w:id="13774038">
      <w:marLeft w:val="0"/>
      <w:marRight w:val="0"/>
      <w:marTop w:val="0"/>
      <w:marBottom w:val="240"/>
      <w:divBdr>
        <w:top w:val="none" w:sz="0" w:space="0" w:color="auto"/>
        <w:left w:val="none" w:sz="0" w:space="0" w:color="auto"/>
        <w:bottom w:val="none" w:sz="0" w:space="0" w:color="auto"/>
        <w:right w:val="none" w:sz="0" w:space="0" w:color="auto"/>
      </w:divBdr>
    </w:div>
    <w:div w:id="13968540">
      <w:marLeft w:val="0"/>
      <w:marRight w:val="0"/>
      <w:marTop w:val="0"/>
      <w:marBottom w:val="180"/>
      <w:divBdr>
        <w:top w:val="none" w:sz="0" w:space="0" w:color="auto"/>
        <w:left w:val="none" w:sz="0" w:space="0" w:color="auto"/>
        <w:bottom w:val="none" w:sz="0" w:space="0" w:color="auto"/>
        <w:right w:val="none" w:sz="0" w:space="0" w:color="auto"/>
      </w:divBdr>
    </w:div>
    <w:div w:id="14041086">
      <w:marLeft w:val="0"/>
      <w:marRight w:val="0"/>
      <w:marTop w:val="0"/>
      <w:marBottom w:val="0"/>
      <w:divBdr>
        <w:top w:val="none" w:sz="0" w:space="0" w:color="auto"/>
        <w:left w:val="none" w:sz="0" w:space="0" w:color="auto"/>
        <w:bottom w:val="none" w:sz="0" w:space="0" w:color="auto"/>
        <w:right w:val="none" w:sz="0" w:space="0" w:color="auto"/>
      </w:divBdr>
    </w:div>
    <w:div w:id="14812359">
      <w:marLeft w:val="0"/>
      <w:marRight w:val="0"/>
      <w:marTop w:val="180"/>
      <w:marBottom w:val="180"/>
      <w:divBdr>
        <w:top w:val="none" w:sz="0" w:space="0" w:color="auto"/>
        <w:left w:val="none" w:sz="0" w:space="0" w:color="auto"/>
        <w:bottom w:val="none" w:sz="0" w:space="0" w:color="auto"/>
        <w:right w:val="none" w:sz="0" w:space="0" w:color="auto"/>
      </w:divBdr>
    </w:div>
    <w:div w:id="16124897">
      <w:marLeft w:val="0"/>
      <w:marRight w:val="0"/>
      <w:marTop w:val="0"/>
      <w:marBottom w:val="180"/>
      <w:divBdr>
        <w:top w:val="none" w:sz="0" w:space="0" w:color="auto"/>
        <w:left w:val="none" w:sz="0" w:space="0" w:color="auto"/>
        <w:bottom w:val="none" w:sz="0" w:space="0" w:color="auto"/>
        <w:right w:val="none" w:sz="0" w:space="0" w:color="auto"/>
      </w:divBdr>
    </w:div>
    <w:div w:id="17511348">
      <w:marLeft w:val="0"/>
      <w:marRight w:val="0"/>
      <w:marTop w:val="0"/>
      <w:marBottom w:val="240"/>
      <w:divBdr>
        <w:top w:val="none" w:sz="0" w:space="0" w:color="auto"/>
        <w:left w:val="none" w:sz="0" w:space="0" w:color="auto"/>
        <w:bottom w:val="none" w:sz="0" w:space="0" w:color="auto"/>
        <w:right w:val="none" w:sz="0" w:space="0" w:color="auto"/>
      </w:divBdr>
    </w:div>
    <w:div w:id="17584618">
      <w:marLeft w:val="0"/>
      <w:marRight w:val="0"/>
      <w:marTop w:val="0"/>
      <w:marBottom w:val="180"/>
      <w:divBdr>
        <w:top w:val="none" w:sz="0" w:space="0" w:color="auto"/>
        <w:left w:val="none" w:sz="0" w:space="0" w:color="auto"/>
        <w:bottom w:val="none" w:sz="0" w:space="0" w:color="auto"/>
        <w:right w:val="none" w:sz="0" w:space="0" w:color="auto"/>
      </w:divBdr>
    </w:div>
    <w:div w:id="17661121">
      <w:marLeft w:val="0"/>
      <w:marRight w:val="0"/>
      <w:marTop w:val="0"/>
      <w:marBottom w:val="0"/>
      <w:divBdr>
        <w:top w:val="none" w:sz="0" w:space="0" w:color="auto"/>
        <w:left w:val="none" w:sz="0" w:space="0" w:color="auto"/>
        <w:bottom w:val="none" w:sz="0" w:space="0" w:color="auto"/>
        <w:right w:val="none" w:sz="0" w:space="0" w:color="auto"/>
      </w:divBdr>
    </w:div>
    <w:div w:id="18162644">
      <w:marLeft w:val="0"/>
      <w:marRight w:val="0"/>
      <w:marTop w:val="0"/>
      <w:marBottom w:val="240"/>
      <w:divBdr>
        <w:top w:val="none" w:sz="0" w:space="0" w:color="auto"/>
        <w:left w:val="none" w:sz="0" w:space="0" w:color="auto"/>
        <w:bottom w:val="none" w:sz="0" w:space="0" w:color="auto"/>
        <w:right w:val="none" w:sz="0" w:space="0" w:color="auto"/>
      </w:divBdr>
    </w:div>
    <w:div w:id="18431954">
      <w:marLeft w:val="0"/>
      <w:marRight w:val="0"/>
      <w:marTop w:val="0"/>
      <w:marBottom w:val="0"/>
      <w:divBdr>
        <w:top w:val="none" w:sz="0" w:space="0" w:color="auto"/>
        <w:left w:val="none" w:sz="0" w:space="0" w:color="auto"/>
        <w:bottom w:val="none" w:sz="0" w:space="0" w:color="auto"/>
        <w:right w:val="none" w:sz="0" w:space="0" w:color="auto"/>
      </w:divBdr>
      <w:divsChild>
        <w:div w:id="541556378">
          <w:marLeft w:val="0"/>
          <w:marRight w:val="0"/>
          <w:marTop w:val="0"/>
          <w:marBottom w:val="0"/>
          <w:divBdr>
            <w:top w:val="none" w:sz="0" w:space="0" w:color="auto"/>
            <w:left w:val="none" w:sz="0" w:space="0" w:color="auto"/>
            <w:bottom w:val="none" w:sz="0" w:space="0" w:color="auto"/>
            <w:right w:val="none" w:sz="0" w:space="0" w:color="auto"/>
          </w:divBdr>
        </w:div>
      </w:divsChild>
    </w:div>
    <w:div w:id="18893347">
      <w:marLeft w:val="0"/>
      <w:marRight w:val="0"/>
      <w:marTop w:val="0"/>
      <w:marBottom w:val="180"/>
      <w:divBdr>
        <w:top w:val="none" w:sz="0" w:space="0" w:color="auto"/>
        <w:left w:val="none" w:sz="0" w:space="0" w:color="auto"/>
        <w:bottom w:val="none" w:sz="0" w:space="0" w:color="auto"/>
        <w:right w:val="none" w:sz="0" w:space="0" w:color="auto"/>
      </w:divBdr>
    </w:div>
    <w:div w:id="19403212">
      <w:marLeft w:val="0"/>
      <w:marRight w:val="0"/>
      <w:marTop w:val="0"/>
      <w:marBottom w:val="0"/>
      <w:divBdr>
        <w:top w:val="none" w:sz="0" w:space="0" w:color="auto"/>
        <w:left w:val="none" w:sz="0" w:space="0" w:color="auto"/>
        <w:bottom w:val="none" w:sz="0" w:space="0" w:color="auto"/>
        <w:right w:val="none" w:sz="0" w:space="0" w:color="auto"/>
      </w:divBdr>
    </w:div>
    <w:div w:id="20597869">
      <w:marLeft w:val="0"/>
      <w:marRight w:val="0"/>
      <w:marTop w:val="0"/>
      <w:marBottom w:val="240"/>
      <w:divBdr>
        <w:top w:val="none" w:sz="0" w:space="0" w:color="auto"/>
        <w:left w:val="none" w:sz="0" w:space="0" w:color="auto"/>
        <w:bottom w:val="none" w:sz="0" w:space="0" w:color="auto"/>
        <w:right w:val="none" w:sz="0" w:space="0" w:color="auto"/>
      </w:divBdr>
    </w:div>
    <w:div w:id="20862756">
      <w:marLeft w:val="0"/>
      <w:marRight w:val="0"/>
      <w:marTop w:val="120"/>
      <w:marBottom w:val="120"/>
      <w:divBdr>
        <w:top w:val="none" w:sz="0" w:space="0" w:color="auto"/>
        <w:left w:val="none" w:sz="0" w:space="0" w:color="auto"/>
        <w:bottom w:val="none" w:sz="0" w:space="0" w:color="auto"/>
        <w:right w:val="none" w:sz="0" w:space="0" w:color="auto"/>
      </w:divBdr>
    </w:div>
    <w:div w:id="21444191">
      <w:marLeft w:val="0"/>
      <w:marRight w:val="0"/>
      <w:marTop w:val="120"/>
      <w:marBottom w:val="120"/>
      <w:divBdr>
        <w:top w:val="none" w:sz="0" w:space="0" w:color="auto"/>
        <w:left w:val="none" w:sz="0" w:space="0" w:color="auto"/>
        <w:bottom w:val="none" w:sz="0" w:space="0" w:color="auto"/>
        <w:right w:val="none" w:sz="0" w:space="0" w:color="auto"/>
      </w:divBdr>
    </w:div>
    <w:div w:id="21707169">
      <w:marLeft w:val="0"/>
      <w:marRight w:val="0"/>
      <w:marTop w:val="0"/>
      <w:marBottom w:val="180"/>
      <w:divBdr>
        <w:top w:val="none" w:sz="0" w:space="0" w:color="auto"/>
        <w:left w:val="none" w:sz="0" w:space="0" w:color="auto"/>
        <w:bottom w:val="none" w:sz="0" w:space="0" w:color="auto"/>
        <w:right w:val="none" w:sz="0" w:space="0" w:color="auto"/>
      </w:divBdr>
    </w:div>
    <w:div w:id="23219268">
      <w:marLeft w:val="0"/>
      <w:marRight w:val="0"/>
      <w:marTop w:val="0"/>
      <w:marBottom w:val="240"/>
      <w:divBdr>
        <w:top w:val="none" w:sz="0" w:space="0" w:color="auto"/>
        <w:left w:val="none" w:sz="0" w:space="0" w:color="auto"/>
        <w:bottom w:val="none" w:sz="0" w:space="0" w:color="auto"/>
        <w:right w:val="none" w:sz="0" w:space="0" w:color="auto"/>
      </w:divBdr>
    </w:div>
    <w:div w:id="23293919">
      <w:marLeft w:val="0"/>
      <w:marRight w:val="0"/>
      <w:marTop w:val="0"/>
      <w:marBottom w:val="180"/>
      <w:divBdr>
        <w:top w:val="none" w:sz="0" w:space="0" w:color="auto"/>
        <w:left w:val="none" w:sz="0" w:space="0" w:color="auto"/>
        <w:bottom w:val="none" w:sz="0" w:space="0" w:color="auto"/>
        <w:right w:val="none" w:sz="0" w:space="0" w:color="auto"/>
      </w:divBdr>
    </w:div>
    <w:div w:id="23360738">
      <w:marLeft w:val="0"/>
      <w:marRight w:val="0"/>
      <w:marTop w:val="0"/>
      <w:marBottom w:val="180"/>
      <w:divBdr>
        <w:top w:val="none" w:sz="0" w:space="0" w:color="auto"/>
        <w:left w:val="none" w:sz="0" w:space="0" w:color="auto"/>
        <w:bottom w:val="none" w:sz="0" w:space="0" w:color="auto"/>
        <w:right w:val="none" w:sz="0" w:space="0" w:color="auto"/>
      </w:divBdr>
    </w:div>
    <w:div w:id="23798946">
      <w:marLeft w:val="0"/>
      <w:marRight w:val="0"/>
      <w:marTop w:val="180"/>
      <w:marBottom w:val="180"/>
      <w:divBdr>
        <w:top w:val="none" w:sz="0" w:space="0" w:color="auto"/>
        <w:left w:val="none" w:sz="0" w:space="0" w:color="auto"/>
        <w:bottom w:val="none" w:sz="0" w:space="0" w:color="auto"/>
        <w:right w:val="none" w:sz="0" w:space="0" w:color="auto"/>
      </w:divBdr>
    </w:div>
    <w:div w:id="24135086">
      <w:marLeft w:val="0"/>
      <w:marRight w:val="0"/>
      <w:marTop w:val="0"/>
      <w:marBottom w:val="0"/>
      <w:divBdr>
        <w:top w:val="none" w:sz="0" w:space="0" w:color="auto"/>
        <w:left w:val="none" w:sz="0" w:space="0" w:color="auto"/>
        <w:bottom w:val="none" w:sz="0" w:space="0" w:color="auto"/>
        <w:right w:val="none" w:sz="0" w:space="0" w:color="auto"/>
      </w:divBdr>
      <w:divsChild>
        <w:div w:id="2127191755">
          <w:marLeft w:val="0"/>
          <w:marRight w:val="0"/>
          <w:marTop w:val="0"/>
          <w:marBottom w:val="0"/>
          <w:divBdr>
            <w:top w:val="none" w:sz="0" w:space="0" w:color="auto"/>
            <w:left w:val="none" w:sz="0" w:space="0" w:color="auto"/>
            <w:bottom w:val="none" w:sz="0" w:space="0" w:color="auto"/>
            <w:right w:val="none" w:sz="0" w:space="0" w:color="auto"/>
          </w:divBdr>
          <w:divsChild>
            <w:div w:id="927154294">
              <w:marLeft w:val="0"/>
              <w:marRight w:val="0"/>
              <w:marTop w:val="0"/>
              <w:marBottom w:val="60"/>
              <w:divBdr>
                <w:top w:val="none" w:sz="0" w:space="0" w:color="auto"/>
                <w:left w:val="none" w:sz="0" w:space="0" w:color="auto"/>
                <w:bottom w:val="none" w:sz="0" w:space="0" w:color="auto"/>
                <w:right w:val="none" w:sz="0" w:space="0" w:color="auto"/>
              </w:divBdr>
            </w:div>
            <w:div w:id="58404452">
              <w:marLeft w:val="0"/>
              <w:marRight w:val="0"/>
              <w:marTop w:val="0"/>
              <w:marBottom w:val="60"/>
              <w:divBdr>
                <w:top w:val="none" w:sz="0" w:space="0" w:color="auto"/>
                <w:left w:val="none" w:sz="0" w:space="0" w:color="auto"/>
                <w:bottom w:val="none" w:sz="0" w:space="0" w:color="auto"/>
                <w:right w:val="none" w:sz="0" w:space="0" w:color="auto"/>
              </w:divBdr>
            </w:div>
            <w:div w:id="936986140">
              <w:marLeft w:val="0"/>
              <w:marRight w:val="0"/>
              <w:marTop w:val="0"/>
              <w:marBottom w:val="60"/>
              <w:divBdr>
                <w:top w:val="none" w:sz="0" w:space="0" w:color="auto"/>
                <w:left w:val="none" w:sz="0" w:space="0" w:color="auto"/>
                <w:bottom w:val="none" w:sz="0" w:space="0" w:color="auto"/>
                <w:right w:val="none" w:sz="0" w:space="0" w:color="auto"/>
              </w:divBdr>
            </w:div>
            <w:div w:id="1060636314">
              <w:marLeft w:val="0"/>
              <w:marRight w:val="0"/>
              <w:marTop w:val="0"/>
              <w:marBottom w:val="60"/>
              <w:divBdr>
                <w:top w:val="none" w:sz="0" w:space="0" w:color="auto"/>
                <w:left w:val="none" w:sz="0" w:space="0" w:color="auto"/>
                <w:bottom w:val="none" w:sz="0" w:space="0" w:color="auto"/>
                <w:right w:val="none" w:sz="0" w:space="0" w:color="auto"/>
              </w:divBdr>
            </w:div>
            <w:div w:id="1425490773">
              <w:marLeft w:val="0"/>
              <w:marRight w:val="0"/>
              <w:marTop w:val="0"/>
              <w:marBottom w:val="60"/>
              <w:divBdr>
                <w:top w:val="none" w:sz="0" w:space="0" w:color="auto"/>
                <w:left w:val="none" w:sz="0" w:space="0" w:color="auto"/>
                <w:bottom w:val="none" w:sz="0" w:space="0" w:color="auto"/>
                <w:right w:val="none" w:sz="0" w:space="0" w:color="auto"/>
              </w:divBdr>
            </w:div>
            <w:div w:id="816144262">
              <w:marLeft w:val="0"/>
              <w:marRight w:val="0"/>
              <w:marTop w:val="0"/>
              <w:marBottom w:val="60"/>
              <w:divBdr>
                <w:top w:val="none" w:sz="0" w:space="0" w:color="auto"/>
                <w:left w:val="none" w:sz="0" w:space="0" w:color="auto"/>
                <w:bottom w:val="none" w:sz="0" w:space="0" w:color="auto"/>
                <w:right w:val="none" w:sz="0" w:space="0" w:color="auto"/>
              </w:divBdr>
            </w:div>
            <w:div w:id="1306201643">
              <w:marLeft w:val="0"/>
              <w:marRight w:val="0"/>
              <w:marTop w:val="0"/>
              <w:marBottom w:val="60"/>
              <w:divBdr>
                <w:top w:val="none" w:sz="0" w:space="0" w:color="auto"/>
                <w:left w:val="none" w:sz="0" w:space="0" w:color="auto"/>
                <w:bottom w:val="none" w:sz="0" w:space="0" w:color="auto"/>
                <w:right w:val="none" w:sz="0" w:space="0" w:color="auto"/>
              </w:divBdr>
            </w:div>
            <w:div w:id="84034762">
              <w:marLeft w:val="0"/>
              <w:marRight w:val="0"/>
              <w:marTop w:val="0"/>
              <w:marBottom w:val="60"/>
              <w:divBdr>
                <w:top w:val="none" w:sz="0" w:space="0" w:color="auto"/>
                <w:left w:val="none" w:sz="0" w:space="0" w:color="auto"/>
                <w:bottom w:val="none" w:sz="0" w:space="0" w:color="auto"/>
                <w:right w:val="none" w:sz="0" w:space="0" w:color="auto"/>
              </w:divBdr>
            </w:div>
            <w:div w:id="201792946">
              <w:marLeft w:val="0"/>
              <w:marRight w:val="0"/>
              <w:marTop w:val="0"/>
              <w:marBottom w:val="60"/>
              <w:divBdr>
                <w:top w:val="none" w:sz="0" w:space="0" w:color="auto"/>
                <w:left w:val="none" w:sz="0" w:space="0" w:color="auto"/>
                <w:bottom w:val="none" w:sz="0" w:space="0" w:color="auto"/>
                <w:right w:val="none" w:sz="0" w:space="0" w:color="auto"/>
              </w:divBdr>
            </w:div>
            <w:div w:id="1373729533">
              <w:marLeft w:val="0"/>
              <w:marRight w:val="0"/>
              <w:marTop w:val="0"/>
              <w:marBottom w:val="60"/>
              <w:divBdr>
                <w:top w:val="none" w:sz="0" w:space="0" w:color="auto"/>
                <w:left w:val="none" w:sz="0" w:space="0" w:color="auto"/>
                <w:bottom w:val="none" w:sz="0" w:space="0" w:color="auto"/>
                <w:right w:val="none" w:sz="0" w:space="0" w:color="auto"/>
              </w:divBdr>
            </w:div>
            <w:div w:id="1837576090">
              <w:marLeft w:val="0"/>
              <w:marRight w:val="0"/>
              <w:marTop w:val="0"/>
              <w:marBottom w:val="60"/>
              <w:divBdr>
                <w:top w:val="none" w:sz="0" w:space="0" w:color="auto"/>
                <w:left w:val="none" w:sz="0" w:space="0" w:color="auto"/>
                <w:bottom w:val="none" w:sz="0" w:space="0" w:color="auto"/>
                <w:right w:val="none" w:sz="0" w:space="0" w:color="auto"/>
              </w:divBdr>
            </w:div>
            <w:div w:id="1043599430">
              <w:marLeft w:val="0"/>
              <w:marRight w:val="0"/>
              <w:marTop w:val="0"/>
              <w:marBottom w:val="60"/>
              <w:divBdr>
                <w:top w:val="none" w:sz="0" w:space="0" w:color="auto"/>
                <w:left w:val="none" w:sz="0" w:space="0" w:color="auto"/>
                <w:bottom w:val="none" w:sz="0" w:space="0" w:color="auto"/>
                <w:right w:val="none" w:sz="0" w:space="0" w:color="auto"/>
              </w:divBdr>
            </w:div>
            <w:div w:id="1540315265">
              <w:marLeft w:val="0"/>
              <w:marRight w:val="0"/>
              <w:marTop w:val="0"/>
              <w:marBottom w:val="60"/>
              <w:divBdr>
                <w:top w:val="none" w:sz="0" w:space="0" w:color="auto"/>
                <w:left w:val="none" w:sz="0" w:space="0" w:color="auto"/>
                <w:bottom w:val="none" w:sz="0" w:space="0" w:color="auto"/>
                <w:right w:val="none" w:sz="0" w:space="0" w:color="auto"/>
              </w:divBdr>
            </w:div>
            <w:div w:id="1991447170">
              <w:marLeft w:val="0"/>
              <w:marRight w:val="0"/>
              <w:marTop w:val="0"/>
              <w:marBottom w:val="60"/>
              <w:divBdr>
                <w:top w:val="none" w:sz="0" w:space="0" w:color="auto"/>
                <w:left w:val="none" w:sz="0" w:space="0" w:color="auto"/>
                <w:bottom w:val="none" w:sz="0" w:space="0" w:color="auto"/>
                <w:right w:val="none" w:sz="0" w:space="0" w:color="auto"/>
              </w:divBdr>
            </w:div>
            <w:div w:id="414018408">
              <w:marLeft w:val="0"/>
              <w:marRight w:val="0"/>
              <w:marTop w:val="0"/>
              <w:marBottom w:val="60"/>
              <w:divBdr>
                <w:top w:val="none" w:sz="0" w:space="0" w:color="auto"/>
                <w:left w:val="none" w:sz="0" w:space="0" w:color="auto"/>
                <w:bottom w:val="none" w:sz="0" w:space="0" w:color="auto"/>
                <w:right w:val="none" w:sz="0" w:space="0" w:color="auto"/>
              </w:divBdr>
            </w:div>
            <w:div w:id="550263336">
              <w:marLeft w:val="0"/>
              <w:marRight w:val="0"/>
              <w:marTop w:val="0"/>
              <w:marBottom w:val="60"/>
              <w:divBdr>
                <w:top w:val="none" w:sz="0" w:space="0" w:color="auto"/>
                <w:left w:val="none" w:sz="0" w:space="0" w:color="auto"/>
                <w:bottom w:val="none" w:sz="0" w:space="0" w:color="auto"/>
                <w:right w:val="none" w:sz="0" w:space="0" w:color="auto"/>
              </w:divBdr>
            </w:div>
            <w:div w:id="1126968019">
              <w:marLeft w:val="0"/>
              <w:marRight w:val="0"/>
              <w:marTop w:val="0"/>
              <w:marBottom w:val="60"/>
              <w:divBdr>
                <w:top w:val="none" w:sz="0" w:space="0" w:color="auto"/>
                <w:left w:val="none" w:sz="0" w:space="0" w:color="auto"/>
                <w:bottom w:val="none" w:sz="0" w:space="0" w:color="auto"/>
                <w:right w:val="none" w:sz="0" w:space="0" w:color="auto"/>
              </w:divBdr>
            </w:div>
          </w:divsChild>
        </w:div>
        <w:div w:id="178278836">
          <w:marLeft w:val="0"/>
          <w:marRight w:val="0"/>
          <w:marTop w:val="0"/>
          <w:marBottom w:val="0"/>
          <w:divBdr>
            <w:top w:val="none" w:sz="0" w:space="0" w:color="auto"/>
            <w:left w:val="none" w:sz="0" w:space="0" w:color="auto"/>
            <w:bottom w:val="none" w:sz="0" w:space="0" w:color="auto"/>
            <w:right w:val="none" w:sz="0" w:space="0" w:color="auto"/>
          </w:divBdr>
          <w:divsChild>
            <w:div w:id="858347243">
              <w:marLeft w:val="0"/>
              <w:marRight w:val="0"/>
              <w:marTop w:val="0"/>
              <w:marBottom w:val="60"/>
              <w:divBdr>
                <w:top w:val="none" w:sz="0" w:space="0" w:color="auto"/>
                <w:left w:val="none" w:sz="0" w:space="0" w:color="auto"/>
                <w:bottom w:val="none" w:sz="0" w:space="0" w:color="auto"/>
                <w:right w:val="none" w:sz="0" w:space="0" w:color="auto"/>
              </w:divBdr>
            </w:div>
            <w:div w:id="595870122">
              <w:marLeft w:val="0"/>
              <w:marRight w:val="0"/>
              <w:marTop w:val="0"/>
              <w:marBottom w:val="60"/>
              <w:divBdr>
                <w:top w:val="none" w:sz="0" w:space="0" w:color="auto"/>
                <w:left w:val="none" w:sz="0" w:space="0" w:color="auto"/>
                <w:bottom w:val="none" w:sz="0" w:space="0" w:color="auto"/>
                <w:right w:val="none" w:sz="0" w:space="0" w:color="auto"/>
              </w:divBdr>
            </w:div>
            <w:div w:id="940797812">
              <w:marLeft w:val="0"/>
              <w:marRight w:val="0"/>
              <w:marTop w:val="0"/>
              <w:marBottom w:val="60"/>
              <w:divBdr>
                <w:top w:val="none" w:sz="0" w:space="0" w:color="auto"/>
                <w:left w:val="none" w:sz="0" w:space="0" w:color="auto"/>
                <w:bottom w:val="none" w:sz="0" w:space="0" w:color="auto"/>
                <w:right w:val="none" w:sz="0" w:space="0" w:color="auto"/>
              </w:divBdr>
            </w:div>
            <w:div w:id="1518546690">
              <w:marLeft w:val="0"/>
              <w:marRight w:val="0"/>
              <w:marTop w:val="0"/>
              <w:marBottom w:val="60"/>
              <w:divBdr>
                <w:top w:val="none" w:sz="0" w:space="0" w:color="auto"/>
                <w:left w:val="none" w:sz="0" w:space="0" w:color="auto"/>
                <w:bottom w:val="none" w:sz="0" w:space="0" w:color="auto"/>
                <w:right w:val="none" w:sz="0" w:space="0" w:color="auto"/>
              </w:divBdr>
            </w:div>
            <w:div w:id="935021">
              <w:marLeft w:val="0"/>
              <w:marRight w:val="0"/>
              <w:marTop w:val="0"/>
              <w:marBottom w:val="60"/>
              <w:divBdr>
                <w:top w:val="none" w:sz="0" w:space="0" w:color="auto"/>
                <w:left w:val="none" w:sz="0" w:space="0" w:color="auto"/>
                <w:bottom w:val="none" w:sz="0" w:space="0" w:color="auto"/>
                <w:right w:val="none" w:sz="0" w:space="0" w:color="auto"/>
              </w:divBdr>
            </w:div>
            <w:div w:id="412357685">
              <w:marLeft w:val="0"/>
              <w:marRight w:val="0"/>
              <w:marTop w:val="0"/>
              <w:marBottom w:val="60"/>
              <w:divBdr>
                <w:top w:val="none" w:sz="0" w:space="0" w:color="auto"/>
                <w:left w:val="none" w:sz="0" w:space="0" w:color="auto"/>
                <w:bottom w:val="none" w:sz="0" w:space="0" w:color="auto"/>
                <w:right w:val="none" w:sz="0" w:space="0" w:color="auto"/>
              </w:divBdr>
            </w:div>
            <w:div w:id="1021786747">
              <w:marLeft w:val="0"/>
              <w:marRight w:val="0"/>
              <w:marTop w:val="0"/>
              <w:marBottom w:val="60"/>
              <w:divBdr>
                <w:top w:val="none" w:sz="0" w:space="0" w:color="auto"/>
                <w:left w:val="none" w:sz="0" w:space="0" w:color="auto"/>
                <w:bottom w:val="none" w:sz="0" w:space="0" w:color="auto"/>
                <w:right w:val="none" w:sz="0" w:space="0" w:color="auto"/>
              </w:divBdr>
            </w:div>
            <w:div w:id="207300930">
              <w:marLeft w:val="0"/>
              <w:marRight w:val="0"/>
              <w:marTop w:val="0"/>
              <w:marBottom w:val="60"/>
              <w:divBdr>
                <w:top w:val="none" w:sz="0" w:space="0" w:color="auto"/>
                <w:left w:val="none" w:sz="0" w:space="0" w:color="auto"/>
                <w:bottom w:val="none" w:sz="0" w:space="0" w:color="auto"/>
                <w:right w:val="none" w:sz="0" w:space="0" w:color="auto"/>
              </w:divBdr>
            </w:div>
            <w:div w:id="1871138043">
              <w:marLeft w:val="0"/>
              <w:marRight w:val="0"/>
              <w:marTop w:val="0"/>
              <w:marBottom w:val="0"/>
              <w:divBdr>
                <w:top w:val="none" w:sz="0" w:space="0" w:color="auto"/>
                <w:left w:val="none" w:sz="0" w:space="0" w:color="auto"/>
                <w:bottom w:val="none" w:sz="0" w:space="0" w:color="auto"/>
                <w:right w:val="none" w:sz="0" w:space="0" w:color="auto"/>
              </w:divBdr>
            </w:div>
            <w:div w:id="1762675347">
              <w:marLeft w:val="0"/>
              <w:marRight w:val="0"/>
              <w:marTop w:val="0"/>
              <w:marBottom w:val="60"/>
              <w:divBdr>
                <w:top w:val="none" w:sz="0" w:space="0" w:color="auto"/>
                <w:left w:val="none" w:sz="0" w:space="0" w:color="auto"/>
                <w:bottom w:val="none" w:sz="0" w:space="0" w:color="auto"/>
                <w:right w:val="none" w:sz="0" w:space="0" w:color="auto"/>
              </w:divBdr>
            </w:div>
            <w:div w:id="366956377">
              <w:marLeft w:val="0"/>
              <w:marRight w:val="0"/>
              <w:marTop w:val="0"/>
              <w:marBottom w:val="60"/>
              <w:divBdr>
                <w:top w:val="none" w:sz="0" w:space="0" w:color="auto"/>
                <w:left w:val="none" w:sz="0" w:space="0" w:color="auto"/>
                <w:bottom w:val="none" w:sz="0" w:space="0" w:color="auto"/>
                <w:right w:val="none" w:sz="0" w:space="0" w:color="auto"/>
              </w:divBdr>
            </w:div>
            <w:div w:id="505707606">
              <w:marLeft w:val="0"/>
              <w:marRight w:val="0"/>
              <w:marTop w:val="0"/>
              <w:marBottom w:val="60"/>
              <w:divBdr>
                <w:top w:val="none" w:sz="0" w:space="0" w:color="auto"/>
                <w:left w:val="none" w:sz="0" w:space="0" w:color="auto"/>
                <w:bottom w:val="none" w:sz="0" w:space="0" w:color="auto"/>
                <w:right w:val="none" w:sz="0" w:space="0" w:color="auto"/>
              </w:divBdr>
            </w:div>
            <w:div w:id="658074061">
              <w:marLeft w:val="0"/>
              <w:marRight w:val="0"/>
              <w:marTop w:val="0"/>
              <w:marBottom w:val="60"/>
              <w:divBdr>
                <w:top w:val="none" w:sz="0" w:space="0" w:color="auto"/>
                <w:left w:val="none" w:sz="0" w:space="0" w:color="auto"/>
                <w:bottom w:val="none" w:sz="0" w:space="0" w:color="auto"/>
                <w:right w:val="none" w:sz="0" w:space="0" w:color="auto"/>
              </w:divBdr>
            </w:div>
            <w:div w:id="20606794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25756196">
      <w:marLeft w:val="0"/>
      <w:marRight w:val="0"/>
      <w:marTop w:val="120"/>
      <w:marBottom w:val="180"/>
      <w:divBdr>
        <w:top w:val="none" w:sz="0" w:space="0" w:color="auto"/>
        <w:left w:val="none" w:sz="0" w:space="0" w:color="auto"/>
        <w:bottom w:val="none" w:sz="0" w:space="0" w:color="auto"/>
        <w:right w:val="none" w:sz="0" w:space="0" w:color="auto"/>
      </w:divBdr>
    </w:div>
    <w:div w:id="26222441">
      <w:marLeft w:val="0"/>
      <w:marRight w:val="0"/>
      <w:marTop w:val="0"/>
      <w:marBottom w:val="240"/>
      <w:divBdr>
        <w:top w:val="none" w:sz="0" w:space="0" w:color="auto"/>
        <w:left w:val="none" w:sz="0" w:space="0" w:color="auto"/>
        <w:bottom w:val="none" w:sz="0" w:space="0" w:color="auto"/>
        <w:right w:val="none" w:sz="0" w:space="0" w:color="auto"/>
      </w:divBdr>
    </w:div>
    <w:div w:id="26223775">
      <w:marLeft w:val="0"/>
      <w:marRight w:val="0"/>
      <w:marTop w:val="0"/>
      <w:marBottom w:val="180"/>
      <w:divBdr>
        <w:top w:val="none" w:sz="0" w:space="0" w:color="auto"/>
        <w:left w:val="none" w:sz="0" w:space="0" w:color="auto"/>
        <w:bottom w:val="none" w:sz="0" w:space="0" w:color="auto"/>
        <w:right w:val="none" w:sz="0" w:space="0" w:color="auto"/>
      </w:divBdr>
    </w:div>
    <w:div w:id="26610963">
      <w:marLeft w:val="0"/>
      <w:marRight w:val="0"/>
      <w:marTop w:val="0"/>
      <w:marBottom w:val="0"/>
      <w:divBdr>
        <w:top w:val="none" w:sz="0" w:space="0" w:color="auto"/>
        <w:left w:val="none" w:sz="0" w:space="0" w:color="auto"/>
        <w:bottom w:val="none" w:sz="0" w:space="0" w:color="auto"/>
        <w:right w:val="none" w:sz="0" w:space="0" w:color="auto"/>
      </w:divBdr>
      <w:divsChild>
        <w:div w:id="397291530">
          <w:marLeft w:val="0"/>
          <w:marRight w:val="0"/>
          <w:marTop w:val="0"/>
          <w:marBottom w:val="0"/>
          <w:divBdr>
            <w:top w:val="none" w:sz="0" w:space="0" w:color="auto"/>
            <w:left w:val="none" w:sz="0" w:space="0" w:color="auto"/>
            <w:bottom w:val="none" w:sz="0" w:space="0" w:color="auto"/>
            <w:right w:val="none" w:sz="0" w:space="0" w:color="auto"/>
          </w:divBdr>
        </w:div>
      </w:divsChild>
    </w:div>
    <w:div w:id="27024731">
      <w:marLeft w:val="0"/>
      <w:marRight w:val="0"/>
      <w:marTop w:val="0"/>
      <w:marBottom w:val="240"/>
      <w:divBdr>
        <w:top w:val="none" w:sz="0" w:space="0" w:color="auto"/>
        <w:left w:val="none" w:sz="0" w:space="0" w:color="auto"/>
        <w:bottom w:val="none" w:sz="0" w:space="0" w:color="auto"/>
        <w:right w:val="none" w:sz="0" w:space="0" w:color="auto"/>
      </w:divBdr>
    </w:div>
    <w:div w:id="27680743">
      <w:marLeft w:val="0"/>
      <w:marRight w:val="0"/>
      <w:marTop w:val="0"/>
      <w:marBottom w:val="180"/>
      <w:divBdr>
        <w:top w:val="none" w:sz="0" w:space="0" w:color="auto"/>
        <w:left w:val="none" w:sz="0" w:space="0" w:color="auto"/>
        <w:bottom w:val="none" w:sz="0" w:space="0" w:color="auto"/>
        <w:right w:val="none" w:sz="0" w:space="0" w:color="auto"/>
      </w:divBdr>
    </w:div>
    <w:div w:id="28339471">
      <w:marLeft w:val="0"/>
      <w:marRight w:val="0"/>
      <w:marTop w:val="0"/>
      <w:marBottom w:val="240"/>
      <w:divBdr>
        <w:top w:val="none" w:sz="0" w:space="0" w:color="auto"/>
        <w:left w:val="none" w:sz="0" w:space="0" w:color="auto"/>
        <w:bottom w:val="none" w:sz="0" w:space="0" w:color="auto"/>
        <w:right w:val="none" w:sz="0" w:space="0" w:color="auto"/>
      </w:divBdr>
    </w:div>
    <w:div w:id="28459956">
      <w:marLeft w:val="0"/>
      <w:marRight w:val="0"/>
      <w:marTop w:val="0"/>
      <w:marBottom w:val="180"/>
      <w:divBdr>
        <w:top w:val="none" w:sz="0" w:space="0" w:color="auto"/>
        <w:left w:val="none" w:sz="0" w:space="0" w:color="auto"/>
        <w:bottom w:val="none" w:sz="0" w:space="0" w:color="auto"/>
        <w:right w:val="none" w:sz="0" w:space="0" w:color="auto"/>
      </w:divBdr>
    </w:div>
    <w:div w:id="30081361">
      <w:marLeft w:val="0"/>
      <w:marRight w:val="0"/>
      <w:marTop w:val="0"/>
      <w:marBottom w:val="0"/>
      <w:divBdr>
        <w:top w:val="none" w:sz="0" w:space="0" w:color="auto"/>
        <w:left w:val="none" w:sz="0" w:space="0" w:color="auto"/>
        <w:bottom w:val="none" w:sz="0" w:space="0" w:color="auto"/>
        <w:right w:val="none" w:sz="0" w:space="0" w:color="auto"/>
      </w:divBdr>
      <w:divsChild>
        <w:div w:id="1602880916">
          <w:marLeft w:val="0"/>
          <w:marRight w:val="0"/>
          <w:marTop w:val="0"/>
          <w:marBottom w:val="0"/>
          <w:divBdr>
            <w:top w:val="none" w:sz="0" w:space="0" w:color="auto"/>
            <w:left w:val="none" w:sz="0" w:space="0" w:color="auto"/>
            <w:bottom w:val="none" w:sz="0" w:space="0" w:color="auto"/>
            <w:right w:val="none" w:sz="0" w:space="0" w:color="auto"/>
          </w:divBdr>
        </w:div>
      </w:divsChild>
    </w:div>
    <w:div w:id="31347794">
      <w:marLeft w:val="0"/>
      <w:marRight w:val="0"/>
      <w:marTop w:val="0"/>
      <w:marBottom w:val="240"/>
      <w:divBdr>
        <w:top w:val="none" w:sz="0" w:space="0" w:color="auto"/>
        <w:left w:val="none" w:sz="0" w:space="0" w:color="auto"/>
        <w:bottom w:val="none" w:sz="0" w:space="0" w:color="auto"/>
        <w:right w:val="none" w:sz="0" w:space="0" w:color="auto"/>
      </w:divBdr>
    </w:div>
    <w:div w:id="32847562">
      <w:marLeft w:val="0"/>
      <w:marRight w:val="0"/>
      <w:marTop w:val="180"/>
      <w:marBottom w:val="180"/>
      <w:divBdr>
        <w:top w:val="none" w:sz="0" w:space="0" w:color="auto"/>
        <w:left w:val="none" w:sz="0" w:space="0" w:color="auto"/>
        <w:bottom w:val="none" w:sz="0" w:space="0" w:color="auto"/>
        <w:right w:val="none" w:sz="0" w:space="0" w:color="auto"/>
      </w:divBdr>
    </w:div>
    <w:div w:id="33431992">
      <w:marLeft w:val="0"/>
      <w:marRight w:val="0"/>
      <w:marTop w:val="60"/>
      <w:marBottom w:val="180"/>
      <w:divBdr>
        <w:top w:val="none" w:sz="0" w:space="0" w:color="auto"/>
        <w:left w:val="none" w:sz="0" w:space="0" w:color="auto"/>
        <w:bottom w:val="none" w:sz="0" w:space="0" w:color="auto"/>
        <w:right w:val="none" w:sz="0" w:space="0" w:color="auto"/>
      </w:divBdr>
    </w:div>
    <w:div w:id="33821276">
      <w:marLeft w:val="0"/>
      <w:marRight w:val="0"/>
      <w:marTop w:val="240"/>
      <w:marBottom w:val="180"/>
      <w:divBdr>
        <w:top w:val="none" w:sz="0" w:space="0" w:color="auto"/>
        <w:left w:val="none" w:sz="0" w:space="0" w:color="auto"/>
        <w:bottom w:val="none" w:sz="0" w:space="0" w:color="auto"/>
        <w:right w:val="none" w:sz="0" w:space="0" w:color="auto"/>
      </w:divBdr>
    </w:div>
    <w:div w:id="35665320">
      <w:marLeft w:val="0"/>
      <w:marRight w:val="0"/>
      <w:marTop w:val="0"/>
      <w:marBottom w:val="240"/>
      <w:divBdr>
        <w:top w:val="none" w:sz="0" w:space="0" w:color="auto"/>
        <w:left w:val="none" w:sz="0" w:space="0" w:color="auto"/>
        <w:bottom w:val="none" w:sz="0" w:space="0" w:color="auto"/>
        <w:right w:val="none" w:sz="0" w:space="0" w:color="auto"/>
      </w:divBdr>
    </w:div>
    <w:div w:id="36859543">
      <w:marLeft w:val="0"/>
      <w:marRight w:val="0"/>
      <w:marTop w:val="0"/>
      <w:marBottom w:val="240"/>
      <w:divBdr>
        <w:top w:val="none" w:sz="0" w:space="0" w:color="auto"/>
        <w:left w:val="none" w:sz="0" w:space="0" w:color="auto"/>
        <w:bottom w:val="none" w:sz="0" w:space="0" w:color="auto"/>
        <w:right w:val="none" w:sz="0" w:space="0" w:color="auto"/>
      </w:divBdr>
    </w:div>
    <w:div w:id="37246511">
      <w:marLeft w:val="0"/>
      <w:marRight w:val="0"/>
      <w:marTop w:val="0"/>
      <w:marBottom w:val="0"/>
      <w:divBdr>
        <w:top w:val="none" w:sz="0" w:space="0" w:color="auto"/>
        <w:left w:val="none" w:sz="0" w:space="0" w:color="auto"/>
        <w:bottom w:val="none" w:sz="0" w:space="0" w:color="auto"/>
        <w:right w:val="none" w:sz="0" w:space="0" w:color="auto"/>
      </w:divBdr>
    </w:div>
    <w:div w:id="37895206">
      <w:marLeft w:val="0"/>
      <w:marRight w:val="0"/>
      <w:marTop w:val="0"/>
      <w:marBottom w:val="0"/>
      <w:divBdr>
        <w:top w:val="none" w:sz="0" w:space="0" w:color="auto"/>
        <w:left w:val="none" w:sz="0" w:space="0" w:color="auto"/>
        <w:bottom w:val="none" w:sz="0" w:space="0" w:color="auto"/>
        <w:right w:val="none" w:sz="0" w:space="0" w:color="auto"/>
      </w:divBdr>
    </w:div>
    <w:div w:id="37900634">
      <w:marLeft w:val="0"/>
      <w:marRight w:val="0"/>
      <w:marTop w:val="180"/>
      <w:marBottom w:val="180"/>
      <w:divBdr>
        <w:top w:val="none" w:sz="0" w:space="0" w:color="auto"/>
        <w:left w:val="none" w:sz="0" w:space="0" w:color="auto"/>
        <w:bottom w:val="none" w:sz="0" w:space="0" w:color="auto"/>
        <w:right w:val="none" w:sz="0" w:space="0" w:color="auto"/>
      </w:divBdr>
    </w:div>
    <w:div w:id="38408371">
      <w:marLeft w:val="0"/>
      <w:marRight w:val="0"/>
      <w:marTop w:val="180"/>
      <w:marBottom w:val="180"/>
      <w:divBdr>
        <w:top w:val="none" w:sz="0" w:space="0" w:color="auto"/>
        <w:left w:val="none" w:sz="0" w:space="0" w:color="auto"/>
        <w:bottom w:val="none" w:sz="0" w:space="0" w:color="auto"/>
        <w:right w:val="none" w:sz="0" w:space="0" w:color="auto"/>
      </w:divBdr>
    </w:div>
    <w:div w:id="38677400">
      <w:marLeft w:val="0"/>
      <w:marRight w:val="0"/>
      <w:marTop w:val="180"/>
      <w:marBottom w:val="240"/>
      <w:divBdr>
        <w:top w:val="none" w:sz="0" w:space="0" w:color="auto"/>
        <w:left w:val="none" w:sz="0" w:space="0" w:color="auto"/>
        <w:bottom w:val="none" w:sz="0" w:space="0" w:color="auto"/>
        <w:right w:val="none" w:sz="0" w:space="0" w:color="auto"/>
      </w:divBdr>
    </w:div>
    <w:div w:id="38869582">
      <w:marLeft w:val="0"/>
      <w:marRight w:val="0"/>
      <w:marTop w:val="0"/>
      <w:marBottom w:val="0"/>
      <w:divBdr>
        <w:top w:val="none" w:sz="0" w:space="0" w:color="auto"/>
        <w:left w:val="none" w:sz="0" w:space="0" w:color="auto"/>
        <w:bottom w:val="none" w:sz="0" w:space="0" w:color="auto"/>
        <w:right w:val="none" w:sz="0" w:space="0" w:color="auto"/>
      </w:divBdr>
      <w:divsChild>
        <w:div w:id="1412121815">
          <w:marLeft w:val="0"/>
          <w:marRight w:val="0"/>
          <w:marTop w:val="0"/>
          <w:marBottom w:val="0"/>
          <w:divBdr>
            <w:top w:val="none" w:sz="0" w:space="0" w:color="auto"/>
            <w:left w:val="none" w:sz="0" w:space="0" w:color="auto"/>
            <w:bottom w:val="none" w:sz="0" w:space="0" w:color="auto"/>
            <w:right w:val="none" w:sz="0" w:space="0" w:color="auto"/>
          </w:divBdr>
        </w:div>
      </w:divsChild>
    </w:div>
    <w:div w:id="42827200">
      <w:marLeft w:val="0"/>
      <w:marRight w:val="0"/>
      <w:marTop w:val="0"/>
      <w:marBottom w:val="0"/>
      <w:divBdr>
        <w:top w:val="none" w:sz="0" w:space="0" w:color="auto"/>
        <w:left w:val="none" w:sz="0" w:space="0" w:color="auto"/>
        <w:bottom w:val="none" w:sz="0" w:space="0" w:color="auto"/>
        <w:right w:val="none" w:sz="0" w:space="0" w:color="auto"/>
      </w:divBdr>
    </w:div>
    <w:div w:id="43140382">
      <w:marLeft w:val="0"/>
      <w:marRight w:val="0"/>
      <w:marTop w:val="100"/>
      <w:marBottom w:val="180"/>
      <w:divBdr>
        <w:top w:val="none" w:sz="0" w:space="0" w:color="auto"/>
        <w:left w:val="none" w:sz="0" w:space="0" w:color="auto"/>
        <w:bottom w:val="none" w:sz="0" w:space="0" w:color="auto"/>
        <w:right w:val="none" w:sz="0" w:space="0" w:color="auto"/>
      </w:divBdr>
      <w:divsChild>
        <w:div w:id="1202403087">
          <w:marLeft w:val="0"/>
          <w:marRight w:val="0"/>
          <w:marTop w:val="0"/>
          <w:marBottom w:val="0"/>
          <w:divBdr>
            <w:top w:val="none" w:sz="0" w:space="0" w:color="auto"/>
            <w:left w:val="none" w:sz="0" w:space="0" w:color="auto"/>
            <w:bottom w:val="none" w:sz="0" w:space="0" w:color="auto"/>
            <w:right w:val="none" w:sz="0" w:space="0" w:color="auto"/>
          </w:divBdr>
        </w:div>
        <w:div w:id="1602296933">
          <w:marLeft w:val="0"/>
          <w:marRight w:val="0"/>
          <w:marTop w:val="100"/>
          <w:marBottom w:val="180"/>
          <w:divBdr>
            <w:top w:val="none" w:sz="0" w:space="0" w:color="auto"/>
            <w:left w:val="none" w:sz="0" w:space="0" w:color="auto"/>
            <w:bottom w:val="none" w:sz="0" w:space="0" w:color="auto"/>
            <w:right w:val="none" w:sz="0" w:space="0" w:color="auto"/>
          </w:divBdr>
        </w:div>
        <w:div w:id="1675954897">
          <w:marLeft w:val="0"/>
          <w:marRight w:val="0"/>
          <w:marTop w:val="0"/>
          <w:marBottom w:val="0"/>
          <w:divBdr>
            <w:top w:val="none" w:sz="0" w:space="0" w:color="auto"/>
            <w:left w:val="none" w:sz="0" w:space="0" w:color="auto"/>
            <w:bottom w:val="none" w:sz="0" w:space="0" w:color="auto"/>
            <w:right w:val="none" w:sz="0" w:space="0" w:color="auto"/>
          </w:divBdr>
        </w:div>
        <w:div w:id="104808832">
          <w:marLeft w:val="0"/>
          <w:marRight w:val="0"/>
          <w:marTop w:val="0"/>
          <w:marBottom w:val="0"/>
          <w:divBdr>
            <w:top w:val="none" w:sz="0" w:space="0" w:color="auto"/>
            <w:left w:val="none" w:sz="0" w:space="0" w:color="auto"/>
            <w:bottom w:val="none" w:sz="0" w:space="0" w:color="auto"/>
            <w:right w:val="none" w:sz="0" w:space="0" w:color="auto"/>
          </w:divBdr>
        </w:div>
        <w:div w:id="1557743176">
          <w:marLeft w:val="0"/>
          <w:marRight w:val="0"/>
          <w:marTop w:val="0"/>
          <w:marBottom w:val="0"/>
          <w:divBdr>
            <w:top w:val="none" w:sz="0" w:space="0" w:color="auto"/>
            <w:left w:val="none" w:sz="0" w:space="0" w:color="auto"/>
            <w:bottom w:val="none" w:sz="0" w:space="0" w:color="auto"/>
            <w:right w:val="none" w:sz="0" w:space="0" w:color="auto"/>
          </w:divBdr>
        </w:div>
        <w:div w:id="1384938793">
          <w:marLeft w:val="0"/>
          <w:marRight w:val="0"/>
          <w:marTop w:val="0"/>
          <w:marBottom w:val="0"/>
          <w:divBdr>
            <w:top w:val="none" w:sz="0" w:space="0" w:color="auto"/>
            <w:left w:val="none" w:sz="0" w:space="0" w:color="auto"/>
            <w:bottom w:val="none" w:sz="0" w:space="0" w:color="auto"/>
            <w:right w:val="none" w:sz="0" w:space="0" w:color="auto"/>
          </w:divBdr>
        </w:div>
        <w:div w:id="921840678">
          <w:marLeft w:val="0"/>
          <w:marRight w:val="0"/>
          <w:marTop w:val="0"/>
          <w:marBottom w:val="0"/>
          <w:divBdr>
            <w:top w:val="none" w:sz="0" w:space="0" w:color="auto"/>
            <w:left w:val="none" w:sz="0" w:space="0" w:color="auto"/>
            <w:bottom w:val="none" w:sz="0" w:space="0" w:color="auto"/>
            <w:right w:val="none" w:sz="0" w:space="0" w:color="auto"/>
          </w:divBdr>
        </w:div>
        <w:div w:id="996033427">
          <w:marLeft w:val="0"/>
          <w:marRight w:val="0"/>
          <w:marTop w:val="0"/>
          <w:marBottom w:val="0"/>
          <w:divBdr>
            <w:top w:val="none" w:sz="0" w:space="0" w:color="auto"/>
            <w:left w:val="none" w:sz="0" w:space="0" w:color="auto"/>
            <w:bottom w:val="none" w:sz="0" w:space="0" w:color="auto"/>
            <w:right w:val="none" w:sz="0" w:space="0" w:color="auto"/>
          </w:divBdr>
        </w:div>
        <w:div w:id="217134610">
          <w:marLeft w:val="0"/>
          <w:marRight w:val="0"/>
          <w:marTop w:val="0"/>
          <w:marBottom w:val="0"/>
          <w:divBdr>
            <w:top w:val="none" w:sz="0" w:space="0" w:color="auto"/>
            <w:left w:val="none" w:sz="0" w:space="0" w:color="auto"/>
            <w:bottom w:val="none" w:sz="0" w:space="0" w:color="auto"/>
            <w:right w:val="none" w:sz="0" w:space="0" w:color="auto"/>
          </w:divBdr>
        </w:div>
        <w:div w:id="1477726745">
          <w:marLeft w:val="0"/>
          <w:marRight w:val="0"/>
          <w:marTop w:val="0"/>
          <w:marBottom w:val="0"/>
          <w:divBdr>
            <w:top w:val="none" w:sz="0" w:space="0" w:color="auto"/>
            <w:left w:val="none" w:sz="0" w:space="0" w:color="auto"/>
            <w:bottom w:val="none" w:sz="0" w:space="0" w:color="auto"/>
            <w:right w:val="none" w:sz="0" w:space="0" w:color="auto"/>
          </w:divBdr>
        </w:div>
        <w:div w:id="744491731">
          <w:marLeft w:val="0"/>
          <w:marRight w:val="0"/>
          <w:marTop w:val="0"/>
          <w:marBottom w:val="0"/>
          <w:divBdr>
            <w:top w:val="none" w:sz="0" w:space="0" w:color="auto"/>
            <w:left w:val="none" w:sz="0" w:space="0" w:color="auto"/>
            <w:bottom w:val="none" w:sz="0" w:space="0" w:color="auto"/>
            <w:right w:val="none" w:sz="0" w:space="0" w:color="auto"/>
          </w:divBdr>
        </w:div>
        <w:div w:id="1459643105">
          <w:marLeft w:val="0"/>
          <w:marRight w:val="0"/>
          <w:marTop w:val="0"/>
          <w:marBottom w:val="0"/>
          <w:divBdr>
            <w:top w:val="none" w:sz="0" w:space="0" w:color="auto"/>
            <w:left w:val="none" w:sz="0" w:space="0" w:color="auto"/>
            <w:bottom w:val="none" w:sz="0" w:space="0" w:color="auto"/>
            <w:right w:val="none" w:sz="0" w:space="0" w:color="auto"/>
          </w:divBdr>
        </w:div>
        <w:div w:id="2030639818">
          <w:marLeft w:val="0"/>
          <w:marRight w:val="0"/>
          <w:marTop w:val="0"/>
          <w:marBottom w:val="0"/>
          <w:divBdr>
            <w:top w:val="none" w:sz="0" w:space="0" w:color="auto"/>
            <w:left w:val="none" w:sz="0" w:space="0" w:color="auto"/>
            <w:bottom w:val="none" w:sz="0" w:space="0" w:color="auto"/>
            <w:right w:val="none" w:sz="0" w:space="0" w:color="auto"/>
          </w:divBdr>
        </w:div>
        <w:div w:id="1232934251">
          <w:marLeft w:val="0"/>
          <w:marRight w:val="0"/>
          <w:marTop w:val="0"/>
          <w:marBottom w:val="0"/>
          <w:divBdr>
            <w:top w:val="none" w:sz="0" w:space="0" w:color="auto"/>
            <w:left w:val="none" w:sz="0" w:space="0" w:color="auto"/>
            <w:bottom w:val="none" w:sz="0" w:space="0" w:color="auto"/>
            <w:right w:val="none" w:sz="0" w:space="0" w:color="auto"/>
          </w:divBdr>
        </w:div>
        <w:div w:id="856843723">
          <w:marLeft w:val="0"/>
          <w:marRight w:val="0"/>
          <w:marTop w:val="0"/>
          <w:marBottom w:val="0"/>
          <w:divBdr>
            <w:top w:val="none" w:sz="0" w:space="0" w:color="auto"/>
            <w:left w:val="none" w:sz="0" w:space="0" w:color="auto"/>
            <w:bottom w:val="none" w:sz="0" w:space="0" w:color="auto"/>
            <w:right w:val="none" w:sz="0" w:space="0" w:color="auto"/>
          </w:divBdr>
        </w:div>
        <w:div w:id="1185439185">
          <w:marLeft w:val="0"/>
          <w:marRight w:val="0"/>
          <w:marTop w:val="0"/>
          <w:marBottom w:val="0"/>
          <w:divBdr>
            <w:top w:val="none" w:sz="0" w:space="0" w:color="auto"/>
            <w:left w:val="none" w:sz="0" w:space="0" w:color="auto"/>
            <w:bottom w:val="none" w:sz="0" w:space="0" w:color="auto"/>
            <w:right w:val="none" w:sz="0" w:space="0" w:color="auto"/>
          </w:divBdr>
        </w:div>
        <w:div w:id="1316758836">
          <w:marLeft w:val="0"/>
          <w:marRight w:val="0"/>
          <w:marTop w:val="0"/>
          <w:marBottom w:val="0"/>
          <w:divBdr>
            <w:top w:val="none" w:sz="0" w:space="0" w:color="auto"/>
            <w:left w:val="none" w:sz="0" w:space="0" w:color="auto"/>
            <w:bottom w:val="none" w:sz="0" w:space="0" w:color="auto"/>
            <w:right w:val="none" w:sz="0" w:space="0" w:color="auto"/>
          </w:divBdr>
        </w:div>
        <w:div w:id="1181121921">
          <w:marLeft w:val="0"/>
          <w:marRight w:val="0"/>
          <w:marTop w:val="0"/>
          <w:marBottom w:val="0"/>
          <w:divBdr>
            <w:top w:val="none" w:sz="0" w:space="0" w:color="auto"/>
            <w:left w:val="none" w:sz="0" w:space="0" w:color="auto"/>
            <w:bottom w:val="none" w:sz="0" w:space="0" w:color="auto"/>
            <w:right w:val="none" w:sz="0" w:space="0" w:color="auto"/>
          </w:divBdr>
        </w:div>
        <w:div w:id="1652902307">
          <w:marLeft w:val="0"/>
          <w:marRight w:val="0"/>
          <w:marTop w:val="0"/>
          <w:marBottom w:val="0"/>
          <w:divBdr>
            <w:top w:val="none" w:sz="0" w:space="0" w:color="auto"/>
            <w:left w:val="none" w:sz="0" w:space="0" w:color="auto"/>
            <w:bottom w:val="none" w:sz="0" w:space="0" w:color="auto"/>
            <w:right w:val="none" w:sz="0" w:space="0" w:color="auto"/>
          </w:divBdr>
        </w:div>
        <w:div w:id="492140175">
          <w:marLeft w:val="0"/>
          <w:marRight w:val="0"/>
          <w:marTop w:val="0"/>
          <w:marBottom w:val="0"/>
          <w:divBdr>
            <w:top w:val="none" w:sz="0" w:space="0" w:color="auto"/>
            <w:left w:val="none" w:sz="0" w:space="0" w:color="auto"/>
            <w:bottom w:val="none" w:sz="0" w:space="0" w:color="auto"/>
            <w:right w:val="none" w:sz="0" w:space="0" w:color="auto"/>
          </w:divBdr>
        </w:div>
        <w:div w:id="2047178382">
          <w:marLeft w:val="0"/>
          <w:marRight w:val="0"/>
          <w:marTop w:val="0"/>
          <w:marBottom w:val="0"/>
          <w:divBdr>
            <w:top w:val="none" w:sz="0" w:space="0" w:color="auto"/>
            <w:left w:val="none" w:sz="0" w:space="0" w:color="auto"/>
            <w:bottom w:val="none" w:sz="0" w:space="0" w:color="auto"/>
            <w:right w:val="none" w:sz="0" w:space="0" w:color="auto"/>
          </w:divBdr>
        </w:div>
        <w:div w:id="1117869584">
          <w:marLeft w:val="0"/>
          <w:marRight w:val="0"/>
          <w:marTop w:val="0"/>
          <w:marBottom w:val="0"/>
          <w:divBdr>
            <w:top w:val="none" w:sz="0" w:space="0" w:color="auto"/>
            <w:left w:val="none" w:sz="0" w:space="0" w:color="auto"/>
            <w:bottom w:val="none" w:sz="0" w:space="0" w:color="auto"/>
            <w:right w:val="none" w:sz="0" w:space="0" w:color="auto"/>
          </w:divBdr>
        </w:div>
        <w:div w:id="985353311">
          <w:marLeft w:val="0"/>
          <w:marRight w:val="0"/>
          <w:marTop w:val="0"/>
          <w:marBottom w:val="0"/>
          <w:divBdr>
            <w:top w:val="none" w:sz="0" w:space="0" w:color="auto"/>
            <w:left w:val="none" w:sz="0" w:space="0" w:color="auto"/>
            <w:bottom w:val="none" w:sz="0" w:space="0" w:color="auto"/>
            <w:right w:val="none" w:sz="0" w:space="0" w:color="auto"/>
          </w:divBdr>
        </w:div>
        <w:div w:id="1744909598">
          <w:marLeft w:val="0"/>
          <w:marRight w:val="0"/>
          <w:marTop w:val="0"/>
          <w:marBottom w:val="0"/>
          <w:divBdr>
            <w:top w:val="none" w:sz="0" w:space="0" w:color="auto"/>
            <w:left w:val="none" w:sz="0" w:space="0" w:color="auto"/>
            <w:bottom w:val="none" w:sz="0" w:space="0" w:color="auto"/>
            <w:right w:val="none" w:sz="0" w:space="0" w:color="auto"/>
          </w:divBdr>
        </w:div>
        <w:div w:id="1359627761">
          <w:marLeft w:val="0"/>
          <w:marRight w:val="0"/>
          <w:marTop w:val="0"/>
          <w:marBottom w:val="0"/>
          <w:divBdr>
            <w:top w:val="none" w:sz="0" w:space="0" w:color="auto"/>
            <w:left w:val="none" w:sz="0" w:space="0" w:color="auto"/>
            <w:bottom w:val="none" w:sz="0" w:space="0" w:color="auto"/>
            <w:right w:val="none" w:sz="0" w:space="0" w:color="auto"/>
          </w:divBdr>
        </w:div>
        <w:div w:id="1419476472">
          <w:marLeft w:val="0"/>
          <w:marRight w:val="0"/>
          <w:marTop w:val="0"/>
          <w:marBottom w:val="0"/>
          <w:divBdr>
            <w:top w:val="none" w:sz="0" w:space="0" w:color="auto"/>
            <w:left w:val="none" w:sz="0" w:space="0" w:color="auto"/>
            <w:bottom w:val="none" w:sz="0" w:space="0" w:color="auto"/>
            <w:right w:val="none" w:sz="0" w:space="0" w:color="auto"/>
          </w:divBdr>
        </w:div>
        <w:div w:id="910578192">
          <w:marLeft w:val="0"/>
          <w:marRight w:val="0"/>
          <w:marTop w:val="0"/>
          <w:marBottom w:val="0"/>
          <w:divBdr>
            <w:top w:val="none" w:sz="0" w:space="0" w:color="auto"/>
            <w:left w:val="none" w:sz="0" w:space="0" w:color="auto"/>
            <w:bottom w:val="none" w:sz="0" w:space="0" w:color="auto"/>
            <w:right w:val="none" w:sz="0" w:space="0" w:color="auto"/>
          </w:divBdr>
        </w:div>
        <w:div w:id="1063718670">
          <w:marLeft w:val="0"/>
          <w:marRight w:val="0"/>
          <w:marTop w:val="0"/>
          <w:marBottom w:val="0"/>
          <w:divBdr>
            <w:top w:val="none" w:sz="0" w:space="0" w:color="auto"/>
            <w:left w:val="none" w:sz="0" w:space="0" w:color="auto"/>
            <w:bottom w:val="none" w:sz="0" w:space="0" w:color="auto"/>
            <w:right w:val="none" w:sz="0" w:space="0" w:color="auto"/>
          </w:divBdr>
        </w:div>
        <w:div w:id="526021111">
          <w:marLeft w:val="0"/>
          <w:marRight w:val="0"/>
          <w:marTop w:val="0"/>
          <w:marBottom w:val="0"/>
          <w:divBdr>
            <w:top w:val="none" w:sz="0" w:space="0" w:color="auto"/>
            <w:left w:val="none" w:sz="0" w:space="0" w:color="auto"/>
            <w:bottom w:val="none" w:sz="0" w:space="0" w:color="auto"/>
            <w:right w:val="none" w:sz="0" w:space="0" w:color="auto"/>
          </w:divBdr>
        </w:div>
        <w:div w:id="1282690069">
          <w:marLeft w:val="0"/>
          <w:marRight w:val="0"/>
          <w:marTop w:val="0"/>
          <w:marBottom w:val="0"/>
          <w:divBdr>
            <w:top w:val="none" w:sz="0" w:space="0" w:color="auto"/>
            <w:left w:val="none" w:sz="0" w:space="0" w:color="auto"/>
            <w:bottom w:val="none" w:sz="0" w:space="0" w:color="auto"/>
            <w:right w:val="none" w:sz="0" w:space="0" w:color="auto"/>
          </w:divBdr>
        </w:div>
        <w:div w:id="1699039211">
          <w:marLeft w:val="0"/>
          <w:marRight w:val="0"/>
          <w:marTop w:val="0"/>
          <w:marBottom w:val="0"/>
          <w:divBdr>
            <w:top w:val="none" w:sz="0" w:space="0" w:color="auto"/>
            <w:left w:val="none" w:sz="0" w:space="0" w:color="auto"/>
            <w:bottom w:val="none" w:sz="0" w:space="0" w:color="auto"/>
            <w:right w:val="none" w:sz="0" w:space="0" w:color="auto"/>
          </w:divBdr>
        </w:div>
        <w:div w:id="569848098">
          <w:marLeft w:val="0"/>
          <w:marRight w:val="0"/>
          <w:marTop w:val="0"/>
          <w:marBottom w:val="0"/>
          <w:divBdr>
            <w:top w:val="none" w:sz="0" w:space="0" w:color="auto"/>
            <w:left w:val="none" w:sz="0" w:space="0" w:color="auto"/>
            <w:bottom w:val="none" w:sz="0" w:space="0" w:color="auto"/>
            <w:right w:val="none" w:sz="0" w:space="0" w:color="auto"/>
          </w:divBdr>
        </w:div>
        <w:div w:id="1957712577">
          <w:marLeft w:val="0"/>
          <w:marRight w:val="0"/>
          <w:marTop w:val="0"/>
          <w:marBottom w:val="0"/>
          <w:divBdr>
            <w:top w:val="none" w:sz="0" w:space="0" w:color="auto"/>
            <w:left w:val="none" w:sz="0" w:space="0" w:color="auto"/>
            <w:bottom w:val="none" w:sz="0" w:space="0" w:color="auto"/>
            <w:right w:val="none" w:sz="0" w:space="0" w:color="auto"/>
          </w:divBdr>
        </w:div>
        <w:div w:id="1148588753">
          <w:marLeft w:val="0"/>
          <w:marRight w:val="0"/>
          <w:marTop w:val="0"/>
          <w:marBottom w:val="0"/>
          <w:divBdr>
            <w:top w:val="none" w:sz="0" w:space="0" w:color="auto"/>
            <w:left w:val="none" w:sz="0" w:space="0" w:color="auto"/>
            <w:bottom w:val="none" w:sz="0" w:space="0" w:color="auto"/>
            <w:right w:val="none" w:sz="0" w:space="0" w:color="auto"/>
          </w:divBdr>
        </w:div>
        <w:div w:id="1583830921">
          <w:marLeft w:val="0"/>
          <w:marRight w:val="0"/>
          <w:marTop w:val="0"/>
          <w:marBottom w:val="0"/>
          <w:divBdr>
            <w:top w:val="none" w:sz="0" w:space="0" w:color="auto"/>
            <w:left w:val="none" w:sz="0" w:space="0" w:color="auto"/>
            <w:bottom w:val="none" w:sz="0" w:space="0" w:color="auto"/>
            <w:right w:val="none" w:sz="0" w:space="0" w:color="auto"/>
          </w:divBdr>
        </w:div>
        <w:div w:id="1417940686">
          <w:marLeft w:val="0"/>
          <w:marRight w:val="0"/>
          <w:marTop w:val="0"/>
          <w:marBottom w:val="0"/>
          <w:divBdr>
            <w:top w:val="none" w:sz="0" w:space="0" w:color="auto"/>
            <w:left w:val="none" w:sz="0" w:space="0" w:color="auto"/>
            <w:bottom w:val="none" w:sz="0" w:space="0" w:color="auto"/>
            <w:right w:val="none" w:sz="0" w:space="0" w:color="auto"/>
          </w:divBdr>
        </w:div>
        <w:div w:id="291904214">
          <w:marLeft w:val="0"/>
          <w:marRight w:val="0"/>
          <w:marTop w:val="0"/>
          <w:marBottom w:val="0"/>
          <w:divBdr>
            <w:top w:val="none" w:sz="0" w:space="0" w:color="auto"/>
            <w:left w:val="none" w:sz="0" w:space="0" w:color="auto"/>
            <w:bottom w:val="none" w:sz="0" w:space="0" w:color="auto"/>
            <w:right w:val="none" w:sz="0" w:space="0" w:color="auto"/>
          </w:divBdr>
        </w:div>
        <w:div w:id="11416466">
          <w:marLeft w:val="0"/>
          <w:marRight w:val="0"/>
          <w:marTop w:val="0"/>
          <w:marBottom w:val="0"/>
          <w:divBdr>
            <w:top w:val="none" w:sz="0" w:space="0" w:color="auto"/>
            <w:left w:val="none" w:sz="0" w:space="0" w:color="auto"/>
            <w:bottom w:val="none" w:sz="0" w:space="0" w:color="auto"/>
            <w:right w:val="none" w:sz="0" w:space="0" w:color="auto"/>
          </w:divBdr>
        </w:div>
        <w:div w:id="2084644003">
          <w:marLeft w:val="0"/>
          <w:marRight w:val="0"/>
          <w:marTop w:val="0"/>
          <w:marBottom w:val="0"/>
          <w:divBdr>
            <w:top w:val="none" w:sz="0" w:space="0" w:color="auto"/>
            <w:left w:val="none" w:sz="0" w:space="0" w:color="auto"/>
            <w:bottom w:val="none" w:sz="0" w:space="0" w:color="auto"/>
            <w:right w:val="none" w:sz="0" w:space="0" w:color="auto"/>
          </w:divBdr>
        </w:div>
        <w:div w:id="327100834">
          <w:marLeft w:val="0"/>
          <w:marRight w:val="0"/>
          <w:marTop w:val="0"/>
          <w:marBottom w:val="0"/>
          <w:divBdr>
            <w:top w:val="none" w:sz="0" w:space="0" w:color="auto"/>
            <w:left w:val="none" w:sz="0" w:space="0" w:color="auto"/>
            <w:bottom w:val="none" w:sz="0" w:space="0" w:color="auto"/>
            <w:right w:val="none" w:sz="0" w:space="0" w:color="auto"/>
          </w:divBdr>
        </w:div>
        <w:div w:id="1065686257">
          <w:marLeft w:val="0"/>
          <w:marRight w:val="0"/>
          <w:marTop w:val="0"/>
          <w:marBottom w:val="0"/>
          <w:divBdr>
            <w:top w:val="none" w:sz="0" w:space="0" w:color="auto"/>
            <w:left w:val="none" w:sz="0" w:space="0" w:color="auto"/>
            <w:bottom w:val="none" w:sz="0" w:space="0" w:color="auto"/>
            <w:right w:val="none" w:sz="0" w:space="0" w:color="auto"/>
          </w:divBdr>
        </w:div>
        <w:div w:id="1716268140">
          <w:marLeft w:val="0"/>
          <w:marRight w:val="0"/>
          <w:marTop w:val="0"/>
          <w:marBottom w:val="0"/>
          <w:divBdr>
            <w:top w:val="none" w:sz="0" w:space="0" w:color="auto"/>
            <w:left w:val="none" w:sz="0" w:space="0" w:color="auto"/>
            <w:bottom w:val="none" w:sz="0" w:space="0" w:color="auto"/>
            <w:right w:val="none" w:sz="0" w:space="0" w:color="auto"/>
          </w:divBdr>
        </w:div>
        <w:div w:id="1093665381">
          <w:marLeft w:val="0"/>
          <w:marRight w:val="0"/>
          <w:marTop w:val="0"/>
          <w:marBottom w:val="0"/>
          <w:divBdr>
            <w:top w:val="none" w:sz="0" w:space="0" w:color="auto"/>
            <w:left w:val="none" w:sz="0" w:space="0" w:color="auto"/>
            <w:bottom w:val="none" w:sz="0" w:space="0" w:color="auto"/>
            <w:right w:val="none" w:sz="0" w:space="0" w:color="auto"/>
          </w:divBdr>
        </w:div>
        <w:div w:id="1954941654">
          <w:marLeft w:val="0"/>
          <w:marRight w:val="0"/>
          <w:marTop w:val="0"/>
          <w:marBottom w:val="0"/>
          <w:divBdr>
            <w:top w:val="none" w:sz="0" w:space="0" w:color="auto"/>
            <w:left w:val="none" w:sz="0" w:space="0" w:color="auto"/>
            <w:bottom w:val="none" w:sz="0" w:space="0" w:color="auto"/>
            <w:right w:val="none" w:sz="0" w:space="0" w:color="auto"/>
          </w:divBdr>
        </w:div>
        <w:div w:id="745152578">
          <w:marLeft w:val="0"/>
          <w:marRight w:val="0"/>
          <w:marTop w:val="0"/>
          <w:marBottom w:val="0"/>
          <w:divBdr>
            <w:top w:val="none" w:sz="0" w:space="0" w:color="auto"/>
            <w:left w:val="none" w:sz="0" w:space="0" w:color="auto"/>
            <w:bottom w:val="none" w:sz="0" w:space="0" w:color="auto"/>
            <w:right w:val="none" w:sz="0" w:space="0" w:color="auto"/>
          </w:divBdr>
        </w:div>
        <w:div w:id="106437641">
          <w:marLeft w:val="0"/>
          <w:marRight w:val="0"/>
          <w:marTop w:val="0"/>
          <w:marBottom w:val="0"/>
          <w:divBdr>
            <w:top w:val="none" w:sz="0" w:space="0" w:color="auto"/>
            <w:left w:val="none" w:sz="0" w:space="0" w:color="auto"/>
            <w:bottom w:val="none" w:sz="0" w:space="0" w:color="auto"/>
            <w:right w:val="none" w:sz="0" w:space="0" w:color="auto"/>
          </w:divBdr>
        </w:div>
        <w:div w:id="125198291">
          <w:marLeft w:val="0"/>
          <w:marRight w:val="0"/>
          <w:marTop w:val="0"/>
          <w:marBottom w:val="0"/>
          <w:divBdr>
            <w:top w:val="none" w:sz="0" w:space="0" w:color="auto"/>
            <w:left w:val="none" w:sz="0" w:space="0" w:color="auto"/>
            <w:bottom w:val="none" w:sz="0" w:space="0" w:color="auto"/>
            <w:right w:val="none" w:sz="0" w:space="0" w:color="auto"/>
          </w:divBdr>
        </w:div>
        <w:div w:id="925963386">
          <w:marLeft w:val="0"/>
          <w:marRight w:val="0"/>
          <w:marTop w:val="0"/>
          <w:marBottom w:val="0"/>
          <w:divBdr>
            <w:top w:val="none" w:sz="0" w:space="0" w:color="auto"/>
            <w:left w:val="none" w:sz="0" w:space="0" w:color="auto"/>
            <w:bottom w:val="none" w:sz="0" w:space="0" w:color="auto"/>
            <w:right w:val="none" w:sz="0" w:space="0" w:color="auto"/>
          </w:divBdr>
        </w:div>
        <w:div w:id="341666237">
          <w:marLeft w:val="0"/>
          <w:marRight w:val="0"/>
          <w:marTop w:val="0"/>
          <w:marBottom w:val="0"/>
          <w:divBdr>
            <w:top w:val="none" w:sz="0" w:space="0" w:color="auto"/>
            <w:left w:val="none" w:sz="0" w:space="0" w:color="auto"/>
            <w:bottom w:val="none" w:sz="0" w:space="0" w:color="auto"/>
            <w:right w:val="none" w:sz="0" w:space="0" w:color="auto"/>
          </w:divBdr>
        </w:div>
        <w:div w:id="375475747">
          <w:marLeft w:val="0"/>
          <w:marRight w:val="0"/>
          <w:marTop w:val="0"/>
          <w:marBottom w:val="0"/>
          <w:divBdr>
            <w:top w:val="none" w:sz="0" w:space="0" w:color="auto"/>
            <w:left w:val="none" w:sz="0" w:space="0" w:color="auto"/>
            <w:bottom w:val="none" w:sz="0" w:space="0" w:color="auto"/>
            <w:right w:val="none" w:sz="0" w:space="0" w:color="auto"/>
          </w:divBdr>
        </w:div>
        <w:div w:id="595754218">
          <w:marLeft w:val="0"/>
          <w:marRight w:val="0"/>
          <w:marTop w:val="0"/>
          <w:marBottom w:val="0"/>
          <w:divBdr>
            <w:top w:val="none" w:sz="0" w:space="0" w:color="auto"/>
            <w:left w:val="none" w:sz="0" w:space="0" w:color="auto"/>
            <w:bottom w:val="none" w:sz="0" w:space="0" w:color="auto"/>
            <w:right w:val="none" w:sz="0" w:space="0" w:color="auto"/>
          </w:divBdr>
        </w:div>
        <w:div w:id="1032460215">
          <w:marLeft w:val="0"/>
          <w:marRight w:val="0"/>
          <w:marTop w:val="0"/>
          <w:marBottom w:val="0"/>
          <w:divBdr>
            <w:top w:val="none" w:sz="0" w:space="0" w:color="auto"/>
            <w:left w:val="none" w:sz="0" w:space="0" w:color="auto"/>
            <w:bottom w:val="none" w:sz="0" w:space="0" w:color="auto"/>
            <w:right w:val="none" w:sz="0" w:space="0" w:color="auto"/>
          </w:divBdr>
        </w:div>
        <w:div w:id="1397699332">
          <w:marLeft w:val="0"/>
          <w:marRight w:val="0"/>
          <w:marTop w:val="0"/>
          <w:marBottom w:val="0"/>
          <w:divBdr>
            <w:top w:val="none" w:sz="0" w:space="0" w:color="auto"/>
            <w:left w:val="none" w:sz="0" w:space="0" w:color="auto"/>
            <w:bottom w:val="none" w:sz="0" w:space="0" w:color="auto"/>
            <w:right w:val="none" w:sz="0" w:space="0" w:color="auto"/>
          </w:divBdr>
        </w:div>
      </w:divsChild>
    </w:div>
    <w:div w:id="43451818">
      <w:marLeft w:val="0"/>
      <w:marRight w:val="0"/>
      <w:marTop w:val="180"/>
      <w:marBottom w:val="180"/>
      <w:divBdr>
        <w:top w:val="none" w:sz="0" w:space="0" w:color="auto"/>
        <w:left w:val="none" w:sz="0" w:space="0" w:color="auto"/>
        <w:bottom w:val="none" w:sz="0" w:space="0" w:color="auto"/>
        <w:right w:val="none" w:sz="0" w:space="0" w:color="auto"/>
      </w:divBdr>
    </w:div>
    <w:div w:id="43869689">
      <w:marLeft w:val="0"/>
      <w:marRight w:val="0"/>
      <w:marTop w:val="0"/>
      <w:marBottom w:val="0"/>
      <w:divBdr>
        <w:top w:val="none" w:sz="0" w:space="0" w:color="auto"/>
        <w:left w:val="none" w:sz="0" w:space="0" w:color="auto"/>
        <w:bottom w:val="none" w:sz="0" w:space="0" w:color="auto"/>
        <w:right w:val="none" w:sz="0" w:space="0" w:color="auto"/>
      </w:divBdr>
    </w:div>
    <w:div w:id="44527517">
      <w:marLeft w:val="0"/>
      <w:marRight w:val="0"/>
      <w:marTop w:val="0"/>
      <w:marBottom w:val="180"/>
      <w:divBdr>
        <w:top w:val="none" w:sz="0" w:space="0" w:color="auto"/>
        <w:left w:val="none" w:sz="0" w:space="0" w:color="auto"/>
        <w:bottom w:val="none" w:sz="0" w:space="0" w:color="auto"/>
        <w:right w:val="none" w:sz="0" w:space="0" w:color="auto"/>
      </w:divBdr>
    </w:div>
    <w:div w:id="44763357">
      <w:marLeft w:val="0"/>
      <w:marRight w:val="0"/>
      <w:marTop w:val="0"/>
      <w:marBottom w:val="180"/>
      <w:divBdr>
        <w:top w:val="none" w:sz="0" w:space="0" w:color="auto"/>
        <w:left w:val="none" w:sz="0" w:space="0" w:color="auto"/>
        <w:bottom w:val="none" w:sz="0" w:space="0" w:color="auto"/>
        <w:right w:val="none" w:sz="0" w:space="0" w:color="auto"/>
      </w:divBdr>
    </w:div>
    <w:div w:id="45104577">
      <w:marLeft w:val="0"/>
      <w:marRight w:val="0"/>
      <w:marTop w:val="0"/>
      <w:marBottom w:val="240"/>
      <w:divBdr>
        <w:top w:val="none" w:sz="0" w:space="0" w:color="auto"/>
        <w:left w:val="none" w:sz="0" w:space="0" w:color="auto"/>
        <w:bottom w:val="none" w:sz="0" w:space="0" w:color="auto"/>
        <w:right w:val="none" w:sz="0" w:space="0" w:color="auto"/>
      </w:divBdr>
    </w:div>
    <w:div w:id="47073894">
      <w:marLeft w:val="0"/>
      <w:marRight w:val="0"/>
      <w:marTop w:val="0"/>
      <w:marBottom w:val="180"/>
      <w:divBdr>
        <w:top w:val="none" w:sz="0" w:space="0" w:color="auto"/>
        <w:left w:val="none" w:sz="0" w:space="0" w:color="auto"/>
        <w:bottom w:val="none" w:sz="0" w:space="0" w:color="auto"/>
        <w:right w:val="none" w:sz="0" w:space="0" w:color="auto"/>
      </w:divBdr>
    </w:div>
    <w:div w:id="47344640">
      <w:marLeft w:val="0"/>
      <w:marRight w:val="0"/>
      <w:marTop w:val="0"/>
      <w:marBottom w:val="180"/>
      <w:divBdr>
        <w:top w:val="none" w:sz="0" w:space="0" w:color="auto"/>
        <w:left w:val="none" w:sz="0" w:space="0" w:color="auto"/>
        <w:bottom w:val="none" w:sz="0" w:space="0" w:color="auto"/>
        <w:right w:val="none" w:sz="0" w:space="0" w:color="auto"/>
      </w:divBdr>
    </w:div>
    <w:div w:id="48650224">
      <w:marLeft w:val="0"/>
      <w:marRight w:val="0"/>
      <w:marTop w:val="0"/>
      <w:marBottom w:val="180"/>
      <w:divBdr>
        <w:top w:val="none" w:sz="0" w:space="0" w:color="auto"/>
        <w:left w:val="none" w:sz="0" w:space="0" w:color="auto"/>
        <w:bottom w:val="none" w:sz="0" w:space="0" w:color="auto"/>
        <w:right w:val="none" w:sz="0" w:space="0" w:color="auto"/>
      </w:divBdr>
    </w:div>
    <w:div w:id="49112013">
      <w:marLeft w:val="0"/>
      <w:marRight w:val="0"/>
      <w:marTop w:val="0"/>
      <w:marBottom w:val="0"/>
      <w:divBdr>
        <w:top w:val="none" w:sz="0" w:space="0" w:color="auto"/>
        <w:left w:val="none" w:sz="0" w:space="0" w:color="auto"/>
        <w:bottom w:val="none" w:sz="0" w:space="0" w:color="auto"/>
        <w:right w:val="none" w:sz="0" w:space="0" w:color="auto"/>
      </w:divBdr>
    </w:div>
    <w:div w:id="49157464">
      <w:marLeft w:val="0"/>
      <w:marRight w:val="0"/>
      <w:marTop w:val="0"/>
      <w:marBottom w:val="240"/>
      <w:divBdr>
        <w:top w:val="none" w:sz="0" w:space="0" w:color="auto"/>
        <w:left w:val="none" w:sz="0" w:space="0" w:color="auto"/>
        <w:bottom w:val="none" w:sz="0" w:space="0" w:color="auto"/>
        <w:right w:val="none" w:sz="0" w:space="0" w:color="auto"/>
      </w:divBdr>
    </w:div>
    <w:div w:id="49619776">
      <w:marLeft w:val="0"/>
      <w:marRight w:val="0"/>
      <w:marTop w:val="180"/>
      <w:marBottom w:val="180"/>
      <w:divBdr>
        <w:top w:val="none" w:sz="0" w:space="0" w:color="auto"/>
        <w:left w:val="none" w:sz="0" w:space="0" w:color="auto"/>
        <w:bottom w:val="none" w:sz="0" w:space="0" w:color="auto"/>
        <w:right w:val="none" w:sz="0" w:space="0" w:color="auto"/>
      </w:divBdr>
    </w:div>
    <w:div w:id="50231230">
      <w:marLeft w:val="0"/>
      <w:marRight w:val="0"/>
      <w:marTop w:val="0"/>
      <w:marBottom w:val="180"/>
      <w:divBdr>
        <w:top w:val="none" w:sz="0" w:space="0" w:color="auto"/>
        <w:left w:val="none" w:sz="0" w:space="0" w:color="auto"/>
        <w:bottom w:val="none" w:sz="0" w:space="0" w:color="auto"/>
        <w:right w:val="none" w:sz="0" w:space="0" w:color="auto"/>
      </w:divBdr>
    </w:div>
    <w:div w:id="50271828">
      <w:marLeft w:val="0"/>
      <w:marRight w:val="0"/>
      <w:marTop w:val="0"/>
      <w:marBottom w:val="0"/>
      <w:divBdr>
        <w:top w:val="none" w:sz="0" w:space="0" w:color="auto"/>
        <w:left w:val="none" w:sz="0" w:space="0" w:color="auto"/>
        <w:bottom w:val="none" w:sz="0" w:space="0" w:color="auto"/>
        <w:right w:val="none" w:sz="0" w:space="0" w:color="auto"/>
      </w:divBdr>
    </w:div>
    <w:div w:id="50665518">
      <w:marLeft w:val="0"/>
      <w:marRight w:val="0"/>
      <w:marTop w:val="0"/>
      <w:marBottom w:val="0"/>
      <w:divBdr>
        <w:top w:val="none" w:sz="0" w:space="0" w:color="auto"/>
        <w:left w:val="none" w:sz="0" w:space="0" w:color="auto"/>
        <w:bottom w:val="none" w:sz="0" w:space="0" w:color="auto"/>
        <w:right w:val="none" w:sz="0" w:space="0" w:color="auto"/>
      </w:divBdr>
      <w:divsChild>
        <w:div w:id="1843155463">
          <w:marLeft w:val="0"/>
          <w:marRight w:val="0"/>
          <w:marTop w:val="0"/>
          <w:marBottom w:val="0"/>
          <w:divBdr>
            <w:top w:val="none" w:sz="0" w:space="0" w:color="auto"/>
            <w:left w:val="none" w:sz="0" w:space="0" w:color="auto"/>
            <w:bottom w:val="none" w:sz="0" w:space="0" w:color="auto"/>
            <w:right w:val="none" w:sz="0" w:space="0" w:color="auto"/>
          </w:divBdr>
          <w:divsChild>
            <w:div w:id="322200457">
              <w:marLeft w:val="0"/>
              <w:marRight w:val="0"/>
              <w:marTop w:val="120"/>
              <w:marBottom w:val="60"/>
              <w:divBdr>
                <w:top w:val="none" w:sz="0" w:space="0" w:color="auto"/>
                <w:left w:val="none" w:sz="0" w:space="0" w:color="auto"/>
                <w:bottom w:val="none" w:sz="0" w:space="0" w:color="auto"/>
                <w:right w:val="none" w:sz="0" w:space="0" w:color="auto"/>
              </w:divBdr>
            </w:div>
            <w:div w:id="910193626">
              <w:marLeft w:val="0"/>
              <w:marRight w:val="0"/>
              <w:marTop w:val="0"/>
              <w:marBottom w:val="60"/>
              <w:divBdr>
                <w:top w:val="none" w:sz="0" w:space="0" w:color="auto"/>
                <w:left w:val="none" w:sz="0" w:space="0" w:color="auto"/>
                <w:bottom w:val="none" w:sz="0" w:space="0" w:color="auto"/>
                <w:right w:val="none" w:sz="0" w:space="0" w:color="auto"/>
              </w:divBdr>
            </w:div>
            <w:div w:id="604772925">
              <w:marLeft w:val="0"/>
              <w:marRight w:val="0"/>
              <w:marTop w:val="0"/>
              <w:marBottom w:val="0"/>
              <w:divBdr>
                <w:top w:val="none" w:sz="0" w:space="0" w:color="auto"/>
                <w:left w:val="none" w:sz="0" w:space="0" w:color="auto"/>
                <w:bottom w:val="none" w:sz="0" w:space="0" w:color="auto"/>
                <w:right w:val="none" w:sz="0" w:space="0" w:color="auto"/>
              </w:divBdr>
            </w:div>
            <w:div w:id="643388505">
              <w:marLeft w:val="0"/>
              <w:marRight w:val="0"/>
              <w:marTop w:val="0"/>
              <w:marBottom w:val="60"/>
              <w:divBdr>
                <w:top w:val="none" w:sz="0" w:space="0" w:color="auto"/>
                <w:left w:val="none" w:sz="0" w:space="0" w:color="auto"/>
                <w:bottom w:val="none" w:sz="0" w:space="0" w:color="auto"/>
                <w:right w:val="none" w:sz="0" w:space="0" w:color="auto"/>
              </w:divBdr>
            </w:div>
            <w:div w:id="6950607">
              <w:marLeft w:val="0"/>
              <w:marRight w:val="0"/>
              <w:marTop w:val="0"/>
              <w:marBottom w:val="60"/>
              <w:divBdr>
                <w:top w:val="none" w:sz="0" w:space="0" w:color="auto"/>
                <w:left w:val="none" w:sz="0" w:space="0" w:color="auto"/>
                <w:bottom w:val="none" w:sz="0" w:space="0" w:color="auto"/>
                <w:right w:val="none" w:sz="0" w:space="0" w:color="auto"/>
              </w:divBdr>
            </w:div>
            <w:div w:id="910775392">
              <w:marLeft w:val="0"/>
              <w:marRight w:val="0"/>
              <w:marTop w:val="0"/>
              <w:marBottom w:val="60"/>
              <w:divBdr>
                <w:top w:val="none" w:sz="0" w:space="0" w:color="auto"/>
                <w:left w:val="none" w:sz="0" w:space="0" w:color="auto"/>
                <w:bottom w:val="none" w:sz="0" w:space="0" w:color="auto"/>
                <w:right w:val="none" w:sz="0" w:space="0" w:color="auto"/>
              </w:divBdr>
            </w:div>
            <w:div w:id="240212651">
              <w:marLeft w:val="0"/>
              <w:marRight w:val="0"/>
              <w:marTop w:val="0"/>
              <w:marBottom w:val="60"/>
              <w:divBdr>
                <w:top w:val="none" w:sz="0" w:space="0" w:color="auto"/>
                <w:left w:val="none" w:sz="0" w:space="0" w:color="auto"/>
                <w:bottom w:val="none" w:sz="0" w:space="0" w:color="auto"/>
                <w:right w:val="none" w:sz="0" w:space="0" w:color="auto"/>
              </w:divBdr>
            </w:div>
            <w:div w:id="1736396308">
              <w:marLeft w:val="0"/>
              <w:marRight w:val="0"/>
              <w:marTop w:val="0"/>
              <w:marBottom w:val="60"/>
              <w:divBdr>
                <w:top w:val="none" w:sz="0" w:space="0" w:color="auto"/>
                <w:left w:val="none" w:sz="0" w:space="0" w:color="auto"/>
                <w:bottom w:val="none" w:sz="0" w:space="0" w:color="auto"/>
                <w:right w:val="none" w:sz="0" w:space="0" w:color="auto"/>
              </w:divBdr>
            </w:div>
            <w:div w:id="1713530245">
              <w:marLeft w:val="0"/>
              <w:marRight w:val="0"/>
              <w:marTop w:val="0"/>
              <w:marBottom w:val="60"/>
              <w:divBdr>
                <w:top w:val="none" w:sz="0" w:space="0" w:color="auto"/>
                <w:left w:val="none" w:sz="0" w:space="0" w:color="auto"/>
                <w:bottom w:val="none" w:sz="0" w:space="0" w:color="auto"/>
                <w:right w:val="none" w:sz="0" w:space="0" w:color="auto"/>
              </w:divBdr>
            </w:div>
            <w:div w:id="1322004205">
              <w:marLeft w:val="0"/>
              <w:marRight w:val="0"/>
              <w:marTop w:val="0"/>
              <w:marBottom w:val="60"/>
              <w:divBdr>
                <w:top w:val="none" w:sz="0" w:space="0" w:color="auto"/>
                <w:left w:val="none" w:sz="0" w:space="0" w:color="auto"/>
                <w:bottom w:val="none" w:sz="0" w:space="0" w:color="auto"/>
                <w:right w:val="none" w:sz="0" w:space="0" w:color="auto"/>
              </w:divBdr>
            </w:div>
            <w:div w:id="1630159071">
              <w:marLeft w:val="0"/>
              <w:marRight w:val="0"/>
              <w:marTop w:val="0"/>
              <w:marBottom w:val="60"/>
              <w:divBdr>
                <w:top w:val="none" w:sz="0" w:space="0" w:color="auto"/>
                <w:left w:val="none" w:sz="0" w:space="0" w:color="auto"/>
                <w:bottom w:val="none" w:sz="0" w:space="0" w:color="auto"/>
                <w:right w:val="none" w:sz="0" w:space="0" w:color="auto"/>
              </w:divBdr>
            </w:div>
            <w:div w:id="1494756407">
              <w:marLeft w:val="0"/>
              <w:marRight w:val="0"/>
              <w:marTop w:val="0"/>
              <w:marBottom w:val="60"/>
              <w:divBdr>
                <w:top w:val="none" w:sz="0" w:space="0" w:color="auto"/>
                <w:left w:val="none" w:sz="0" w:space="0" w:color="auto"/>
                <w:bottom w:val="none" w:sz="0" w:space="0" w:color="auto"/>
                <w:right w:val="none" w:sz="0" w:space="0" w:color="auto"/>
              </w:divBdr>
            </w:div>
            <w:div w:id="1487012097">
              <w:marLeft w:val="0"/>
              <w:marRight w:val="0"/>
              <w:marTop w:val="0"/>
              <w:marBottom w:val="60"/>
              <w:divBdr>
                <w:top w:val="none" w:sz="0" w:space="0" w:color="auto"/>
                <w:left w:val="none" w:sz="0" w:space="0" w:color="auto"/>
                <w:bottom w:val="none" w:sz="0" w:space="0" w:color="auto"/>
                <w:right w:val="none" w:sz="0" w:space="0" w:color="auto"/>
              </w:divBdr>
            </w:div>
            <w:div w:id="99032383">
              <w:marLeft w:val="0"/>
              <w:marRight w:val="0"/>
              <w:marTop w:val="0"/>
              <w:marBottom w:val="60"/>
              <w:divBdr>
                <w:top w:val="none" w:sz="0" w:space="0" w:color="auto"/>
                <w:left w:val="none" w:sz="0" w:space="0" w:color="auto"/>
                <w:bottom w:val="none" w:sz="0" w:space="0" w:color="auto"/>
                <w:right w:val="none" w:sz="0" w:space="0" w:color="auto"/>
              </w:divBdr>
            </w:div>
            <w:div w:id="345597193">
              <w:marLeft w:val="0"/>
              <w:marRight w:val="0"/>
              <w:marTop w:val="0"/>
              <w:marBottom w:val="60"/>
              <w:divBdr>
                <w:top w:val="none" w:sz="0" w:space="0" w:color="auto"/>
                <w:left w:val="none" w:sz="0" w:space="0" w:color="auto"/>
                <w:bottom w:val="none" w:sz="0" w:space="0" w:color="auto"/>
                <w:right w:val="none" w:sz="0" w:space="0" w:color="auto"/>
              </w:divBdr>
            </w:div>
            <w:div w:id="744693618">
              <w:marLeft w:val="0"/>
              <w:marRight w:val="0"/>
              <w:marTop w:val="0"/>
              <w:marBottom w:val="60"/>
              <w:divBdr>
                <w:top w:val="none" w:sz="0" w:space="0" w:color="auto"/>
                <w:left w:val="none" w:sz="0" w:space="0" w:color="auto"/>
                <w:bottom w:val="none" w:sz="0" w:space="0" w:color="auto"/>
                <w:right w:val="none" w:sz="0" w:space="0" w:color="auto"/>
              </w:divBdr>
            </w:div>
            <w:div w:id="1747804299">
              <w:marLeft w:val="0"/>
              <w:marRight w:val="0"/>
              <w:marTop w:val="0"/>
              <w:marBottom w:val="60"/>
              <w:divBdr>
                <w:top w:val="none" w:sz="0" w:space="0" w:color="auto"/>
                <w:left w:val="none" w:sz="0" w:space="0" w:color="auto"/>
                <w:bottom w:val="none" w:sz="0" w:space="0" w:color="auto"/>
                <w:right w:val="none" w:sz="0" w:space="0" w:color="auto"/>
              </w:divBdr>
            </w:div>
            <w:div w:id="1430008848">
              <w:marLeft w:val="0"/>
              <w:marRight w:val="0"/>
              <w:marTop w:val="0"/>
              <w:marBottom w:val="60"/>
              <w:divBdr>
                <w:top w:val="none" w:sz="0" w:space="0" w:color="auto"/>
                <w:left w:val="none" w:sz="0" w:space="0" w:color="auto"/>
                <w:bottom w:val="none" w:sz="0" w:space="0" w:color="auto"/>
                <w:right w:val="none" w:sz="0" w:space="0" w:color="auto"/>
              </w:divBdr>
            </w:div>
            <w:div w:id="1656488195">
              <w:marLeft w:val="0"/>
              <w:marRight w:val="0"/>
              <w:marTop w:val="0"/>
              <w:marBottom w:val="60"/>
              <w:divBdr>
                <w:top w:val="none" w:sz="0" w:space="0" w:color="auto"/>
                <w:left w:val="none" w:sz="0" w:space="0" w:color="auto"/>
                <w:bottom w:val="none" w:sz="0" w:space="0" w:color="auto"/>
                <w:right w:val="none" w:sz="0" w:space="0" w:color="auto"/>
              </w:divBdr>
            </w:div>
            <w:div w:id="1543781705">
              <w:marLeft w:val="0"/>
              <w:marRight w:val="0"/>
              <w:marTop w:val="0"/>
              <w:marBottom w:val="60"/>
              <w:divBdr>
                <w:top w:val="none" w:sz="0" w:space="0" w:color="auto"/>
                <w:left w:val="none" w:sz="0" w:space="0" w:color="auto"/>
                <w:bottom w:val="none" w:sz="0" w:space="0" w:color="auto"/>
                <w:right w:val="none" w:sz="0" w:space="0" w:color="auto"/>
              </w:divBdr>
            </w:div>
            <w:div w:id="799495707">
              <w:marLeft w:val="0"/>
              <w:marRight w:val="0"/>
              <w:marTop w:val="0"/>
              <w:marBottom w:val="60"/>
              <w:divBdr>
                <w:top w:val="none" w:sz="0" w:space="0" w:color="auto"/>
                <w:left w:val="none" w:sz="0" w:space="0" w:color="auto"/>
                <w:bottom w:val="none" w:sz="0" w:space="0" w:color="auto"/>
                <w:right w:val="none" w:sz="0" w:space="0" w:color="auto"/>
              </w:divBdr>
            </w:div>
            <w:div w:id="1861892793">
              <w:marLeft w:val="0"/>
              <w:marRight w:val="0"/>
              <w:marTop w:val="0"/>
              <w:marBottom w:val="60"/>
              <w:divBdr>
                <w:top w:val="none" w:sz="0" w:space="0" w:color="auto"/>
                <w:left w:val="none" w:sz="0" w:space="0" w:color="auto"/>
                <w:bottom w:val="none" w:sz="0" w:space="0" w:color="auto"/>
                <w:right w:val="none" w:sz="0" w:space="0" w:color="auto"/>
              </w:divBdr>
            </w:div>
            <w:div w:id="1633318006">
              <w:marLeft w:val="0"/>
              <w:marRight w:val="0"/>
              <w:marTop w:val="0"/>
              <w:marBottom w:val="60"/>
              <w:divBdr>
                <w:top w:val="none" w:sz="0" w:space="0" w:color="auto"/>
                <w:left w:val="none" w:sz="0" w:space="0" w:color="auto"/>
                <w:bottom w:val="none" w:sz="0" w:space="0" w:color="auto"/>
                <w:right w:val="none" w:sz="0" w:space="0" w:color="auto"/>
              </w:divBdr>
            </w:div>
            <w:div w:id="41637185">
              <w:marLeft w:val="0"/>
              <w:marRight w:val="0"/>
              <w:marTop w:val="0"/>
              <w:marBottom w:val="60"/>
              <w:divBdr>
                <w:top w:val="none" w:sz="0" w:space="0" w:color="auto"/>
                <w:left w:val="none" w:sz="0" w:space="0" w:color="auto"/>
                <w:bottom w:val="none" w:sz="0" w:space="0" w:color="auto"/>
                <w:right w:val="none" w:sz="0" w:space="0" w:color="auto"/>
              </w:divBdr>
            </w:div>
            <w:div w:id="1247694232">
              <w:marLeft w:val="0"/>
              <w:marRight w:val="0"/>
              <w:marTop w:val="0"/>
              <w:marBottom w:val="60"/>
              <w:divBdr>
                <w:top w:val="none" w:sz="0" w:space="0" w:color="auto"/>
                <w:left w:val="none" w:sz="0" w:space="0" w:color="auto"/>
                <w:bottom w:val="none" w:sz="0" w:space="0" w:color="auto"/>
                <w:right w:val="none" w:sz="0" w:space="0" w:color="auto"/>
              </w:divBdr>
            </w:div>
            <w:div w:id="1592011769">
              <w:marLeft w:val="0"/>
              <w:marRight w:val="0"/>
              <w:marTop w:val="0"/>
              <w:marBottom w:val="60"/>
              <w:divBdr>
                <w:top w:val="none" w:sz="0" w:space="0" w:color="auto"/>
                <w:left w:val="none" w:sz="0" w:space="0" w:color="auto"/>
                <w:bottom w:val="none" w:sz="0" w:space="0" w:color="auto"/>
                <w:right w:val="none" w:sz="0" w:space="0" w:color="auto"/>
              </w:divBdr>
            </w:div>
            <w:div w:id="164439918">
              <w:marLeft w:val="0"/>
              <w:marRight w:val="0"/>
              <w:marTop w:val="0"/>
              <w:marBottom w:val="60"/>
              <w:divBdr>
                <w:top w:val="none" w:sz="0" w:space="0" w:color="auto"/>
                <w:left w:val="none" w:sz="0" w:space="0" w:color="auto"/>
                <w:bottom w:val="none" w:sz="0" w:space="0" w:color="auto"/>
                <w:right w:val="none" w:sz="0" w:space="0" w:color="auto"/>
              </w:divBdr>
            </w:div>
            <w:div w:id="687488750">
              <w:marLeft w:val="0"/>
              <w:marRight w:val="0"/>
              <w:marTop w:val="0"/>
              <w:marBottom w:val="60"/>
              <w:divBdr>
                <w:top w:val="none" w:sz="0" w:space="0" w:color="auto"/>
                <w:left w:val="none" w:sz="0" w:space="0" w:color="auto"/>
                <w:bottom w:val="none" w:sz="0" w:space="0" w:color="auto"/>
                <w:right w:val="none" w:sz="0" w:space="0" w:color="auto"/>
              </w:divBdr>
            </w:div>
            <w:div w:id="1009141096">
              <w:marLeft w:val="0"/>
              <w:marRight w:val="0"/>
              <w:marTop w:val="0"/>
              <w:marBottom w:val="60"/>
              <w:divBdr>
                <w:top w:val="none" w:sz="0" w:space="0" w:color="auto"/>
                <w:left w:val="none" w:sz="0" w:space="0" w:color="auto"/>
                <w:bottom w:val="none" w:sz="0" w:space="0" w:color="auto"/>
                <w:right w:val="none" w:sz="0" w:space="0" w:color="auto"/>
              </w:divBdr>
            </w:div>
            <w:div w:id="1392771433">
              <w:marLeft w:val="0"/>
              <w:marRight w:val="0"/>
              <w:marTop w:val="0"/>
              <w:marBottom w:val="60"/>
              <w:divBdr>
                <w:top w:val="none" w:sz="0" w:space="0" w:color="auto"/>
                <w:left w:val="none" w:sz="0" w:space="0" w:color="auto"/>
                <w:bottom w:val="none" w:sz="0" w:space="0" w:color="auto"/>
                <w:right w:val="none" w:sz="0" w:space="0" w:color="auto"/>
              </w:divBdr>
            </w:div>
            <w:div w:id="556546810">
              <w:marLeft w:val="0"/>
              <w:marRight w:val="0"/>
              <w:marTop w:val="0"/>
              <w:marBottom w:val="60"/>
              <w:divBdr>
                <w:top w:val="none" w:sz="0" w:space="0" w:color="auto"/>
                <w:left w:val="none" w:sz="0" w:space="0" w:color="auto"/>
                <w:bottom w:val="none" w:sz="0" w:space="0" w:color="auto"/>
                <w:right w:val="none" w:sz="0" w:space="0" w:color="auto"/>
              </w:divBdr>
            </w:div>
            <w:div w:id="420218436">
              <w:marLeft w:val="0"/>
              <w:marRight w:val="0"/>
              <w:marTop w:val="0"/>
              <w:marBottom w:val="60"/>
              <w:divBdr>
                <w:top w:val="none" w:sz="0" w:space="0" w:color="auto"/>
                <w:left w:val="none" w:sz="0" w:space="0" w:color="auto"/>
                <w:bottom w:val="none" w:sz="0" w:space="0" w:color="auto"/>
                <w:right w:val="none" w:sz="0" w:space="0" w:color="auto"/>
              </w:divBdr>
            </w:div>
            <w:div w:id="2020161183">
              <w:marLeft w:val="0"/>
              <w:marRight w:val="0"/>
              <w:marTop w:val="0"/>
              <w:marBottom w:val="60"/>
              <w:divBdr>
                <w:top w:val="none" w:sz="0" w:space="0" w:color="auto"/>
                <w:left w:val="none" w:sz="0" w:space="0" w:color="auto"/>
                <w:bottom w:val="none" w:sz="0" w:space="0" w:color="auto"/>
                <w:right w:val="none" w:sz="0" w:space="0" w:color="auto"/>
              </w:divBdr>
            </w:div>
            <w:div w:id="306201293">
              <w:marLeft w:val="0"/>
              <w:marRight w:val="0"/>
              <w:marTop w:val="0"/>
              <w:marBottom w:val="60"/>
              <w:divBdr>
                <w:top w:val="none" w:sz="0" w:space="0" w:color="auto"/>
                <w:left w:val="none" w:sz="0" w:space="0" w:color="auto"/>
                <w:bottom w:val="none" w:sz="0" w:space="0" w:color="auto"/>
                <w:right w:val="none" w:sz="0" w:space="0" w:color="auto"/>
              </w:divBdr>
            </w:div>
            <w:div w:id="1451780970">
              <w:marLeft w:val="0"/>
              <w:marRight w:val="0"/>
              <w:marTop w:val="0"/>
              <w:marBottom w:val="60"/>
              <w:divBdr>
                <w:top w:val="none" w:sz="0" w:space="0" w:color="auto"/>
                <w:left w:val="none" w:sz="0" w:space="0" w:color="auto"/>
                <w:bottom w:val="none" w:sz="0" w:space="0" w:color="auto"/>
                <w:right w:val="none" w:sz="0" w:space="0" w:color="auto"/>
              </w:divBdr>
            </w:div>
            <w:div w:id="1884250869">
              <w:marLeft w:val="0"/>
              <w:marRight w:val="0"/>
              <w:marTop w:val="0"/>
              <w:marBottom w:val="60"/>
              <w:divBdr>
                <w:top w:val="none" w:sz="0" w:space="0" w:color="auto"/>
                <w:left w:val="none" w:sz="0" w:space="0" w:color="auto"/>
                <w:bottom w:val="none" w:sz="0" w:space="0" w:color="auto"/>
                <w:right w:val="none" w:sz="0" w:space="0" w:color="auto"/>
              </w:divBdr>
            </w:div>
          </w:divsChild>
        </w:div>
        <w:div w:id="726148509">
          <w:marLeft w:val="0"/>
          <w:marRight w:val="0"/>
          <w:marTop w:val="0"/>
          <w:marBottom w:val="0"/>
          <w:divBdr>
            <w:top w:val="none" w:sz="0" w:space="0" w:color="auto"/>
            <w:left w:val="none" w:sz="0" w:space="0" w:color="auto"/>
            <w:bottom w:val="none" w:sz="0" w:space="0" w:color="auto"/>
            <w:right w:val="none" w:sz="0" w:space="0" w:color="auto"/>
          </w:divBdr>
          <w:divsChild>
            <w:div w:id="74210012">
              <w:marLeft w:val="0"/>
              <w:marRight w:val="0"/>
              <w:marTop w:val="0"/>
              <w:marBottom w:val="60"/>
              <w:divBdr>
                <w:top w:val="none" w:sz="0" w:space="0" w:color="auto"/>
                <w:left w:val="none" w:sz="0" w:space="0" w:color="auto"/>
                <w:bottom w:val="none" w:sz="0" w:space="0" w:color="auto"/>
                <w:right w:val="none" w:sz="0" w:space="0" w:color="auto"/>
              </w:divBdr>
            </w:div>
            <w:div w:id="1498110488">
              <w:marLeft w:val="0"/>
              <w:marRight w:val="0"/>
              <w:marTop w:val="0"/>
              <w:marBottom w:val="60"/>
              <w:divBdr>
                <w:top w:val="none" w:sz="0" w:space="0" w:color="auto"/>
                <w:left w:val="none" w:sz="0" w:space="0" w:color="auto"/>
                <w:bottom w:val="none" w:sz="0" w:space="0" w:color="auto"/>
                <w:right w:val="none" w:sz="0" w:space="0" w:color="auto"/>
              </w:divBdr>
            </w:div>
            <w:div w:id="1848788148">
              <w:marLeft w:val="0"/>
              <w:marRight w:val="0"/>
              <w:marTop w:val="0"/>
              <w:marBottom w:val="60"/>
              <w:divBdr>
                <w:top w:val="none" w:sz="0" w:space="0" w:color="auto"/>
                <w:left w:val="none" w:sz="0" w:space="0" w:color="auto"/>
                <w:bottom w:val="none" w:sz="0" w:space="0" w:color="auto"/>
                <w:right w:val="none" w:sz="0" w:space="0" w:color="auto"/>
              </w:divBdr>
            </w:div>
            <w:div w:id="1366247499">
              <w:marLeft w:val="0"/>
              <w:marRight w:val="0"/>
              <w:marTop w:val="0"/>
              <w:marBottom w:val="60"/>
              <w:divBdr>
                <w:top w:val="none" w:sz="0" w:space="0" w:color="auto"/>
                <w:left w:val="none" w:sz="0" w:space="0" w:color="auto"/>
                <w:bottom w:val="none" w:sz="0" w:space="0" w:color="auto"/>
                <w:right w:val="none" w:sz="0" w:space="0" w:color="auto"/>
              </w:divBdr>
            </w:div>
            <w:div w:id="343242791">
              <w:marLeft w:val="0"/>
              <w:marRight w:val="0"/>
              <w:marTop w:val="0"/>
              <w:marBottom w:val="60"/>
              <w:divBdr>
                <w:top w:val="none" w:sz="0" w:space="0" w:color="auto"/>
                <w:left w:val="none" w:sz="0" w:space="0" w:color="auto"/>
                <w:bottom w:val="none" w:sz="0" w:space="0" w:color="auto"/>
                <w:right w:val="none" w:sz="0" w:space="0" w:color="auto"/>
              </w:divBdr>
            </w:div>
            <w:div w:id="351877842">
              <w:marLeft w:val="0"/>
              <w:marRight w:val="0"/>
              <w:marTop w:val="0"/>
              <w:marBottom w:val="60"/>
              <w:divBdr>
                <w:top w:val="none" w:sz="0" w:space="0" w:color="auto"/>
                <w:left w:val="none" w:sz="0" w:space="0" w:color="auto"/>
                <w:bottom w:val="none" w:sz="0" w:space="0" w:color="auto"/>
                <w:right w:val="none" w:sz="0" w:space="0" w:color="auto"/>
              </w:divBdr>
            </w:div>
            <w:div w:id="815535825">
              <w:marLeft w:val="0"/>
              <w:marRight w:val="0"/>
              <w:marTop w:val="0"/>
              <w:marBottom w:val="60"/>
              <w:divBdr>
                <w:top w:val="none" w:sz="0" w:space="0" w:color="auto"/>
                <w:left w:val="none" w:sz="0" w:space="0" w:color="auto"/>
                <w:bottom w:val="none" w:sz="0" w:space="0" w:color="auto"/>
                <w:right w:val="none" w:sz="0" w:space="0" w:color="auto"/>
              </w:divBdr>
            </w:div>
            <w:div w:id="1345935296">
              <w:marLeft w:val="0"/>
              <w:marRight w:val="0"/>
              <w:marTop w:val="0"/>
              <w:marBottom w:val="60"/>
              <w:divBdr>
                <w:top w:val="none" w:sz="0" w:space="0" w:color="auto"/>
                <w:left w:val="none" w:sz="0" w:space="0" w:color="auto"/>
                <w:bottom w:val="none" w:sz="0" w:space="0" w:color="auto"/>
                <w:right w:val="none" w:sz="0" w:space="0" w:color="auto"/>
              </w:divBdr>
            </w:div>
            <w:div w:id="122890429">
              <w:marLeft w:val="0"/>
              <w:marRight w:val="0"/>
              <w:marTop w:val="0"/>
              <w:marBottom w:val="60"/>
              <w:divBdr>
                <w:top w:val="none" w:sz="0" w:space="0" w:color="auto"/>
                <w:left w:val="none" w:sz="0" w:space="0" w:color="auto"/>
                <w:bottom w:val="none" w:sz="0" w:space="0" w:color="auto"/>
                <w:right w:val="none" w:sz="0" w:space="0" w:color="auto"/>
              </w:divBdr>
            </w:div>
            <w:div w:id="1793204633">
              <w:marLeft w:val="0"/>
              <w:marRight w:val="0"/>
              <w:marTop w:val="0"/>
              <w:marBottom w:val="60"/>
              <w:divBdr>
                <w:top w:val="none" w:sz="0" w:space="0" w:color="auto"/>
                <w:left w:val="none" w:sz="0" w:space="0" w:color="auto"/>
                <w:bottom w:val="none" w:sz="0" w:space="0" w:color="auto"/>
                <w:right w:val="none" w:sz="0" w:space="0" w:color="auto"/>
              </w:divBdr>
            </w:div>
            <w:div w:id="2059934131">
              <w:marLeft w:val="0"/>
              <w:marRight w:val="0"/>
              <w:marTop w:val="0"/>
              <w:marBottom w:val="60"/>
              <w:divBdr>
                <w:top w:val="none" w:sz="0" w:space="0" w:color="auto"/>
                <w:left w:val="none" w:sz="0" w:space="0" w:color="auto"/>
                <w:bottom w:val="none" w:sz="0" w:space="0" w:color="auto"/>
                <w:right w:val="none" w:sz="0" w:space="0" w:color="auto"/>
              </w:divBdr>
            </w:div>
            <w:div w:id="108739354">
              <w:marLeft w:val="0"/>
              <w:marRight w:val="0"/>
              <w:marTop w:val="0"/>
              <w:marBottom w:val="60"/>
              <w:divBdr>
                <w:top w:val="none" w:sz="0" w:space="0" w:color="auto"/>
                <w:left w:val="none" w:sz="0" w:space="0" w:color="auto"/>
                <w:bottom w:val="none" w:sz="0" w:space="0" w:color="auto"/>
                <w:right w:val="none" w:sz="0" w:space="0" w:color="auto"/>
              </w:divBdr>
            </w:div>
            <w:div w:id="1625622812">
              <w:marLeft w:val="0"/>
              <w:marRight w:val="0"/>
              <w:marTop w:val="0"/>
              <w:marBottom w:val="60"/>
              <w:divBdr>
                <w:top w:val="none" w:sz="0" w:space="0" w:color="auto"/>
                <w:left w:val="none" w:sz="0" w:space="0" w:color="auto"/>
                <w:bottom w:val="none" w:sz="0" w:space="0" w:color="auto"/>
                <w:right w:val="none" w:sz="0" w:space="0" w:color="auto"/>
              </w:divBdr>
            </w:div>
            <w:div w:id="238096619">
              <w:marLeft w:val="0"/>
              <w:marRight w:val="0"/>
              <w:marTop w:val="0"/>
              <w:marBottom w:val="60"/>
              <w:divBdr>
                <w:top w:val="none" w:sz="0" w:space="0" w:color="auto"/>
                <w:left w:val="none" w:sz="0" w:space="0" w:color="auto"/>
                <w:bottom w:val="none" w:sz="0" w:space="0" w:color="auto"/>
                <w:right w:val="none" w:sz="0" w:space="0" w:color="auto"/>
              </w:divBdr>
            </w:div>
            <w:div w:id="240993705">
              <w:marLeft w:val="0"/>
              <w:marRight w:val="0"/>
              <w:marTop w:val="0"/>
              <w:marBottom w:val="60"/>
              <w:divBdr>
                <w:top w:val="none" w:sz="0" w:space="0" w:color="auto"/>
                <w:left w:val="none" w:sz="0" w:space="0" w:color="auto"/>
                <w:bottom w:val="none" w:sz="0" w:space="0" w:color="auto"/>
                <w:right w:val="none" w:sz="0" w:space="0" w:color="auto"/>
              </w:divBdr>
            </w:div>
            <w:div w:id="1939947121">
              <w:marLeft w:val="0"/>
              <w:marRight w:val="0"/>
              <w:marTop w:val="0"/>
              <w:marBottom w:val="60"/>
              <w:divBdr>
                <w:top w:val="none" w:sz="0" w:space="0" w:color="auto"/>
                <w:left w:val="none" w:sz="0" w:space="0" w:color="auto"/>
                <w:bottom w:val="none" w:sz="0" w:space="0" w:color="auto"/>
                <w:right w:val="none" w:sz="0" w:space="0" w:color="auto"/>
              </w:divBdr>
            </w:div>
            <w:div w:id="2130316403">
              <w:marLeft w:val="0"/>
              <w:marRight w:val="0"/>
              <w:marTop w:val="0"/>
              <w:marBottom w:val="60"/>
              <w:divBdr>
                <w:top w:val="none" w:sz="0" w:space="0" w:color="auto"/>
                <w:left w:val="none" w:sz="0" w:space="0" w:color="auto"/>
                <w:bottom w:val="none" w:sz="0" w:space="0" w:color="auto"/>
                <w:right w:val="none" w:sz="0" w:space="0" w:color="auto"/>
              </w:divBdr>
            </w:div>
            <w:div w:id="859666677">
              <w:marLeft w:val="0"/>
              <w:marRight w:val="0"/>
              <w:marTop w:val="0"/>
              <w:marBottom w:val="60"/>
              <w:divBdr>
                <w:top w:val="none" w:sz="0" w:space="0" w:color="auto"/>
                <w:left w:val="none" w:sz="0" w:space="0" w:color="auto"/>
                <w:bottom w:val="none" w:sz="0" w:space="0" w:color="auto"/>
                <w:right w:val="none" w:sz="0" w:space="0" w:color="auto"/>
              </w:divBdr>
            </w:div>
            <w:div w:id="18088629">
              <w:marLeft w:val="0"/>
              <w:marRight w:val="0"/>
              <w:marTop w:val="0"/>
              <w:marBottom w:val="60"/>
              <w:divBdr>
                <w:top w:val="none" w:sz="0" w:space="0" w:color="auto"/>
                <w:left w:val="none" w:sz="0" w:space="0" w:color="auto"/>
                <w:bottom w:val="none" w:sz="0" w:space="0" w:color="auto"/>
                <w:right w:val="none" w:sz="0" w:space="0" w:color="auto"/>
              </w:divBdr>
            </w:div>
            <w:div w:id="1531188392">
              <w:marLeft w:val="0"/>
              <w:marRight w:val="0"/>
              <w:marTop w:val="0"/>
              <w:marBottom w:val="60"/>
              <w:divBdr>
                <w:top w:val="none" w:sz="0" w:space="0" w:color="auto"/>
                <w:left w:val="none" w:sz="0" w:space="0" w:color="auto"/>
                <w:bottom w:val="none" w:sz="0" w:space="0" w:color="auto"/>
                <w:right w:val="none" w:sz="0" w:space="0" w:color="auto"/>
              </w:divBdr>
            </w:div>
            <w:div w:id="19308366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51006890">
      <w:marLeft w:val="0"/>
      <w:marRight w:val="0"/>
      <w:marTop w:val="0"/>
      <w:marBottom w:val="0"/>
      <w:divBdr>
        <w:top w:val="none" w:sz="0" w:space="0" w:color="auto"/>
        <w:left w:val="none" w:sz="0" w:space="0" w:color="auto"/>
        <w:bottom w:val="none" w:sz="0" w:space="0" w:color="auto"/>
        <w:right w:val="none" w:sz="0" w:space="0" w:color="auto"/>
      </w:divBdr>
      <w:divsChild>
        <w:div w:id="658391665">
          <w:marLeft w:val="0"/>
          <w:marRight w:val="0"/>
          <w:marTop w:val="0"/>
          <w:marBottom w:val="0"/>
          <w:divBdr>
            <w:top w:val="none" w:sz="0" w:space="0" w:color="auto"/>
            <w:left w:val="none" w:sz="0" w:space="0" w:color="auto"/>
            <w:bottom w:val="none" w:sz="0" w:space="0" w:color="auto"/>
            <w:right w:val="none" w:sz="0" w:space="0" w:color="auto"/>
          </w:divBdr>
        </w:div>
      </w:divsChild>
    </w:div>
    <w:div w:id="51735476">
      <w:marLeft w:val="0"/>
      <w:marRight w:val="0"/>
      <w:marTop w:val="100"/>
      <w:marBottom w:val="240"/>
      <w:divBdr>
        <w:top w:val="none" w:sz="0" w:space="0" w:color="auto"/>
        <w:left w:val="none" w:sz="0" w:space="0" w:color="auto"/>
        <w:bottom w:val="none" w:sz="0" w:space="0" w:color="auto"/>
        <w:right w:val="none" w:sz="0" w:space="0" w:color="auto"/>
      </w:divBdr>
    </w:div>
    <w:div w:id="55012319">
      <w:marLeft w:val="0"/>
      <w:marRight w:val="0"/>
      <w:marTop w:val="0"/>
      <w:marBottom w:val="0"/>
      <w:divBdr>
        <w:top w:val="none" w:sz="0" w:space="0" w:color="auto"/>
        <w:left w:val="none" w:sz="0" w:space="0" w:color="auto"/>
        <w:bottom w:val="none" w:sz="0" w:space="0" w:color="auto"/>
        <w:right w:val="none" w:sz="0" w:space="0" w:color="auto"/>
      </w:divBdr>
    </w:div>
    <w:div w:id="56245870">
      <w:marLeft w:val="0"/>
      <w:marRight w:val="0"/>
      <w:marTop w:val="180"/>
      <w:marBottom w:val="180"/>
      <w:divBdr>
        <w:top w:val="none" w:sz="0" w:space="0" w:color="auto"/>
        <w:left w:val="none" w:sz="0" w:space="0" w:color="auto"/>
        <w:bottom w:val="none" w:sz="0" w:space="0" w:color="auto"/>
        <w:right w:val="none" w:sz="0" w:space="0" w:color="auto"/>
      </w:divBdr>
    </w:div>
    <w:div w:id="56250118">
      <w:marLeft w:val="0"/>
      <w:marRight w:val="0"/>
      <w:marTop w:val="0"/>
      <w:marBottom w:val="180"/>
      <w:divBdr>
        <w:top w:val="none" w:sz="0" w:space="0" w:color="auto"/>
        <w:left w:val="none" w:sz="0" w:space="0" w:color="auto"/>
        <w:bottom w:val="none" w:sz="0" w:space="0" w:color="auto"/>
        <w:right w:val="none" w:sz="0" w:space="0" w:color="auto"/>
      </w:divBdr>
    </w:div>
    <w:div w:id="56365462">
      <w:marLeft w:val="0"/>
      <w:marRight w:val="0"/>
      <w:marTop w:val="120"/>
      <w:marBottom w:val="120"/>
      <w:divBdr>
        <w:top w:val="none" w:sz="0" w:space="0" w:color="auto"/>
        <w:left w:val="none" w:sz="0" w:space="0" w:color="auto"/>
        <w:bottom w:val="none" w:sz="0" w:space="0" w:color="auto"/>
        <w:right w:val="none" w:sz="0" w:space="0" w:color="auto"/>
      </w:divBdr>
    </w:div>
    <w:div w:id="56440247">
      <w:marLeft w:val="0"/>
      <w:marRight w:val="0"/>
      <w:marTop w:val="0"/>
      <w:marBottom w:val="180"/>
      <w:divBdr>
        <w:top w:val="none" w:sz="0" w:space="0" w:color="auto"/>
        <w:left w:val="none" w:sz="0" w:space="0" w:color="auto"/>
        <w:bottom w:val="none" w:sz="0" w:space="0" w:color="auto"/>
        <w:right w:val="none" w:sz="0" w:space="0" w:color="auto"/>
      </w:divBdr>
    </w:div>
    <w:div w:id="56826694">
      <w:marLeft w:val="0"/>
      <w:marRight w:val="0"/>
      <w:marTop w:val="0"/>
      <w:marBottom w:val="240"/>
      <w:divBdr>
        <w:top w:val="none" w:sz="0" w:space="0" w:color="auto"/>
        <w:left w:val="none" w:sz="0" w:space="0" w:color="auto"/>
        <w:bottom w:val="none" w:sz="0" w:space="0" w:color="auto"/>
        <w:right w:val="none" w:sz="0" w:space="0" w:color="auto"/>
      </w:divBdr>
    </w:div>
    <w:div w:id="58286405">
      <w:marLeft w:val="0"/>
      <w:marRight w:val="0"/>
      <w:marTop w:val="0"/>
      <w:marBottom w:val="0"/>
      <w:divBdr>
        <w:top w:val="none" w:sz="0" w:space="0" w:color="auto"/>
        <w:left w:val="none" w:sz="0" w:space="0" w:color="auto"/>
        <w:bottom w:val="none" w:sz="0" w:space="0" w:color="auto"/>
        <w:right w:val="none" w:sz="0" w:space="0" w:color="auto"/>
      </w:divBdr>
    </w:div>
    <w:div w:id="58406919">
      <w:marLeft w:val="0"/>
      <w:marRight w:val="0"/>
      <w:marTop w:val="0"/>
      <w:marBottom w:val="240"/>
      <w:divBdr>
        <w:top w:val="none" w:sz="0" w:space="0" w:color="auto"/>
        <w:left w:val="none" w:sz="0" w:space="0" w:color="auto"/>
        <w:bottom w:val="none" w:sz="0" w:space="0" w:color="auto"/>
        <w:right w:val="none" w:sz="0" w:space="0" w:color="auto"/>
      </w:divBdr>
    </w:div>
    <w:div w:id="59865942">
      <w:marLeft w:val="0"/>
      <w:marRight w:val="0"/>
      <w:marTop w:val="0"/>
      <w:marBottom w:val="180"/>
      <w:divBdr>
        <w:top w:val="none" w:sz="0" w:space="0" w:color="auto"/>
        <w:left w:val="none" w:sz="0" w:space="0" w:color="auto"/>
        <w:bottom w:val="none" w:sz="0" w:space="0" w:color="auto"/>
        <w:right w:val="none" w:sz="0" w:space="0" w:color="auto"/>
      </w:divBdr>
    </w:div>
    <w:div w:id="60251565">
      <w:marLeft w:val="0"/>
      <w:marRight w:val="0"/>
      <w:marTop w:val="0"/>
      <w:marBottom w:val="0"/>
      <w:divBdr>
        <w:top w:val="none" w:sz="0" w:space="0" w:color="auto"/>
        <w:left w:val="none" w:sz="0" w:space="0" w:color="auto"/>
        <w:bottom w:val="none" w:sz="0" w:space="0" w:color="auto"/>
        <w:right w:val="none" w:sz="0" w:space="0" w:color="auto"/>
      </w:divBdr>
      <w:divsChild>
        <w:div w:id="25643020">
          <w:marLeft w:val="0"/>
          <w:marRight w:val="0"/>
          <w:marTop w:val="0"/>
          <w:marBottom w:val="0"/>
          <w:divBdr>
            <w:top w:val="none" w:sz="0" w:space="0" w:color="auto"/>
            <w:left w:val="none" w:sz="0" w:space="0" w:color="auto"/>
            <w:bottom w:val="none" w:sz="0" w:space="0" w:color="auto"/>
            <w:right w:val="none" w:sz="0" w:space="0" w:color="auto"/>
          </w:divBdr>
        </w:div>
      </w:divsChild>
    </w:div>
    <w:div w:id="60298166">
      <w:marLeft w:val="0"/>
      <w:marRight w:val="0"/>
      <w:marTop w:val="0"/>
      <w:marBottom w:val="240"/>
      <w:divBdr>
        <w:top w:val="none" w:sz="0" w:space="0" w:color="auto"/>
        <w:left w:val="none" w:sz="0" w:space="0" w:color="auto"/>
        <w:bottom w:val="none" w:sz="0" w:space="0" w:color="auto"/>
        <w:right w:val="none" w:sz="0" w:space="0" w:color="auto"/>
      </w:divBdr>
    </w:div>
    <w:div w:id="60715662">
      <w:marLeft w:val="0"/>
      <w:marRight w:val="0"/>
      <w:marTop w:val="120"/>
      <w:marBottom w:val="120"/>
      <w:divBdr>
        <w:top w:val="none" w:sz="0" w:space="0" w:color="auto"/>
        <w:left w:val="none" w:sz="0" w:space="0" w:color="auto"/>
        <w:bottom w:val="none" w:sz="0" w:space="0" w:color="auto"/>
        <w:right w:val="none" w:sz="0" w:space="0" w:color="auto"/>
      </w:divBdr>
    </w:div>
    <w:div w:id="60718803">
      <w:marLeft w:val="0"/>
      <w:marRight w:val="0"/>
      <w:marTop w:val="0"/>
      <w:marBottom w:val="0"/>
      <w:divBdr>
        <w:top w:val="none" w:sz="0" w:space="0" w:color="auto"/>
        <w:left w:val="none" w:sz="0" w:space="0" w:color="auto"/>
        <w:bottom w:val="none" w:sz="0" w:space="0" w:color="auto"/>
        <w:right w:val="none" w:sz="0" w:space="0" w:color="auto"/>
      </w:divBdr>
    </w:div>
    <w:div w:id="61028020">
      <w:marLeft w:val="0"/>
      <w:marRight w:val="0"/>
      <w:marTop w:val="0"/>
      <w:marBottom w:val="0"/>
      <w:divBdr>
        <w:top w:val="none" w:sz="0" w:space="0" w:color="auto"/>
        <w:left w:val="none" w:sz="0" w:space="0" w:color="auto"/>
        <w:bottom w:val="none" w:sz="0" w:space="0" w:color="auto"/>
        <w:right w:val="none" w:sz="0" w:space="0" w:color="auto"/>
      </w:divBdr>
      <w:divsChild>
        <w:div w:id="2138913930">
          <w:marLeft w:val="0"/>
          <w:marRight w:val="0"/>
          <w:marTop w:val="0"/>
          <w:marBottom w:val="0"/>
          <w:divBdr>
            <w:top w:val="none" w:sz="0" w:space="0" w:color="auto"/>
            <w:left w:val="none" w:sz="0" w:space="0" w:color="auto"/>
            <w:bottom w:val="none" w:sz="0" w:space="0" w:color="auto"/>
            <w:right w:val="none" w:sz="0" w:space="0" w:color="auto"/>
          </w:divBdr>
        </w:div>
      </w:divsChild>
    </w:div>
    <w:div w:id="62340575">
      <w:marLeft w:val="0"/>
      <w:marRight w:val="0"/>
      <w:marTop w:val="100"/>
      <w:marBottom w:val="0"/>
      <w:divBdr>
        <w:top w:val="none" w:sz="0" w:space="0" w:color="auto"/>
        <w:left w:val="none" w:sz="0" w:space="0" w:color="auto"/>
        <w:bottom w:val="none" w:sz="0" w:space="0" w:color="auto"/>
        <w:right w:val="none" w:sz="0" w:space="0" w:color="auto"/>
      </w:divBdr>
    </w:div>
    <w:div w:id="63070725">
      <w:marLeft w:val="0"/>
      <w:marRight w:val="0"/>
      <w:marTop w:val="100"/>
      <w:marBottom w:val="0"/>
      <w:divBdr>
        <w:top w:val="none" w:sz="0" w:space="0" w:color="auto"/>
        <w:left w:val="none" w:sz="0" w:space="0" w:color="auto"/>
        <w:bottom w:val="none" w:sz="0" w:space="0" w:color="auto"/>
        <w:right w:val="none" w:sz="0" w:space="0" w:color="auto"/>
      </w:divBdr>
    </w:div>
    <w:div w:id="63916110">
      <w:marLeft w:val="0"/>
      <w:marRight w:val="0"/>
      <w:marTop w:val="0"/>
      <w:marBottom w:val="240"/>
      <w:divBdr>
        <w:top w:val="none" w:sz="0" w:space="0" w:color="auto"/>
        <w:left w:val="none" w:sz="0" w:space="0" w:color="auto"/>
        <w:bottom w:val="none" w:sz="0" w:space="0" w:color="auto"/>
        <w:right w:val="none" w:sz="0" w:space="0" w:color="auto"/>
      </w:divBdr>
    </w:div>
    <w:div w:id="64451355">
      <w:marLeft w:val="0"/>
      <w:marRight w:val="0"/>
      <w:marTop w:val="0"/>
      <w:marBottom w:val="180"/>
      <w:divBdr>
        <w:top w:val="none" w:sz="0" w:space="0" w:color="auto"/>
        <w:left w:val="none" w:sz="0" w:space="0" w:color="auto"/>
        <w:bottom w:val="none" w:sz="0" w:space="0" w:color="auto"/>
        <w:right w:val="none" w:sz="0" w:space="0" w:color="auto"/>
      </w:divBdr>
    </w:div>
    <w:div w:id="65807604">
      <w:marLeft w:val="0"/>
      <w:marRight w:val="0"/>
      <w:marTop w:val="0"/>
      <w:marBottom w:val="0"/>
      <w:divBdr>
        <w:top w:val="none" w:sz="0" w:space="0" w:color="auto"/>
        <w:left w:val="none" w:sz="0" w:space="0" w:color="auto"/>
        <w:bottom w:val="none" w:sz="0" w:space="0" w:color="auto"/>
        <w:right w:val="none" w:sz="0" w:space="0" w:color="auto"/>
      </w:divBdr>
      <w:divsChild>
        <w:div w:id="73288249">
          <w:marLeft w:val="0"/>
          <w:marRight w:val="0"/>
          <w:marTop w:val="0"/>
          <w:marBottom w:val="0"/>
          <w:divBdr>
            <w:top w:val="none" w:sz="0" w:space="0" w:color="auto"/>
            <w:left w:val="none" w:sz="0" w:space="0" w:color="auto"/>
            <w:bottom w:val="none" w:sz="0" w:space="0" w:color="auto"/>
            <w:right w:val="none" w:sz="0" w:space="0" w:color="auto"/>
          </w:divBdr>
        </w:div>
      </w:divsChild>
    </w:div>
    <w:div w:id="66925195">
      <w:marLeft w:val="0"/>
      <w:marRight w:val="0"/>
      <w:marTop w:val="0"/>
      <w:marBottom w:val="0"/>
      <w:divBdr>
        <w:top w:val="none" w:sz="0" w:space="0" w:color="auto"/>
        <w:left w:val="none" w:sz="0" w:space="0" w:color="auto"/>
        <w:bottom w:val="none" w:sz="0" w:space="0" w:color="auto"/>
        <w:right w:val="none" w:sz="0" w:space="0" w:color="auto"/>
      </w:divBdr>
    </w:div>
    <w:div w:id="67508985">
      <w:marLeft w:val="0"/>
      <w:marRight w:val="0"/>
      <w:marTop w:val="0"/>
      <w:marBottom w:val="180"/>
      <w:divBdr>
        <w:top w:val="none" w:sz="0" w:space="0" w:color="auto"/>
        <w:left w:val="none" w:sz="0" w:space="0" w:color="auto"/>
        <w:bottom w:val="none" w:sz="0" w:space="0" w:color="auto"/>
        <w:right w:val="none" w:sz="0" w:space="0" w:color="auto"/>
      </w:divBdr>
    </w:div>
    <w:div w:id="68040786">
      <w:marLeft w:val="0"/>
      <w:marRight w:val="0"/>
      <w:marTop w:val="0"/>
      <w:marBottom w:val="240"/>
      <w:divBdr>
        <w:top w:val="none" w:sz="0" w:space="0" w:color="auto"/>
        <w:left w:val="none" w:sz="0" w:space="0" w:color="auto"/>
        <w:bottom w:val="none" w:sz="0" w:space="0" w:color="auto"/>
        <w:right w:val="none" w:sz="0" w:space="0" w:color="auto"/>
      </w:divBdr>
    </w:div>
    <w:div w:id="68114209">
      <w:marLeft w:val="0"/>
      <w:marRight w:val="0"/>
      <w:marTop w:val="0"/>
      <w:marBottom w:val="180"/>
      <w:divBdr>
        <w:top w:val="none" w:sz="0" w:space="0" w:color="auto"/>
        <w:left w:val="none" w:sz="0" w:space="0" w:color="auto"/>
        <w:bottom w:val="none" w:sz="0" w:space="0" w:color="auto"/>
        <w:right w:val="none" w:sz="0" w:space="0" w:color="auto"/>
      </w:divBdr>
    </w:div>
    <w:div w:id="68312193">
      <w:marLeft w:val="0"/>
      <w:marRight w:val="0"/>
      <w:marTop w:val="180"/>
      <w:marBottom w:val="180"/>
      <w:divBdr>
        <w:top w:val="none" w:sz="0" w:space="0" w:color="auto"/>
        <w:left w:val="none" w:sz="0" w:space="0" w:color="auto"/>
        <w:bottom w:val="none" w:sz="0" w:space="0" w:color="auto"/>
        <w:right w:val="none" w:sz="0" w:space="0" w:color="auto"/>
      </w:divBdr>
    </w:div>
    <w:div w:id="68969851">
      <w:marLeft w:val="0"/>
      <w:marRight w:val="0"/>
      <w:marTop w:val="120"/>
      <w:marBottom w:val="120"/>
      <w:divBdr>
        <w:top w:val="none" w:sz="0" w:space="0" w:color="auto"/>
        <w:left w:val="none" w:sz="0" w:space="0" w:color="auto"/>
        <w:bottom w:val="none" w:sz="0" w:space="0" w:color="auto"/>
        <w:right w:val="none" w:sz="0" w:space="0" w:color="auto"/>
      </w:divBdr>
    </w:div>
    <w:div w:id="69038512">
      <w:marLeft w:val="0"/>
      <w:marRight w:val="0"/>
      <w:marTop w:val="0"/>
      <w:marBottom w:val="240"/>
      <w:divBdr>
        <w:top w:val="none" w:sz="0" w:space="0" w:color="auto"/>
        <w:left w:val="none" w:sz="0" w:space="0" w:color="auto"/>
        <w:bottom w:val="none" w:sz="0" w:space="0" w:color="auto"/>
        <w:right w:val="none" w:sz="0" w:space="0" w:color="auto"/>
      </w:divBdr>
    </w:div>
    <w:div w:id="69081045">
      <w:marLeft w:val="0"/>
      <w:marRight w:val="0"/>
      <w:marTop w:val="120"/>
      <w:marBottom w:val="120"/>
      <w:divBdr>
        <w:top w:val="none" w:sz="0" w:space="0" w:color="auto"/>
        <w:left w:val="none" w:sz="0" w:space="0" w:color="auto"/>
        <w:bottom w:val="none" w:sz="0" w:space="0" w:color="auto"/>
        <w:right w:val="none" w:sz="0" w:space="0" w:color="auto"/>
      </w:divBdr>
    </w:div>
    <w:div w:id="71900108">
      <w:marLeft w:val="0"/>
      <w:marRight w:val="0"/>
      <w:marTop w:val="0"/>
      <w:marBottom w:val="240"/>
      <w:divBdr>
        <w:top w:val="none" w:sz="0" w:space="0" w:color="auto"/>
        <w:left w:val="none" w:sz="0" w:space="0" w:color="auto"/>
        <w:bottom w:val="none" w:sz="0" w:space="0" w:color="auto"/>
        <w:right w:val="none" w:sz="0" w:space="0" w:color="auto"/>
      </w:divBdr>
    </w:div>
    <w:div w:id="72434687">
      <w:marLeft w:val="0"/>
      <w:marRight w:val="0"/>
      <w:marTop w:val="0"/>
      <w:marBottom w:val="180"/>
      <w:divBdr>
        <w:top w:val="none" w:sz="0" w:space="0" w:color="auto"/>
        <w:left w:val="none" w:sz="0" w:space="0" w:color="auto"/>
        <w:bottom w:val="none" w:sz="0" w:space="0" w:color="auto"/>
        <w:right w:val="none" w:sz="0" w:space="0" w:color="auto"/>
      </w:divBdr>
    </w:div>
    <w:div w:id="73476342">
      <w:marLeft w:val="0"/>
      <w:marRight w:val="0"/>
      <w:marTop w:val="0"/>
      <w:marBottom w:val="240"/>
      <w:divBdr>
        <w:top w:val="none" w:sz="0" w:space="0" w:color="auto"/>
        <w:left w:val="none" w:sz="0" w:space="0" w:color="auto"/>
        <w:bottom w:val="none" w:sz="0" w:space="0" w:color="auto"/>
        <w:right w:val="none" w:sz="0" w:space="0" w:color="auto"/>
      </w:divBdr>
    </w:div>
    <w:div w:id="73934416">
      <w:marLeft w:val="0"/>
      <w:marRight w:val="0"/>
      <w:marTop w:val="0"/>
      <w:marBottom w:val="0"/>
      <w:divBdr>
        <w:top w:val="none" w:sz="0" w:space="0" w:color="auto"/>
        <w:left w:val="none" w:sz="0" w:space="0" w:color="auto"/>
        <w:bottom w:val="none" w:sz="0" w:space="0" w:color="auto"/>
        <w:right w:val="none" w:sz="0" w:space="0" w:color="auto"/>
      </w:divBdr>
    </w:div>
    <w:div w:id="74129066">
      <w:marLeft w:val="0"/>
      <w:marRight w:val="0"/>
      <w:marTop w:val="0"/>
      <w:marBottom w:val="180"/>
      <w:divBdr>
        <w:top w:val="none" w:sz="0" w:space="0" w:color="auto"/>
        <w:left w:val="none" w:sz="0" w:space="0" w:color="auto"/>
        <w:bottom w:val="none" w:sz="0" w:space="0" w:color="auto"/>
        <w:right w:val="none" w:sz="0" w:space="0" w:color="auto"/>
      </w:divBdr>
    </w:div>
    <w:div w:id="74208863">
      <w:marLeft w:val="0"/>
      <w:marRight w:val="0"/>
      <w:marTop w:val="0"/>
      <w:marBottom w:val="0"/>
      <w:divBdr>
        <w:top w:val="none" w:sz="0" w:space="0" w:color="auto"/>
        <w:left w:val="none" w:sz="0" w:space="0" w:color="auto"/>
        <w:bottom w:val="none" w:sz="0" w:space="0" w:color="auto"/>
        <w:right w:val="none" w:sz="0" w:space="0" w:color="auto"/>
      </w:divBdr>
    </w:div>
    <w:div w:id="74403309">
      <w:marLeft w:val="0"/>
      <w:marRight w:val="0"/>
      <w:marTop w:val="0"/>
      <w:marBottom w:val="0"/>
      <w:divBdr>
        <w:top w:val="none" w:sz="0" w:space="0" w:color="auto"/>
        <w:left w:val="none" w:sz="0" w:space="0" w:color="auto"/>
        <w:bottom w:val="none" w:sz="0" w:space="0" w:color="auto"/>
        <w:right w:val="none" w:sz="0" w:space="0" w:color="auto"/>
      </w:divBdr>
    </w:div>
    <w:div w:id="74592899">
      <w:marLeft w:val="0"/>
      <w:marRight w:val="0"/>
      <w:marTop w:val="0"/>
      <w:marBottom w:val="0"/>
      <w:divBdr>
        <w:top w:val="none" w:sz="0" w:space="0" w:color="auto"/>
        <w:left w:val="none" w:sz="0" w:space="0" w:color="auto"/>
        <w:bottom w:val="none" w:sz="0" w:space="0" w:color="auto"/>
        <w:right w:val="none" w:sz="0" w:space="0" w:color="auto"/>
      </w:divBdr>
    </w:div>
    <w:div w:id="74859376">
      <w:marLeft w:val="0"/>
      <w:marRight w:val="0"/>
      <w:marTop w:val="0"/>
      <w:marBottom w:val="240"/>
      <w:divBdr>
        <w:top w:val="none" w:sz="0" w:space="0" w:color="auto"/>
        <w:left w:val="none" w:sz="0" w:space="0" w:color="auto"/>
        <w:bottom w:val="none" w:sz="0" w:space="0" w:color="auto"/>
        <w:right w:val="none" w:sz="0" w:space="0" w:color="auto"/>
      </w:divBdr>
    </w:div>
    <w:div w:id="74979623">
      <w:marLeft w:val="0"/>
      <w:marRight w:val="0"/>
      <w:marTop w:val="0"/>
      <w:marBottom w:val="0"/>
      <w:divBdr>
        <w:top w:val="none" w:sz="0" w:space="0" w:color="auto"/>
        <w:left w:val="none" w:sz="0" w:space="0" w:color="auto"/>
        <w:bottom w:val="none" w:sz="0" w:space="0" w:color="auto"/>
        <w:right w:val="none" w:sz="0" w:space="0" w:color="auto"/>
      </w:divBdr>
    </w:div>
    <w:div w:id="75832468">
      <w:marLeft w:val="0"/>
      <w:marRight w:val="0"/>
      <w:marTop w:val="0"/>
      <w:marBottom w:val="240"/>
      <w:divBdr>
        <w:top w:val="none" w:sz="0" w:space="0" w:color="auto"/>
        <w:left w:val="none" w:sz="0" w:space="0" w:color="auto"/>
        <w:bottom w:val="none" w:sz="0" w:space="0" w:color="auto"/>
        <w:right w:val="none" w:sz="0" w:space="0" w:color="auto"/>
      </w:divBdr>
    </w:div>
    <w:div w:id="75905603">
      <w:marLeft w:val="0"/>
      <w:marRight w:val="0"/>
      <w:marTop w:val="120"/>
      <w:marBottom w:val="120"/>
      <w:divBdr>
        <w:top w:val="none" w:sz="0" w:space="0" w:color="auto"/>
        <w:left w:val="none" w:sz="0" w:space="0" w:color="auto"/>
        <w:bottom w:val="none" w:sz="0" w:space="0" w:color="auto"/>
        <w:right w:val="none" w:sz="0" w:space="0" w:color="auto"/>
      </w:divBdr>
    </w:div>
    <w:div w:id="77144241">
      <w:marLeft w:val="0"/>
      <w:marRight w:val="0"/>
      <w:marTop w:val="180"/>
      <w:marBottom w:val="180"/>
      <w:divBdr>
        <w:top w:val="none" w:sz="0" w:space="0" w:color="auto"/>
        <w:left w:val="none" w:sz="0" w:space="0" w:color="auto"/>
        <w:bottom w:val="none" w:sz="0" w:space="0" w:color="auto"/>
        <w:right w:val="none" w:sz="0" w:space="0" w:color="auto"/>
      </w:divBdr>
    </w:div>
    <w:div w:id="77364642">
      <w:marLeft w:val="0"/>
      <w:marRight w:val="0"/>
      <w:marTop w:val="0"/>
      <w:marBottom w:val="240"/>
      <w:divBdr>
        <w:top w:val="none" w:sz="0" w:space="0" w:color="auto"/>
        <w:left w:val="none" w:sz="0" w:space="0" w:color="auto"/>
        <w:bottom w:val="none" w:sz="0" w:space="0" w:color="auto"/>
        <w:right w:val="none" w:sz="0" w:space="0" w:color="auto"/>
      </w:divBdr>
    </w:div>
    <w:div w:id="77756127">
      <w:marLeft w:val="0"/>
      <w:marRight w:val="0"/>
      <w:marTop w:val="0"/>
      <w:marBottom w:val="0"/>
      <w:divBdr>
        <w:top w:val="none" w:sz="0" w:space="0" w:color="auto"/>
        <w:left w:val="none" w:sz="0" w:space="0" w:color="auto"/>
        <w:bottom w:val="none" w:sz="0" w:space="0" w:color="auto"/>
        <w:right w:val="none" w:sz="0" w:space="0" w:color="auto"/>
      </w:divBdr>
      <w:divsChild>
        <w:div w:id="270475350">
          <w:marLeft w:val="0"/>
          <w:marRight w:val="0"/>
          <w:marTop w:val="0"/>
          <w:marBottom w:val="0"/>
          <w:divBdr>
            <w:top w:val="none" w:sz="0" w:space="0" w:color="auto"/>
            <w:left w:val="none" w:sz="0" w:space="0" w:color="auto"/>
            <w:bottom w:val="none" w:sz="0" w:space="0" w:color="auto"/>
            <w:right w:val="none" w:sz="0" w:space="0" w:color="auto"/>
          </w:divBdr>
        </w:div>
      </w:divsChild>
    </w:div>
    <w:div w:id="78523563">
      <w:marLeft w:val="0"/>
      <w:marRight w:val="0"/>
      <w:marTop w:val="0"/>
      <w:marBottom w:val="180"/>
      <w:divBdr>
        <w:top w:val="none" w:sz="0" w:space="0" w:color="auto"/>
        <w:left w:val="none" w:sz="0" w:space="0" w:color="auto"/>
        <w:bottom w:val="none" w:sz="0" w:space="0" w:color="auto"/>
        <w:right w:val="none" w:sz="0" w:space="0" w:color="auto"/>
      </w:divBdr>
    </w:div>
    <w:div w:id="78524204">
      <w:marLeft w:val="0"/>
      <w:marRight w:val="0"/>
      <w:marTop w:val="0"/>
      <w:marBottom w:val="180"/>
      <w:divBdr>
        <w:top w:val="none" w:sz="0" w:space="0" w:color="auto"/>
        <w:left w:val="none" w:sz="0" w:space="0" w:color="auto"/>
        <w:bottom w:val="none" w:sz="0" w:space="0" w:color="auto"/>
        <w:right w:val="none" w:sz="0" w:space="0" w:color="auto"/>
      </w:divBdr>
    </w:div>
    <w:div w:id="79106859">
      <w:marLeft w:val="0"/>
      <w:marRight w:val="0"/>
      <w:marTop w:val="0"/>
      <w:marBottom w:val="240"/>
      <w:divBdr>
        <w:top w:val="none" w:sz="0" w:space="0" w:color="auto"/>
        <w:left w:val="none" w:sz="0" w:space="0" w:color="auto"/>
        <w:bottom w:val="none" w:sz="0" w:space="0" w:color="auto"/>
        <w:right w:val="none" w:sz="0" w:space="0" w:color="auto"/>
      </w:divBdr>
    </w:div>
    <w:div w:id="80106734">
      <w:marLeft w:val="0"/>
      <w:marRight w:val="0"/>
      <w:marTop w:val="0"/>
      <w:marBottom w:val="0"/>
      <w:divBdr>
        <w:top w:val="none" w:sz="0" w:space="0" w:color="auto"/>
        <w:left w:val="none" w:sz="0" w:space="0" w:color="auto"/>
        <w:bottom w:val="none" w:sz="0" w:space="0" w:color="auto"/>
        <w:right w:val="none" w:sz="0" w:space="0" w:color="auto"/>
      </w:divBdr>
    </w:div>
    <w:div w:id="80572141">
      <w:marLeft w:val="0"/>
      <w:marRight w:val="0"/>
      <w:marTop w:val="0"/>
      <w:marBottom w:val="180"/>
      <w:divBdr>
        <w:top w:val="none" w:sz="0" w:space="0" w:color="auto"/>
        <w:left w:val="none" w:sz="0" w:space="0" w:color="auto"/>
        <w:bottom w:val="none" w:sz="0" w:space="0" w:color="auto"/>
        <w:right w:val="none" w:sz="0" w:space="0" w:color="auto"/>
      </w:divBdr>
    </w:div>
    <w:div w:id="80640564">
      <w:marLeft w:val="0"/>
      <w:marRight w:val="0"/>
      <w:marTop w:val="0"/>
      <w:marBottom w:val="0"/>
      <w:divBdr>
        <w:top w:val="none" w:sz="0" w:space="0" w:color="auto"/>
        <w:left w:val="none" w:sz="0" w:space="0" w:color="auto"/>
        <w:bottom w:val="none" w:sz="0" w:space="0" w:color="auto"/>
        <w:right w:val="none" w:sz="0" w:space="0" w:color="auto"/>
      </w:divBdr>
      <w:divsChild>
        <w:div w:id="1617759573">
          <w:marLeft w:val="0"/>
          <w:marRight w:val="0"/>
          <w:marTop w:val="0"/>
          <w:marBottom w:val="0"/>
          <w:divBdr>
            <w:top w:val="none" w:sz="0" w:space="0" w:color="auto"/>
            <w:left w:val="none" w:sz="0" w:space="0" w:color="auto"/>
            <w:bottom w:val="none" w:sz="0" w:space="0" w:color="auto"/>
            <w:right w:val="none" w:sz="0" w:space="0" w:color="auto"/>
          </w:divBdr>
        </w:div>
      </w:divsChild>
    </w:div>
    <w:div w:id="82799978">
      <w:marLeft w:val="0"/>
      <w:marRight w:val="0"/>
      <w:marTop w:val="0"/>
      <w:marBottom w:val="0"/>
      <w:divBdr>
        <w:top w:val="none" w:sz="0" w:space="0" w:color="auto"/>
        <w:left w:val="none" w:sz="0" w:space="0" w:color="auto"/>
        <w:bottom w:val="none" w:sz="0" w:space="0" w:color="auto"/>
        <w:right w:val="none" w:sz="0" w:space="0" w:color="auto"/>
      </w:divBdr>
    </w:div>
    <w:div w:id="84157882">
      <w:marLeft w:val="0"/>
      <w:marRight w:val="0"/>
      <w:marTop w:val="0"/>
      <w:marBottom w:val="180"/>
      <w:divBdr>
        <w:top w:val="none" w:sz="0" w:space="0" w:color="auto"/>
        <w:left w:val="none" w:sz="0" w:space="0" w:color="auto"/>
        <w:bottom w:val="none" w:sz="0" w:space="0" w:color="auto"/>
        <w:right w:val="none" w:sz="0" w:space="0" w:color="auto"/>
      </w:divBdr>
    </w:div>
    <w:div w:id="84301750">
      <w:marLeft w:val="0"/>
      <w:marRight w:val="0"/>
      <w:marTop w:val="100"/>
      <w:marBottom w:val="180"/>
      <w:divBdr>
        <w:top w:val="none" w:sz="0" w:space="0" w:color="auto"/>
        <w:left w:val="none" w:sz="0" w:space="0" w:color="auto"/>
        <w:bottom w:val="none" w:sz="0" w:space="0" w:color="auto"/>
        <w:right w:val="none" w:sz="0" w:space="0" w:color="auto"/>
      </w:divBdr>
    </w:div>
    <w:div w:id="85227466">
      <w:marLeft w:val="0"/>
      <w:marRight w:val="0"/>
      <w:marTop w:val="0"/>
      <w:marBottom w:val="0"/>
      <w:divBdr>
        <w:top w:val="none" w:sz="0" w:space="0" w:color="auto"/>
        <w:left w:val="none" w:sz="0" w:space="0" w:color="auto"/>
        <w:bottom w:val="none" w:sz="0" w:space="0" w:color="auto"/>
        <w:right w:val="none" w:sz="0" w:space="0" w:color="auto"/>
      </w:divBdr>
    </w:div>
    <w:div w:id="85619048">
      <w:marLeft w:val="0"/>
      <w:marRight w:val="0"/>
      <w:marTop w:val="0"/>
      <w:marBottom w:val="0"/>
      <w:divBdr>
        <w:top w:val="none" w:sz="0" w:space="0" w:color="auto"/>
        <w:left w:val="none" w:sz="0" w:space="0" w:color="auto"/>
        <w:bottom w:val="none" w:sz="0" w:space="0" w:color="auto"/>
        <w:right w:val="none" w:sz="0" w:space="0" w:color="auto"/>
      </w:divBdr>
      <w:divsChild>
        <w:div w:id="923224653">
          <w:marLeft w:val="0"/>
          <w:marRight w:val="0"/>
          <w:marTop w:val="0"/>
          <w:marBottom w:val="0"/>
          <w:divBdr>
            <w:top w:val="none" w:sz="0" w:space="0" w:color="auto"/>
            <w:left w:val="none" w:sz="0" w:space="0" w:color="auto"/>
            <w:bottom w:val="none" w:sz="0" w:space="0" w:color="auto"/>
            <w:right w:val="none" w:sz="0" w:space="0" w:color="auto"/>
          </w:divBdr>
        </w:div>
      </w:divsChild>
    </w:div>
    <w:div w:id="89160956">
      <w:marLeft w:val="0"/>
      <w:marRight w:val="0"/>
      <w:marTop w:val="0"/>
      <w:marBottom w:val="180"/>
      <w:divBdr>
        <w:top w:val="none" w:sz="0" w:space="0" w:color="auto"/>
        <w:left w:val="none" w:sz="0" w:space="0" w:color="auto"/>
        <w:bottom w:val="none" w:sz="0" w:space="0" w:color="auto"/>
        <w:right w:val="none" w:sz="0" w:space="0" w:color="auto"/>
      </w:divBdr>
    </w:div>
    <w:div w:id="89352448">
      <w:marLeft w:val="0"/>
      <w:marRight w:val="0"/>
      <w:marTop w:val="0"/>
      <w:marBottom w:val="240"/>
      <w:divBdr>
        <w:top w:val="none" w:sz="0" w:space="0" w:color="auto"/>
        <w:left w:val="none" w:sz="0" w:space="0" w:color="auto"/>
        <w:bottom w:val="none" w:sz="0" w:space="0" w:color="auto"/>
        <w:right w:val="none" w:sz="0" w:space="0" w:color="auto"/>
      </w:divBdr>
    </w:div>
    <w:div w:id="90859372">
      <w:marLeft w:val="0"/>
      <w:marRight w:val="0"/>
      <w:marTop w:val="0"/>
      <w:marBottom w:val="0"/>
      <w:divBdr>
        <w:top w:val="none" w:sz="0" w:space="0" w:color="auto"/>
        <w:left w:val="none" w:sz="0" w:space="0" w:color="auto"/>
        <w:bottom w:val="none" w:sz="0" w:space="0" w:color="auto"/>
        <w:right w:val="none" w:sz="0" w:space="0" w:color="auto"/>
      </w:divBdr>
      <w:divsChild>
        <w:div w:id="1479692187">
          <w:marLeft w:val="0"/>
          <w:marRight w:val="0"/>
          <w:marTop w:val="0"/>
          <w:marBottom w:val="0"/>
          <w:divBdr>
            <w:top w:val="none" w:sz="0" w:space="0" w:color="auto"/>
            <w:left w:val="none" w:sz="0" w:space="0" w:color="auto"/>
            <w:bottom w:val="none" w:sz="0" w:space="0" w:color="auto"/>
            <w:right w:val="none" w:sz="0" w:space="0" w:color="auto"/>
          </w:divBdr>
        </w:div>
      </w:divsChild>
    </w:div>
    <w:div w:id="90903121">
      <w:marLeft w:val="0"/>
      <w:marRight w:val="0"/>
      <w:marTop w:val="0"/>
      <w:marBottom w:val="180"/>
      <w:divBdr>
        <w:top w:val="none" w:sz="0" w:space="0" w:color="auto"/>
        <w:left w:val="none" w:sz="0" w:space="0" w:color="auto"/>
        <w:bottom w:val="none" w:sz="0" w:space="0" w:color="auto"/>
        <w:right w:val="none" w:sz="0" w:space="0" w:color="auto"/>
      </w:divBdr>
    </w:div>
    <w:div w:id="91437454">
      <w:marLeft w:val="0"/>
      <w:marRight w:val="0"/>
      <w:marTop w:val="180"/>
      <w:marBottom w:val="180"/>
      <w:divBdr>
        <w:top w:val="none" w:sz="0" w:space="0" w:color="auto"/>
        <w:left w:val="none" w:sz="0" w:space="0" w:color="auto"/>
        <w:bottom w:val="none" w:sz="0" w:space="0" w:color="auto"/>
        <w:right w:val="none" w:sz="0" w:space="0" w:color="auto"/>
      </w:divBdr>
    </w:div>
    <w:div w:id="91517316">
      <w:marLeft w:val="0"/>
      <w:marRight w:val="0"/>
      <w:marTop w:val="0"/>
      <w:marBottom w:val="0"/>
      <w:divBdr>
        <w:top w:val="none" w:sz="0" w:space="0" w:color="auto"/>
        <w:left w:val="none" w:sz="0" w:space="0" w:color="auto"/>
        <w:bottom w:val="none" w:sz="0" w:space="0" w:color="auto"/>
        <w:right w:val="none" w:sz="0" w:space="0" w:color="auto"/>
      </w:divBdr>
    </w:div>
    <w:div w:id="91752241">
      <w:marLeft w:val="0"/>
      <w:marRight w:val="0"/>
      <w:marTop w:val="0"/>
      <w:marBottom w:val="240"/>
      <w:divBdr>
        <w:top w:val="none" w:sz="0" w:space="0" w:color="auto"/>
        <w:left w:val="none" w:sz="0" w:space="0" w:color="auto"/>
        <w:bottom w:val="none" w:sz="0" w:space="0" w:color="auto"/>
        <w:right w:val="none" w:sz="0" w:space="0" w:color="auto"/>
      </w:divBdr>
    </w:div>
    <w:div w:id="92944355">
      <w:marLeft w:val="0"/>
      <w:marRight w:val="0"/>
      <w:marTop w:val="0"/>
      <w:marBottom w:val="0"/>
      <w:divBdr>
        <w:top w:val="none" w:sz="0" w:space="0" w:color="auto"/>
        <w:left w:val="none" w:sz="0" w:space="0" w:color="auto"/>
        <w:bottom w:val="none" w:sz="0" w:space="0" w:color="auto"/>
        <w:right w:val="none" w:sz="0" w:space="0" w:color="auto"/>
      </w:divBdr>
    </w:div>
    <w:div w:id="93139933">
      <w:marLeft w:val="0"/>
      <w:marRight w:val="0"/>
      <w:marTop w:val="100"/>
      <w:marBottom w:val="180"/>
      <w:divBdr>
        <w:top w:val="none" w:sz="0" w:space="0" w:color="auto"/>
        <w:left w:val="none" w:sz="0" w:space="0" w:color="auto"/>
        <w:bottom w:val="none" w:sz="0" w:space="0" w:color="auto"/>
        <w:right w:val="none" w:sz="0" w:space="0" w:color="auto"/>
      </w:divBdr>
    </w:div>
    <w:div w:id="93283519">
      <w:marLeft w:val="0"/>
      <w:marRight w:val="0"/>
      <w:marTop w:val="0"/>
      <w:marBottom w:val="0"/>
      <w:divBdr>
        <w:top w:val="none" w:sz="0" w:space="0" w:color="auto"/>
        <w:left w:val="none" w:sz="0" w:space="0" w:color="auto"/>
        <w:bottom w:val="none" w:sz="0" w:space="0" w:color="auto"/>
        <w:right w:val="none" w:sz="0" w:space="0" w:color="auto"/>
      </w:divBdr>
      <w:divsChild>
        <w:div w:id="147094500">
          <w:marLeft w:val="0"/>
          <w:marRight w:val="0"/>
          <w:marTop w:val="0"/>
          <w:marBottom w:val="0"/>
          <w:divBdr>
            <w:top w:val="none" w:sz="0" w:space="0" w:color="auto"/>
            <w:left w:val="none" w:sz="0" w:space="0" w:color="auto"/>
            <w:bottom w:val="none" w:sz="0" w:space="0" w:color="auto"/>
            <w:right w:val="none" w:sz="0" w:space="0" w:color="auto"/>
          </w:divBdr>
        </w:div>
      </w:divsChild>
    </w:div>
    <w:div w:id="93285572">
      <w:marLeft w:val="0"/>
      <w:marRight w:val="0"/>
      <w:marTop w:val="0"/>
      <w:marBottom w:val="0"/>
      <w:divBdr>
        <w:top w:val="none" w:sz="0" w:space="0" w:color="auto"/>
        <w:left w:val="none" w:sz="0" w:space="0" w:color="auto"/>
        <w:bottom w:val="none" w:sz="0" w:space="0" w:color="auto"/>
        <w:right w:val="none" w:sz="0" w:space="0" w:color="auto"/>
      </w:divBdr>
      <w:divsChild>
        <w:div w:id="2066174999">
          <w:marLeft w:val="0"/>
          <w:marRight w:val="0"/>
          <w:marTop w:val="0"/>
          <w:marBottom w:val="0"/>
          <w:divBdr>
            <w:top w:val="none" w:sz="0" w:space="0" w:color="auto"/>
            <w:left w:val="none" w:sz="0" w:space="0" w:color="auto"/>
            <w:bottom w:val="none" w:sz="0" w:space="0" w:color="auto"/>
            <w:right w:val="none" w:sz="0" w:space="0" w:color="auto"/>
          </w:divBdr>
        </w:div>
      </w:divsChild>
    </w:div>
    <w:div w:id="94249563">
      <w:marLeft w:val="0"/>
      <w:marRight w:val="0"/>
      <w:marTop w:val="0"/>
      <w:marBottom w:val="0"/>
      <w:divBdr>
        <w:top w:val="none" w:sz="0" w:space="0" w:color="auto"/>
        <w:left w:val="none" w:sz="0" w:space="0" w:color="auto"/>
        <w:bottom w:val="none" w:sz="0" w:space="0" w:color="auto"/>
        <w:right w:val="none" w:sz="0" w:space="0" w:color="auto"/>
      </w:divBdr>
      <w:divsChild>
        <w:div w:id="1323319194">
          <w:marLeft w:val="0"/>
          <w:marRight w:val="0"/>
          <w:marTop w:val="0"/>
          <w:marBottom w:val="0"/>
          <w:divBdr>
            <w:top w:val="none" w:sz="0" w:space="0" w:color="auto"/>
            <w:left w:val="none" w:sz="0" w:space="0" w:color="auto"/>
            <w:bottom w:val="none" w:sz="0" w:space="0" w:color="auto"/>
            <w:right w:val="none" w:sz="0" w:space="0" w:color="auto"/>
          </w:divBdr>
        </w:div>
      </w:divsChild>
    </w:div>
    <w:div w:id="94793825">
      <w:marLeft w:val="0"/>
      <w:marRight w:val="0"/>
      <w:marTop w:val="120"/>
      <w:marBottom w:val="120"/>
      <w:divBdr>
        <w:top w:val="none" w:sz="0" w:space="0" w:color="auto"/>
        <w:left w:val="none" w:sz="0" w:space="0" w:color="auto"/>
        <w:bottom w:val="none" w:sz="0" w:space="0" w:color="auto"/>
        <w:right w:val="none" w:sz="0" w:space="0" w:color="auto"/>
      </w:divBdr>
    </w:div>
    <w:div w:id="95254832">
      <w:marLeft w:val="0"/>
      <w:marRight w:val="0"/>
      <w:marTop w:val="180"/>
      <w:marBottom w:val="180"/>
      <w:divBdr>
        <w:top w:val="none" w:sz="0" w:space="0" w:color="auto"/>
        <w:left w:val="none" w:sz="0" w:space="0" w:color="auto"/>
        <w:bottom w:val="none" w:sz="0" w:space="0" w:color="auto"/>
        <w:right w:val="none" w:sz="0" w:space="0" w:color="auto"/>
      </w:divBdr>
    </w:div>
    <w:div w:id="96101524">
      <w:marLeft w:val="0"/>
      <w:marRight w:val="0"/>
      <w:marTop w:val="0"/>
      <w:marBottom w:val="0"/>
      <w:divBdr>
        <w:top w:val="none" w:sz="0" w:space="0" w:color="auto"/>
        <w:left w:val="none" w:sz="0" w:space="0" w:color="auto"/>
        <w:bottom w:val="none" w:sz="0" w:space="0" w:color="auto"/>
        <w:right w:val="none" w:sz="0" w:space="0" w:color="auto"/>
      </w:divBdr>
    </w:div>
    <w:div w:id="97263776">
      <w:marLeft w:val="0"/>
      <w:marRight w:val="0"/>
      <w:marTop w:val="0"/>
      <w:marBottom w:val="240"/>
      <w:divBdr>
        <w:top w:val="none" w:sz="0" w:space="0" w:color="auto"/>
        <w:left w:val="none" w:sz="0" w:space="0" w:color="auto"/>
        <w:bottom w:val="none" w:sz="0" w:space="0" w:color="auto"/>
        <w:right w:val="none" w:sz="0" w:space="0" w:color="auto"/>
      </w:divBdr>
    </w:div>
    <w:div w:id="98109850">
      <w:marLeft w:val="0"/>
      <w:marRight w:val="0"/>
      <w:marTop w:val="0"/>
      <w:marBottom w:val="240"/>
      <w:divBdr>
        <w:top w:val="none" w:sz="0" w:space="0" w:color="auto"/>
        <w:left w:val="none" w:sz="0" w:space="0" w:color="auto"/>
        <w:bottom w:val="none" w:sz="0" w:space="0" w:color="auto"/>
        <w:right w:val="none" w:sz="0" w:space="0" w:color="auto"/>
      </w:divBdr>
    </w:div>
    <w:div w:id="98304772">
      <w:marLeft w:val="0"/>
      <w:marRight w:val="0"/>
      <w:marTop w:val="0"/>
      <w:marBottom w:val="180"/>
      <w:divBdr>
        <w:top w:val="none" w:sz="0" w:space="0" w:color="auto"/>
        <w:left w:val="none" w:sz="0" w:space="0" w:color="auto"/>
        <w:bottom w:val="none" w:sz="0" w:space="0" w:color="auto"/>
        <w:right w:val="none" w:sz="0" w:space="0" w:color="auto"/>
      </w:divBdr>
    </w:div>
    <w:div w:id="100270912">
      <w:marLeft w:val="0"/>
      <w:marRight w:val="0"/>
      <w:marTop w:val="0"/>
      <w:marBottom w:val="180"/>
      <w:divBdr>
        <w:top w:val="none" w:sz="0" w:space="0" w:color="auto"/>
        <w:left w:val="none" w:sz="0" w:space="0" w:color="auto"/>
        <w:bottom w:val="none" w:sz="0" w:space="0" w:color="auto"/>
        <w:right w:val="none" w:sz="0" w:space="0" w:color="auto"/>
      </w:divBdr>
    </w:div>
    <w:div w:id="101733306">
      <w:marLeft w:val="0"/>
      <w:marRight w:val="0"/>
      <w:marTop w:val="0"/>
      <w:marBottom w:val="180"/>
      <w:divBdr>
        <w:top w:val="none" w:sz="0" w:space="0" w:color="auto"/>
        <w:left w:val="none" w:sz="0" w:space="0" w:color="auto"/>
        <w:bottom w:val="none" w:sz="0" w:space="0" w:color="auto"/>
        <w:right w:val="none" w:sz="0" w:space="0" w:color="auto"/>
      </w:divBdr>
    </w:div>
    <w:div w:id="105387632">
      <w:marLeft w:val="0"/>
      <w:marRight w:val="0"/>
      <w:marTop w:val="180"/>
      <w:marBottom w:val="180"/>
      <w:divBdr>
        <w:top w:val="none" w:sz="0" w:space="0" w:color="auto"/>
        <w:left w:val="none" w:sz="0" w:space="0" w:color="auto"/>
        <w:bottom w:val="none" w:sz="0" w:space="0" w:color="auto"/>
        <w:right w:val="none" w:sz="0" w:space="0" w:color="auto"/>
      </w:divBdr>
    </w:div>
    <w:div w:id="105394748">
      <w:marLeft w:val="0"/>
      <w:marRight w:val="0"/>
      <w:marTop w:val="0"/>
      <w:marBottom w:val="180"/>
      <w:divBdr>
        <w:top w:val="none" w:sz="0" w:space="0" w:color="auto"/>
        <w:left w:val="none" w:sz="0" w:space="0" w:color="auto"/>
        <w:bottom w:val="none" w:sz="0" w:space="0" w:color="auto"/>
        <w:right w:val="none" w:sz="0" w:space="0" w:color="auto"/>
      </w:divBdr>
    </w:div>
    <w:div w:id="107162824">
      <w:marLeft w:val="0"/>
      <w:marRight w:val="0"/>
      <w:marTop w:val="120"/>
      <w:marBottom w:val="120"/>
      <w:divBdr>
        <w:top w:val="none" w:sz="0" w:space="0" w:color="auto"/>
        <w:left w:val="none" w:sz="0" w:space="0" w:color="auto"/>
        <w:bottom w:val="none" w:sz="0" w:space="0" w:color="auto"/>
        <w:right w:val="none" w:sz="0" w:space="0" w:color="auto"/>
      </w:divBdr>
    </w:div>
    <w:div w:id="107815732">
      <w:marLeft w:val="0"/>
      <w:marRight w:val="0"/>
      <w:marTop w:val="0"/>
      <w:marBottom w:val="0"/>
      <w:divBdr>
        <w:top w:val="none" w:sz="0" w:space="0" w:color="auto"/>
        <w:left w:val="none" w:sz="0" w:space="0" w:color="auto"/>
        <w:bottom w:val="none" w:sz="0" w:space="0" w:color="auto"/>
        <w:right w:val="none" w:sz="0" w:space="0" w:color="auto"/>
      </w:divBdr>
      <w:divsChild>
        <w:div w:id="655305664">
          <w:marLeft w:val="0"/>
          <w:marRight w:val="0"/>
          <w:marTop w:val="0"/>
          <w:marBottom w:val="0"/>
          <w:divBdr>
            <w:top w:val="none" w:sz="0" w:space="0" w:color="auto"/>
            <w:left w:val="none" w:sz="0" w:space="0" w:color="auto"/>
            <w:bottom w:val="none" w:sz="0" w:space="0" w:color="auto"/>
            <w:right w:val="none" w:sz="0" w:space="0" w:color="auto"/>
          </w:divBdr>
        </w:div>
      </w:divsChild>
    </w:div>
    <w:div w:id="107821525">
      <w:marLeft w:val="0"/>
      <w:marRight w:val="0"/>
      <w:marTop w:val="0"/>
      <w:marBottom w:val="0"/>
      <w:divBdr>
        <w:top w:val="none" w:sz="0" w:space="0" w:color="auto"/>
        <w:left w:val="none" w:sz="0" w:space="0" w:color="auto"/>
        <w:bottom w:val="none" w:sz="0" w:space="0" w:color="auto"/>
        <w:right w:val="none" w:sz="0" w:space="0" w:color="auto"/>
      </w:divBdr>
    </w:div>
    <w:div w:id="108746877">
      <w:marLeft w:val="0"/>
      <w:marRight w:val="0"/>
      <w:marTop w:val="0"/>
      <w:marBottom w:val="240"/>
      <w:divBdr>
        <w:top w:val="none" w:sz="0" w:space="0" w:color="auto"/>
        <w:left w:val="none" w:sz="0" w:space="0" w:color="auto"/>
        <w:bottom w:val="none" w:sz="0" w:space="0" w:color="auto"/>
        <w:right w:val="none" w:sz="0" w:space="0" w:color="auto"/>
      </w:divBdr>
    </w:div>
    <w:div w:id="109249382">
      <w:marLeft w:val="0"/>
      <w:marRight w:val="0"/>
      <w:marTop w:val="0"/>
      <w:marBottom w:val="0"/>
      <w:divBdr>
        <w:top w:val="none" w:sz="0" w:space="0" w:color="auto"/>
        <w:left w:val="none" w:sz="0" w:space="0" w:color="auto"/>
        <w:bottom w:val="none" w:sz="0" w:space="0" w:color="auto"/>
        <w:right w:val="none" w:sz="0" w:space="0" w:color="auto"/>
      </w:divBdr>
    </w:div>
    <w:div w:id="110319072">
      <w:marLeft w:val="0"/>
      <w:marRight w:val="0"/>
      <w:marTop w:val="0"/>
      <w:marBottom w:val="0"/>
      <w:divBdr>
        <w:top w:val="none" w:sz="0" w:space="0" w:color="auto"/>
        <w:left w:val="none" w:sz="0" w:space="0" w:color="auto"/>
        <w:bottom w:val="none" w:sz="0" w:space="0" w:color="auto"/>
        <w:right w:val="none" w:sz="0" w:space="0" w:color="auto"/>
      </w:divBdr>
    </w:div>
    <w:div w:id="110514381">
      <w:marLeft w:val="0"/>
      <w:marRight w:val="0"/>
      <w:marTop w:val="0"/>
      <w:marBottom w:val="0"/>
      <w:divBdr>
        <w:top w:val="none" w:sz="0" w:space="0" w:color="auto"/>
        <w:left w:val="none" w:sz="0" w:space="0" w:color="auto"/>
        <w:bottom w:val="none" w:sz="0" w:space="0" w:color="auto"/>
        <w:right w:val="none" w:sz="0" w:space="0" w:color="auto"/>
      </w:divBdr>
    </w:div>
    <w:div w:id="111018173">
      <w:marLeft w:val="0"/>
      <w:marRight w:val="0"/>
      <w:marTop w:val="0"/>
      <w:marBottom w:val="0"/>
      <w:divBdr>
        <w:top w:val="none" w:sz="0" w:space="0" w:color="auto"/>
        <w:left w:val="none" w:sz="0" w:space="0" w:color="auto"/>
        <w:bottom w:val="none" w:sz="0" w:space="0" w:color="auto"/>
        <w:right w:val="none" w:sz="0" w:space="0" w:color="auto"/>
      </w:divBdr>
    </w:div>
    <w:div w:id="111899352">
      <w:marLeft w:val="0"/>
      <w:marRight w:val="0"/>
      <w:marTop w:val="0"/>
      <w:marBottom w:val="180"/>
      <w:divBdr>
        <w:top w:val="none" w:sz="0" w:space="0" w:color="auto"/>
        <w:left w:val="none" w:sz="0" w:space="0" w:color="auto"/>
        <w:bottom w:val="none" w:sz="0" w:space="0" w:color="auto"/>
        <w:right w:val="none" w:sz="0" w:space="0" w:color="auto"/>
      </w:divBdr>
    </w:div>
    <w:div w:id="113987736">
      <w:marLeft w:val="0"/>
      <w:marRight w:val="0"/>
      <w:marTop w:val="180"/>
      <w:marBottom w:val="180"/>
      <w:divBdr>
        <w:top w:val="none" w:sz="0" w:space="0" w:color="auto"/>
        <w:left w:val="none" w:sz="0" w:space="0" w:color="auto"/>
        <w:bottom w:val="none" w:sz="0" w:space="0" w:color="auto"/>
        <w:right w:val="none" w:sz="0" w:space="0" w:color="auto"/>
      </w:divBdr>
    </w:div>
    <w:div w:id="114176966">
      <w:marLeft w:val="0"/>
      <w:marRight w:val="0"/>
      <w:marTop w:val="120"/>
      <w:marBottom w:val="120"/>
      <w:divBdr>
        <w:top w:val="none" w:sz="0" w:space="0" w:color="auto"/>
        <w:left w:val="none" w:sz="0" w:space="0" w:color="auto"/>
        <w:bottom w:val="none" w:sz="0" w:space="0" w:color="auto"/>
        <w:right w:val="none" w:sz="0" w:space="0" w:color="auto"/>
      </w:divBdr>
    </w:div>
    <w:div w:id="114908675">
      <w:marLeft w:val="0"/>
      <w:marRight w:val="0"/>
      <w:marTop w:val="0"/>
      <w:marBottom w:val="240"/>
      <w:divBdr>
        <w:top w:val="none" w:sz="0" w:space="0" w:color="auto"/>
        <w:left w:val="none" w:sz="0" w:space="0" w:color="auto"/>
        <w:bottom w:val="none" w:sz="0" w:space="0" w:color="auto"/>
        <w:right w:val="none" w:sz="0" w:space="0" w:color="auto"/>
      </w:divBdr>
    </w:div>
    <w:div w:id="115218957">
      <w:marLeft w:val="0"/>
      <w:marRight w:val="0"/>
      <w:marTop w:val="180"/>
      <w:marBottom w:val="180"/>
      <w:divBdr>
        <w:top w:val="none" w:sz="0" w:space="0" w:color="auto"/>
        <w:left w:val="none" w:sz="0" w:space="0" w:color="auto"/>
        <w:bottom w:val="none" w:sz="0" w:space="0" w:color="auto"/>
        <w:right w:val="none" w:sz="0" w:space="0" w:color="auto"/>
      </w:divBdr>
    </w:div>
    <w:div w:id="115219308">
      <w:marLeft w:val="0"/>
      <w:marRight w:val="0"/>
      <w:marTop w:val="0"/>
      <w:marBottom w:val="180"/>
      <w:divBdr>
        <w:top w:val="none" w:sz="0" w:space="0" w:color="auto"/>
        <w:left w:val="none" w:sz="0" w:space="0" w:color="auto"/>
        <w:bottom w:val="none" w:sz="0" w:space="0" w:color="auto"/>
        <w:right w:val="none" w:sz="0" w:space="0" w:color="auto"/>
      </w:divBdr>
    </w:div>
    <w:div w:id="115947137">
      <w:marLeft w:val="0"/>
      <w:marRight w:val="0"/>
      <w:marTop w:val="0"/>
      <w:marBottom w:val="0"/>
      <w:divBdr>
        <w:top w:val="none" w:sz="0" w:space="0" w:color="auto"/>
        <w:left w:val="none" w:sz="0" w:space="0" w:color="auto"/>
        <w:bottom w:val="none" w:sz="0" w:space="0" w:color="auto"/>
        <w:right w:val="none" w:sz="0" w:space="0" w:color="auto"/>
      </w:divBdr>
      <w:divsChild>
        <w:div w:id="1628049546">
          <w:marLeft w:val="0"/>
          <w:marRight w:val="0"/>
          <w:marTop w:val="0"/>
          <w:marBottom w:val="0"/>
          <w:divBdr>
            <w:top w:val="none" w:sz="0" w:space="0" w:color="auto"/>
            <w:left w:val="none" w:sz="0" w:space="0" w:color="auto"/>
            <w:bottom w:val="none" w:sz="0" w:space="0" w:color="auto"/>
            <w:right w:val="none" w:sz="0" w:space="0" w:color="auto"/>
          </w:divBdr>
        </w:div>
      </w:divsChild>
    </w:div>
    <w:div w:id="115954369">
      <w:marLeft w:val="0"/>
      <w:marRight w:val="0"/>
      <w:marTop w:val="0"/>
      <w:marBottom w:val="180"/>
      <w:divBdr>
        <w:top w:val="none" w:sz="0" w:space="0" w:color="auto"/>
        <w:left w:val="none" w:sz="0" w:space="0" w:color="auto"/>
        <w:bottom w:val="none" w:sz="0" w:space="0" w:color="auto"/>
        <w:right w:val="none" w:sz="0" w:space="0" w:color="auto"/>
      </w:divBdr>
    </w:div>
    <w:div w:id="116141457">
      <w:marLeft w:val="0"/>
      <w:marRight w:val="0"/>
      <w:marTop w:val="0"/>
      <w:marBottom w:val="180"/>
      <w:divBdr>
        <w:top w:val="none" w:sz="0" w:space="0" w:color="auto"/>
        <w:left w:val="none" w:sz="0" w:space="0" w:color="auto"/>
        <w:bottom w:val="none" w:sz="0" w:space="0" w:color="auto"/>
        <w:right w:val="none" w:sz="0" w:space="0" w:color="auto"/>
      </w:divBdr>
    </w:div>
    <w:div w:id="116486785">
      <w:marLeft w:val="0"/>
      <w:marRight w:val="0"/>
      <w:marTop w:val="0"/>
      <w:marBottom w:val="240"/>
      <w:divBdr>
        <w:top w:val="none" w:sz="0" w:space="0" w:color="auto"/>
        <w:left w:val="none" w:sz="0" w:space="0" w:color="auto"/>
        <w:bottom w:val="none" w:sz="0" w:space="0" w:color="auto"/>
        <w:right w:val="none" w:sz="0" w:space="0" w:color="auto"/>
      </w:divBdr>
    </w:div>
    <w:div w:id="116873887">
      <w:marLeft w:val="0"/>
      <w:marRight w:val="0"/>
      <w:marTop w:val="0"/>
      <w:marBottom w:val="240"/>
      <w:divBdr>
        <w:top w:val="none" w:sz="0" w:space="0" w:color="auto"/>
        <w:left w:val="none" w:sz="0" w:space="0" w:color="auto"/>
        <w:bottom w:val="none" w:sz="0" w:space="0" w:color="auto"/>
        <w:right w:val="none" w:sz="0" w:space="0" w:color="auto"/>
      </w:divBdr>
    </w:div>
    <w:div w:id="117184673">
      <w:marLeft w:val="0"/>
      <w:marRight w:val="0"/>
      <w:marTop w:val="0"/>
      <w:marBottom w:val="240"/>
      <w:divBdr>
        <w:top w:val="none" w:sz="0" w:space="0" w:color="auto"/>
        <w:left w:val="none" w:sz="0" w:space="0" w:color="auto"/>
        <w:bottom w:val="none" w:sz="0" w:space="0" w:color="auto"/>
        <w:right w:val="none" w:sz="0" w:space="0" w:color="auto"/>
      </w:divBdr>
    </w:div>
    <w:div w:id="117526228">
      <w:marLeft w:val="0"/>
      <w:marRight w:val="0"/>
      <w:marTop w:val="0"/>
      <w:marBottom w:val="0"/>
      <w:divBdr>
        <w:top w:val="none" w:sz="0" w:space="0" w:color="auto"/>
        <w:left w:val="none" w:sz="0" w:space="0" w:color="auto"/>
        <w:bottom w:val="none" w:sz="0" w:space="0" w:color="auto"/>
        <w:right w:val="none" w:sz="0" w:space="0" w:color="auto"/>
      </w:divBdr>
      <w:divsChild>
        <w:div w:id="2082092156">
          <w:marLeft w:val="0"/>
          <w:marRight w:val="0"/>
          <w:marTop w:val="0"/>
          <w:marBottom w:val="0"/>
          <w:divBdr>
            <w:top w:val="none" w:sz="0" w:space="0" w:color="auto"/>
            <w:left w:val="none" w:sz="0" w:space="0" w:color="auto"/>
            <w:bottom w:val="none" w:sz="0" w:space="0" w:color="auto"/>
            <w:right w:val="none" w:sz="0" w:space="0" w:color="auto"/>
          </w:divBdr>
        </w:div>
      </w:divsChild>
    </w:div>
    <w:div w:id="117533156">
      <w:marLeft w:val="0"/>
      <w:marRight w:val="0"/>
      <w:marTop w:val="0"/>
      <w:marBottom w:val="0"/>
      <w:divBdr>
        <w:top w:val="none" w:sz="0" w:space="0" w:color="auto"/>
        <w:left w:val="none" w:sz="0" w:space="0" w:color="auto"/>
        <w:bottom w:val="none" w:sz="0" w:space="0" w:color="auto"/>
        <w:right w:val="none" w:sz="0" w:space="0" w:color="auto"/>
      </w:divBdr>
      <w:divsChild>
        <w:div w:id="1586769813">
          <w:marLeft w:val="0"/>
          <w:marRight w:val="0"/>
          <w:marTop w:val="0"/>
          <w:marBottom w:val="0"/>
          <w:divBdr>
            <w:top w:val="none" w:sz="0" w:space="0" w:color="auto"/>
            <w:left w:val="none" w:sz="0" w:space="0" w:color="auto"/>
            <w:bottom w:val="none" w:sz="0" w:space="0" w:color="auto"/>
            <w:right w:val="none" w:sz="0" w:space="0" w:color="auto"/>
          </w:divBdr>
        </w:div>
      </w:divsChild>
    </w:div>
    <w:div w:id="119611133">
      <w:marLeft w:val="0"/>
      <w:marRight w:val="0"/>
      <w:marTop w:val="0"/>
      <w:marBottom w:val="180"/>
      <w:divBdr>
        <w:top w:val="none" w:sz="0" w:space="0" w:color="auto"/>
        <w:left w:val="none" w:sz="0" w:space="0" w:color="auto"/>
        <w:bottom w:val="none" w:sz="0" w:space="0" w:color="auto"/>
        <w:right w:val="none" w:sz="0" w:space="0" w:color="auto"/>
      </w:divBdr>
    </w:div>
    <w:div w:id="119811515">
      <w:marLeft w:val="0"/>
      <w:marRight w:val="0"/>
      <w:marTop w:val="180"/>
      <w:marBottom w:val="180"/>
      <w:divBdr>
        <w:top w:val="none" w:sz="0" w:space="0" w:color="auto"/>
        <w:left w:val="none" w:sz="0" w:space="0" w:color="auto"/>
        <w:bottom w:val="none" w:sz="0" w:space="0" w:color="auto"/>
        <w:right w:val="none" w:sz="0" w:space="0" w:color="auto"/>
      </w:divBdr>
    </w:div>
    <w:div w:id="119957498">
      <w:marLeft w:val="0"/>
      <w:marRight w:val="0"/>
      <w:marTop w:val="0"/>
      <w:marBottom w:val="240"/>
      <w:divBdr>
        <w:top w:val="none" w:sz="0" w:space="0" w:color="auto"/>
        <w:left w:val="none" w:sz="0" w:space="0" w:color="auto"/>
        <w:bottom w:val="none" w:sz="0" w:space="0" w:color="auto"/>
        <w:right w:val="none" w:sz="0" w:space="0" w:color="auto"/>
      </w:divBdr>
    </w:div>
    <w:div w:id="120421207">
      <w:marLeft w:val="0"/>
      <w:marRight w:val="0"/>
      <w:marTop w:val="0"/>
      <w:marBottom w:val="180"/>
      <w:divBdr>
        <w:top w:val="none" w:sz="0" w:space="0" w:color="auto"/>
        <w:left w:val="none" w:sz="0" w:space="0" w:color="auto"/>
        <w:bottom w:val="none" w:sz="0" w:space="0" w:color="auto"/>
        <w:right w:val="none" w:sz="0" w:space="0" w:color="auto"/>
      </w:divBdr>
    </w:div>
    <w:div w:id="121585065">
      <w:marLeft w:val="0"/>
      <w:marRight w:val="0"/>
      <w:marTop w:val="0"/>
      <w:marBottom w:val="180"/>
      <w:divBdr>
        <w:top w:val="none" w:sz="0" w:space="0" w:color="auto"/>
        <w:left w:val="none" w:sz="0" w:space="0" w:color="auto"/>
        <w:bottom w:val="none" w:sz="0" w:space="0" w:color="auto"/>
        <w:right w:val="none" w:sz="0" w:space="0" w:color="auto"/>
      </w:divBdr>
    </w:div>
    <w:div w:id="121776988">
      <w:marLeft w:val="0"/>
      <w:marRight w:val="0"/>
      <w:marTop w:val="0"/>
      <w:marBottom w:val="240"/>
      <w:divBdr>
        <w:top w:val="none" w:sz="0" w:space="0" w:color="auto"/>
        <w:left w:val="none" w:sz="0" w:space="0" w:color="auto"/>
        <w:bottom w:val="none" w:sz="0" w:space="0" w:color="auto"/>
        <w:right w:val="none" w:sz="0" w:space="0" w:color="auto"/>
      </w:divBdr>
    </w:div>
    <w:div w:id="122385302">
      <w:marLeft w:val="0"/>
      <w:marRight w:val="0"/>
      <w:marTop w:val="0"/>
      <w:marBottom w:val="240"/>
      <w:divBdr>
        <w:top w:val="none" w:sz="0" w:space="0" w:color="auto"/>
        <w:left w:val="none" w:sz="0" w:space="0" w:color="auto"/>
        <w:bottom w:val="none" w:sz="0" w:space="0" w:color="auto"/>
        <w:right w:val="none" w:sz="0" w:space="0" w:color="auto"/>
      </w:divBdr>
    </w:div>
    <w:div w:id="123618078">
      <w:marLeft w:val="0"/>
      <w:marRight w:val="0"/>
      <w:marTop w:val="0"/>
      <w:marBottom w:val="0"/>
      <w:divBdr>
        <w:top w:val="none" w:sz="0" w:space="0" w:color="auto"/>
        <w:left w:val="none" w:sz="0" w:space="0" w:color="auto"/>
        <w:bottom w:val="none" w:sz="0" w:space="0" w:color="auto"/>
        <w:right w:val="none" w:sz="0" w:space="0" w:color="auto"/>
      </w:divBdr>
    </w:div>
    <w:div w:id="124929028">
      <w:marLeft w:val="0"/>
      <w:marRight w:val="0"/>
      <w:marTop w:val="0"/>
      <w:marBottom w:val="240"/>
      <w:divBdr>
        <w:top w:val="none" w:sz="0" w:space="0" w:color="auto"/>
        <w:left w:val="none" w:sz="0" w:space="0" w:color="auto"/>
        <w:bottom w:val="none" w:sz="0" w:space="0" w:color="auto"/>
        <w:right w:val="none" w:sz="0" w:space="0" w:color="auto"/>
      </w:divBdr>
    </w:div>
    <w:div w:id="125319599">
      <w:marLeft w:val="0"/>
      <w:marRight w:val="0"/>
      <w:marTop w:val="0"/>
      <w:marBottom w:val="0"/>
      <w:divBdr>
        <w:top w:val="none" w:sz="0" w:space="0" w:color="auto"/>
        <w:left w:val="none" w:sz="0" w:space="0" w:color="auto"/>
        <w:bottom w:val="none" w:sz="0" w:space="0" w:color="auto"/>
        <w:right w:val="none" w:sz="0" w:space="0" w:color="auto"/>
      </w:divBdr>
    </w:div>
    <w:div w:id="125516730">
      <w:marLeft w:val="0"/>
      <w:marRight w:val="0"/>
      <w:marTop w:val="0"/>
      <w:marBottom w:val="0"/>
      <w:divBdr>
        <w:top w:val="none" w:sz="0" w:space="0" w:color="auto"/>
        <w:left w:val="none" w:sz="0" w:space="0" w:color="auto"/>
        <w:bottom w:val="none" w:sz="0" w:space="0" w:color="auto"/>
        <w:right w:val="none" w:sz="0" w:space="0" w:color="auto"/>
      </w:divBdr>
    </w:div>
    <w:div w:id="126359963">
      <w:marLeft w:val="0"/>
      <w:marRight w:val="0"/>
      <w:marTop w:val="0"/>
      <w:marBottom w:val="240"/>
      <w:divBdr>
        <w:top w:val="none" w:sz="0" w:space="0" w:color="auto"/>
        <w:left w:val="none" w:sz="0" w:space="0" w:color="auto"/>
        <w:bottom w:val="none" w:sz="0" w:space="0" w:color="auto"/>
        <w:right w:val="none" w:sz="0" w:space="0" w:color="auto"/>
      </w:divBdr>
    </w:div>
    <w:div w:id="126748992">
      <w:marLeft w:val="0"/>
      <w:marRight w:val="0"/>
      <w:marTop w:val="0"/>
      <w:marBottom w:val="0"/>
      <w:divBdr>
        <w:top w:val="none" w:sz="0" w:space="0" w:color="auto"/>
        <w:left w:val="none" w:sz="0" w:space="0" w:color="auto"/>
        <w:bottom w:val="none" w:sz="0" w:space="0" w:color="auto"/>
        <w:right w:val="none" w:sz="0" w:space="0" w:color="auto"/>
      </w:divBdr>
    </w:div>
    <w:div w:id="126901493">
      <w:marLeft w:val="0"/>
      <w:marRight w:val="0"/>
      <w:marTop w:val="180"/>
      <w:marBottom w:val="180"/>
      <w:divBdr>
        <w:top w:val="none" w:sz="0" w:space="0" w:color="auto"/>
        <w:left w:val="none" w:sz="0" w:space="0" w:color="auto"/>
        <w:bottom w:val="none" w:sz="0" w:space="0" w:color="auto"/>
        <w:right w:val="none" w:sz="0" w:space="0" w:color="auto"/>
      </w:divBdr>
    </w:div>
    <w:div w:id="128282084">
      <w:marLeft w:val="0"/>
      <w:marRight w:val="0"/>
      <w:marTop w:val="0"/>
      <w:marBottom w:val="180"/>
      <w:divBdr>
        <w:top w:val="none" w:sz="0" w:space="0" w:color="auto"/>
        <w:left w:val="none" w:sz="0" w:space="0" w:color="auto"/>
        <w:bottom w:val="none" w:sz="0" w:space="0" w:color="auto"/>
        <w:right w:val="none" w:sz="0" w:space="0" w:color="auto"/>
      </w:divBdr>
    </w:div>
    <w:div w:id="129520356">
      <w:marLeft w:val="0"/>
      <w:marRight w:val="0"/>
      <w:marTop w:val="180"/>
      <w:marBottom w:val="180"/>
      <w:divBdr>
        <w:top w:val="none" w:sz="0" w:space="0" w:color="auto"/>
        <w:left w:val="none" w:sz="0" w:space="0" w:color="auto"/>
        <w:bottom w:val="none" w:sz="0" w:space="0" w:color="auto"/>
        <w:right w:val="none" w:sz="0" w:space="0" w:color="auto"/>
      </w:divBdr>
    </w:div>
    <w:div w:id="130096934">
      <w:marLeft w:val="0"/>
      <w:marRight w:val="0"/>
      <w:marTop w:val="0"/>
      <w:marBottom w:val="0"/>
      <w:divBdr>
        <w:top w:val="none" w:sz="0" w:space="0" w:color="auto"/>
        <w:left w:val="none" w:sz="0" w:space="0" w:color="auto"/>
        <w:bottom w:val="none" w:sz="0" w:space="0" w:color="auto"/>
        <w:right w:val="none" w:sz="0" w:space="0" w:color="auto"/>
      </w:divBdr>
      <w:divsChild>
        <w:div w:id="1224294468">
          <w:marLeft w:val="0"/>
          <w:marRight w:val="0"/>
          <w:marTop w:val="0"/>
          <w:marBottom w:val="0"/>
          <w:divBdr>
            <w:top w:val="none" w:sz="0" w:space="0" w:color="auto"/>
            <w:left w:val="none" w:sz="0" w:space="0" w:color="auto"/>
            <w:bottom w:val="none" w:sz="0" w:space="0" w:color="auto"/>
            <w:right w:val="none" w:sz="0" w:space="0" w:color="auto"/>
          </w:divBdr>
        </w:div>
      </w:divsChild>
    </w:div>
    <w:div w:id="130248368">
      <w:marLeft w:val="0"/>
      <w:marRight w:val="0"/>
      <w:marTop w:val="120"/>
      <w:marBottom w:val="240"/>
      <w:divBdr>
        <w:top w:val="none" w:sz="0" w:space="0" w:color="auto"/>
        <w:left w:val="none" w:sz="0" w:space="0" w:color="auto"/>
        <w:bottom w:val="none" w:sz="0" w:space="0" w:color="auto"/>
        <w:right w:val="none" w:sz="0" w:space="0" w:color="auto"/>
      </w:divBdr>
    </w:div>
    <w:div w:id="131487434">
      <w:marLeft w:val="0"/>
      <w:marRight w:val="0"/>
      <w:marTop w:val="0"/>
      <w:marBottom w:val="180"/>
      <w:divBdr>
        <w:top w:val="none" w:sz="0" w:space="0" w:color="auto"/>
        <w:left w:val="none" w:sz="0" w:space="0" w:color="auto"/>
        <w:bottom w:val="none" w:sz="0" w:space="0" w:color="auto"/>
        <w:right w:val="none" w:sz="0" w:space="0" w:color="auto"/>
      </w:divBdr>
    </w:div>
    <w:div w:id="132873883">
      <w:marLeft w:val="0"/>
      <w:marRight w:val="0"/>
      <w:marTop w:val="0"/>
      <w:marBottom w:val="0"/>
      <w:divBdr>
        <w:top w:val="none" w:sz="0" w:space="0" w:color="auto"/>
        <w:left w:val="none" w:sz="0" w:space="0" w:color="auto"/>
        <w:bottom w:val="none" w:sz="0" w:space="0" w:color="auto"/>
        <w:right w:val="none" w:sz="0" w:space="0" w:color="auto"/>
      </w:divBdr>
      <w:divsChild>
        <w:div w:id="265504446">
          <w:marLeft w:val="0"/>
          <w:marRight w:val="0"/>
          <w:marTop w:val="0"/>
          <w:marBottom w:val="0"/>
          <w:divBdr>
            <w:top w:val="none" w:sz="0" w:space="0" w:color="auto"/>
            <w:left w:val="none" w:sz="0" w:space="0" w:color="auto"/>
            <w:bottom w:val="none" w:sz="0" w:space="0" w:color="auto"/>
            <w:right w:val="none" w:sz="0" w:space="0" w:color="auto"/>
          </w:divBdr>
        </w:div>
      </w:divsChild>
    </w:div>
    <w:div w:id="134756654">
      <w:marLeft w:val="0"/>
      <w:marRight w:val="0"/>
      <w:marTop w:val="0"/>
      <w:marBottom w:val="0"/>
      <w:divBdr>
        <w:top w:val="none" w:sz="0" w:space="0" w:color="auto"/>
        <w:left w:val="none" w:sz="0" w:space="0" w:color="auto"/>
        <w:bottom w:val="none" w:sz="0" w:space="0" w:color="auto"/>
        <w:right w:val="none" w:sz="0" w:space="0" w:color="auto"/>
      </w:divBdr>
      <w:divsChild>
        <w:div w:id="1739815378">
          <w:marLeft w:val="0"/>
          <w:marRight w:val="0"/>
          <w:marTop w:val="0"/>
          <w:marBottom w:val="0"/>
          <w:divBdr>
            <w:top w:val="none" w:sz="0" w:space="0" w:color="auto"/>
            <w:left w:val="none" w:sz="0" w:space="0" w:color="auto"/>
            <w:bottom w:val="none" w:sz="0" w:space="0" w:color="auto"/>
            <w:right w:val="none" w:sz="0" w:space="0" w:color="auto"/>
          </w:divBdr>
        </w:div>
      </w:divsChild>
    </w:div>
    <w:div w:id="134835123">
      <w:marLeft w:val="0"/>
      <w:marRight w:val="0"/>
      <w:marTop w:val="0"/>
      <w:marBottom w:val="180"/>
      <w:divBdr>
        <w:top w:val="none" w:sz="0" w:space="0" w:color="auto"/>
        <w:left w:val="none" w:sz="0" w:space="0" w:color="auto"/>
        <w:bottom w:val="none" w:sz="0" w:space="0" w:color="auto"/>
        <w:right w:val="none" w:sz="0" w:space="0" w:color="auto"/>
      </w:divBdr>
    </w:div>
    <w:div w:id="134953587">
      <w:marLeft w:val="0"/>
      <w:marRight w:val="0"/>
      <w:marTop w:val="0"/>
      <w:marBottom w:val="240"/>
      <w:divBdr>
        <w:top w:val="none" w:sz="0" w:space="0" w:color="auto"/>
        <w:left w:val="none" w:sz="0" w:space="0" w:color="auto"/>
        <w:bottom w:val="none" w:sz="0" w:space="0" w:color="auto"/>
        <w:right w:val="none" w:sz="0" w:space="0" w:color="auto"/>
      </w:divBdr>
    </w:div>
    <w:div w:id="136261896">
      <w:marLeft w:val="0"/>
      <w:marRight w:val="0"/>
      <w:marTop w:val="0"/>
      <w:marBottom w:val="0"/>
      <w:divBdr>
        <w:top w:val="none" w:sz="0" w:space="0" w:color="auto"/>
        <w:left w:val="none" w:sz="0" w:space="0" w:color="auto"/>
        <w:bottom w:val="none" w:sz="0" w:space="0" w:color="auto"/>
        <w:right w:val="none" w:sz="0" w:space="0" w:color="auto"/>
      </w:divBdr>
    </w:div>
    <w:div w:id="136800838">
      <w:marLeft w:val="0"/>
      <w:marRight w:val="0"/>
      <w:marTop w:val="60"/>
      <w:marBottom w:val="0"/>
      <w:divBdr>
        <w:top w:val="none" w:sz="0" w:space="0" w:color="auto"/>
        <w:left w:val="none" w:sz="0" w:space="0" w:color="auto"/>
        <w:bottom w:val="none" w:sz="0" w:space="0" w:color="auto"/>
        <w:right w:val="none" w:sz="0" w:space="0" w:color="auto"/>
      </w:divBdr>
    </w:div>
    <w:div w:id="137309456">
      <w:marLeft w:val="0"/>
      <w:marRight w:val="0"/>
      <w:marTop w:val="0"/>
      <w:marBottom w:val="0"/>
      <w:divBdr>
        <w:top w:val="none" w:sz="0" w:space="0" w:color="auto"/>
        <w:left w:val="none" w:sz="0" w:space="0" w:color="auto"/>
        <w:bottom w:val="none" w:sz="0" w:space="0" w:color="auto"/>
        <w:right w:val="none" w:sz="0" w:space="0" w:color="auto"/>
      </w:divBdr>
    </w:div>
    <w:div w:id="138033835">
      <w:marLeft w:val="0"/>
      <w:marRight w:val="0"/>
      <w:marTop w:val="0"/>
      <w:marBottom w:val="0"/>
      <w:divBdr>
        <w:top w:val="none" w:sz="0" w:space="0" w:color="auto"/>
        <w:left w:val="none" w:sz="0" w:space="0" w:color="auto"/>
        <w:bottom w:val="none" w:sz="0" w:space="0" w:color="auto"/>
        <w:right w:val="none" w:sz="0" w:space="0" w:color="auto"/>
      </w:divBdr>
      <w:divsChild>
        <w:div w:id="1951664132">
          <w:marLeft w:val="0"/>
          <w:marRight w:val="0"/>
          <w:marTop w:val="0"/>
          <w:marBottom w:val="0"/>
          <w:divBdr>
            <w:top w:val="none" w:sz="0" w:space="0" w:color="auto"/>
            <w:left w:val="none" w:sz="0" w:space="0" w:color="auto"/>
            <w:bottom w:val="none" w:sz="0" w:space="0" w:color="auto"/>
            <w:right w:val="none" w:sz="0" w:space="0" w:color="auto"/>
          </w:divBdr>
        </w:div>
      </w:divsChild>
    </w:div>
    <w:div w:id="138352305">
      <w:marLeft w:val="0"/>
      <w:marRight w:val="0"/>
      <w:marTop w:val="0"/>
      <w:marBottom w:val="180"/>
      <w:divBdr>
        <w:top w:val="none" w:sz="0" w:space="0" w:color="auto"/>
        <w:left w:val="none" w:sz="0" w:space="0" w:color="auto"/>
        <w:bottom w:val="none" w:sz="0" w:space="0" w:color="auto"/>
        <w:right w:val="none" w:sz="0" w:space="0" w:color="auto"/>
      </w:divBdr>
    </w:div>
    <w:div w:id="138691198">
      <w:marLeft w:val="0"/>
      <w:marRight w:val="0"/>
      <w:marTop w:val="0"/>
      <w:marBottom w:val="0"/>
      <w:divBdr>
        <w:top w:val="none" w:sz="0" w:space="0" w:color="auto"/>
        <w:left w:val="none" w:sz="0" w:space="0" w:color="auto"/>
        <w:bottom w:val="none" w:sz="0" w:space="0" w:color="auto"/>
        <w:right w:val="none" w:sz="0" w:space="0" w:color="auto"/>
      </w:divBdr>
    </w:div>
    <w:div w:id="141577832">
      <w:marLeft w:val="0"/>
      <w:marRight w:val="0"/>
      <w:marTop w:val="100"/>
      <w:marBottom w:val="0"/>
      <w:divBdr>
        <w:top w:val="none" w:sz="0" w:space="0" w:color="auto"/>
        <w:left w:val="none" w:sz="0" w:space="0" w:color="auto"/>
        <w:bottom w:val="none" w:sz="0" w:space="0" w:color="auto"/>
        <w:right w:val="none" w:sz="0" w:space="0" w:color="auto"/>
      </w:divBdr>
      <w:divsChild>
        <w:div w:id="1924100921">
          <w:marLeft w:val="0"/>
          <w:marRight w:val="0"/>
          <w:marTop w:val="0"/>
          <w:marBottom w:val="0"/>
          <w:divBdr>
            <w:top w:val="none" w:sz="0" w:space="0" w:color="auto"/>
            <w:left w:val="none" w:sz="0" w:space="0" w:color="auto"/>
            <w:bottom w:val="none" w:sz="0" w:space="0" w:color="auto"/>
            <w:right w:val="none" w:sz="0" w:space="0" w:color="auto"/>
          </w:divBdr>
        </w:div>
        <w:div w:id="250745748">
          <w:marLeft w:val="0"/>
          <w:marRight w:val="0"/>
          <w:marTop w:val="0"/>
          <w:marBottom w:val="0"/>
          <w:divBdr>
            <w:top w:val="none" w:sz="0" w:space="0" w:color="auto"/>
            <w:left w:val="none" w:sz="0" w:space="0" w:color="auto"/>
            <w:bottom w:val="none" w:sz="0" w:space="0" w:color="auto"/>
            <w:right w:val="none" w:sz="0" w:space="0" w:color="auto"/>
          </w:divBdr>
        </w:div>
        <w:div w:id="850340134">
          <w:marLeft w:val="0"/>
          <w:marRight w:val="0"/>
          <w:marTop w:val="0"/>
          <w:marBottom w:val="0"/>
          <w:divBdr>
            <w:top w:val="none" w:sz="0" w:space="0" w:color="auto"/>
            <w:left w:val="none" w:sz="0" w:space="0" w:color="auto"/>
            <w:bottom w:val="none" w:sz="0" w:space="0" w:color="auto"/>
            <w:right w:val="none" w:sz="0" w:space="0" w:color="auto"/>
          </w:divBdr>
        </w:div>
      </w:divsChild>
    </w:div>
    <w:div w:id="141580261">
      <w:marLeft w:val="0"/>
      <w:marRight w:val="0"/>
      <w:marTop w:val="0"/>
      <w:marBottom w:val="0"/>
      <w:divBdr>
        <w:top w:val="none" w:sz="0" w:space="0" w:color="auto"/>
        <w:left w:val="none" w:sz="0" w:space="0" w:color="auto"/>
        <w:bottom w:val="none" w:sz="0" w:space="0" w:color="auto"/>
        <w:right w:val="none" w:sz="0" w:space="0" w:color="auto"/>
      </w:divBdr>
    </w:div>
    <w:div w:id="143008879">
      <w:marLeft w:val="0"/>
      <w:marRight w:val="0"/>
      <w:marTop w:val="0"/>
      <w:marBottom w:val="180"/>
      <w:divBdr>
        <w:top w:val="none" w:sz="0" w:space="0" w:color="auto"/>
        <w:left w:val="none" w:sz="0" w:space="0" w:color="auto"/>
        <w:bottom w:val="none" w:sz="0" w:space="0" w:color="auto"/>
        <w:right w:val="none" w:sz="0" w:space="0" w:color="auto"/>
      </w:divBdr>
    </w:div>
    <w:div w:id="143089883">
      <w:marLeft w:val="0"/>
      <w:marRight w:val="0"/>
      <w:marTop w:val="0"/>
      <w:marBottom w:val="0"/>
      <w:divBdr>
        <w:top w:val="none" w:sz="0" w:space="0" w:color="auto"/>
        <w:left w:val="none" w:sz="0" w:space="0" w:color="auto"/>
        <w:bottom w:val="none" w:sz="0" w:space="0" w:color="auto"/>
        <w:right w:val="none" w:sz="0" w:space="0" w:color="auto"/>
      </w:divBdr>
    </w:div>
    <w:div w:id="143132965">
      <w:marLeft w:val="0"/>
      <w:marRight w:val="0"/>
      <w:marTop w:val="0"/>
      <w:marBottom w:val="0"/>
      <w:divBdr>
        <w:top w:val="none" w:sz="0" w:space="0" w:color="auto"/>
        <w:left w:val="none" w:sz="0" w:space="0" w:color="auto"/>
        <w:bottom w:val="none" w:sz="0" w:space="0" w:color="auto"/>
        <w:right w:val="none" w:sz="0" w:space="0" w:color="auto"/>
      </w:divBdr>
      <w:divsChild>
        <w:div w:id="2131049887">
          <w:marLeft w:val="0"/>
          <w:marRight w:val="0"/>
          <w:marTop w:val="0"/>
          <w:marBottom w:val="0"/>
          <w:divBdr>
            <w:top w:val="none" w:sz="0" w:space="0" w:color="auto"/>
            <w:left w:val="none" w:sz="0" w:space="0" w:color="auto"/>
            <w:bottom w:val="none" w:sz="0" w:space="0" w:color="auto"/>
            <w:right w:val="none" w:sz="0" w:space="0" w:color="auto"/>
          </w:divBdr>
        </w:div>
      </w:divsChild>
    </w:div>
    <w:div w:id="143550703">
      <w:marLeft w:val="0"/>
      <w:marRight w:val="0"/>
      <w:marTop w:val="0"/>
      <w:marBottom w:val="0"/>
      <w:divBdr>
        <w:top w:val="none" w:sz="0" w:space="0" w:color="auto"/>
        <w:left w:val="none" w:sz="0" w:space="0" w:color="auto"/>
        <w:bottom w:val="none" w:sz="0" w:space="0" w:color="auto"/>
        <w:right w:val="none" w:sz="0" w:space="0" w:color="auto"/>
      </w:divBdr>
      <w:divsChild>
        <w:div w:id="1719544301">
          <w:marLeft w:val="0"/>
          <w:marRight w:val="0"/>
          <w:marTop w:val="0"/>
          <w:marBottom w:val="0"/>
          <w:divBdr>
            <w:top w:val="none" w:sz="0" w:space="0" w:color="auto"/>
            <w:left w:val="none" w:sz="0" w:space="0" w:color="auto"/>
            <w:bottom w:val="none" w:sz="0" w:space="0" w:color="auto"/>
            <w:right w:val="none" w:sz="0" w:space="0" w:color="auto"/>
          </w:divBdr>
        </w:div>
      </w:divsChild>
    </w:div>
    <w:div w:id="144854455">
      <w:marLeft w:val="0"/>
      <w:marRight w:val="0"/>
      <w:marTop w:val="0"/>
      <w:marBottom w:val="240"/>
      <w:divBdr>
        <w:top w:val="none" w:sz="0" w:space="0" w:color="auto"/>
        <w:left w:val="none" w:sz="0" w:space="0" w:color="auto"/>
        <w:bottom w:val="none" w:sz="0" w:space="0" w:color="auto"/>
        <w:right w:val="none" w:sz="0" w:space="0" w:color="auto"/>
      </w:divBdr>
    </w:div>
    <w:div w:id="144854869">
      <w:marLeft w:val="0"/>
      <w:marRight w:val="0"/>
      <w:marTop w:val="0"/>
      <w:marBottom w:val="180"/>
      <w:divBdr>
        <w:top w:val="none" w:sz="0" w:space="0" w:color="auto"/>
        <w:left w:val="none" w:sz="0" w:space="0" w:color="auto"/>
        <w:bottom w:val="none" w:sz="0" w:space="0" w:color="auto"/>
        <w:right w:val="none" w:sz="0" w:space="0" w:color="auto"/>
      </w:divBdr>
    </w:div>
    <w:div w:id="145515677">
      <w:marLeft w:val="0"/>
      <w:marRight w:val="0"/>
      <w:marTop w:val="0"/>
      <w:marBottom w:val="0"/>
      <w:divBdr>
        <w:top w:val="none" w:sz="0" w:space="0" w:color="auto"/>
        <w:left w:val="none" w:sz="0" w:space="0" w:color="auto"/>
        <w:bottom w:val="none" w:sz="0" w:space="0" w:color="auto"/>
        <w:right w:val="none" w:sz="0" w:space="0" w:color="auto"/>
      </w:divBdr>
    </w:div>
    <w:div w:id="145978711">
      <w:marLeft w:val="0"/>
      <w:marRight w:val="0"/>
      <w:marTop w:val="0"/>
      <w:marBottom w:val="0"/>
      <w:divBdr>
        <w:top w:val="none" w:sz="0" w:space="0" w:color="auto"/>
        <w:left w:val="none" w:sz="0" w:space="0" w:color="auto"/>
        <w:bottom w:val="none" w:sz="0" w:space="0" w:color="auto"/>
        <w:right w:val="none" w:sz="0" w:space="0" w:color="auto"/>
      </w:divBdr>
      <w:divsChild>
        <w:div w:id="1884323672">
          <w:marLeft w:val="0"/>
          <w:marRight w:val="0"/>
          <w:marTop w:val="0"/>
          <w:marBottom w:val="0"/>
          <w:divBdr>
            <w:top w:val="none" w:sz="0" w:space="0" w:color="auto"/>
            <w:left w:val="none" w:sz="0" w:space="0" w:color="auto"/>
            <w:bottom w:val="none" w:sz="0" w:space="0" w:color="auto"/>
            <w:right w:val="none" w:sz="0" w:space="0" w:color="auto"/>
          </w:divBdr>
        </w:div>
      </w:divsChild>
    </w:div>
    <w:div w:id="146366406">
      <w:marLeft w:val="0"/>
      <w:marRight w:val="0"/>
      <w:marTop w:val="0"/>
      <w:marBottom w:val="0"/>
      <w:divBdr>
        <w:top w:val="none" w:sz="0" w:space="0" w:color="auto"/>
        <w:left w:val="none" w:sz="0" w:space="0" w:color="auto"/>
        <w:bottom w:val="none" w:sz="0" w:space="0" w:color="auto"/>
        <w:right w:val="none" w:sz="0" w:space="0" w:color="auto"/>
      </w:divBdr>
      <w:divsChild>
        <w:div w:id="859245">
          <w:marLeft w:val="0"/>
          <w:marRight w:val="0"/>
          <w:marTop w:val="0"/>
          <w:marBottom w:val="0"/>
          <w:divBdr>
            <w:top w:val="none" w:sz="0" w:space="0" w:color="auto"/>
            <w:left w:val="none" w:sz="0" w:space="0" w:color="auto"/>
            <w:bottom w:val="none" w:sz="0" w:space="0" w:color="auto"/>
            <w:right w:val="none" w:sz="0" w:space="0" w:color="auto"/>
          </w:divBdr>
        </w:div>
      </w:divsChild>
    </w:div>
    <w:div w:id="147596526">
      <w:marLeft w:val="0"/>
      <w:marRight w:val="0"/>
      <w:marTop w:val="180"/>
      <w:marBottom w:val="180"/>
      <w:divBdr>
        <w:top w:val="none" w:sz="0" w:space="0" w:color="auto"/>
        <w:left w:val="none" w:sz="0" w:space="0" w:color="auto"/>
        <w:bottom w:val="none" w:sz="0" w:space="0" w:color="auto"/>
        <w:right w:val="none" w:sz="0" w:space="0" w:color="auto"/>
      </w:divBdr>
    </w:div>
    <w:div w:id="147789763">
      <w:marLeft w:val="0"/>
      <w:marRight w:val="0"/>
      <w:marTop w:val="0"/>
      <w:marBottom w:val="240"/>
      <w:divBdr>
        <w:top w:val="none" w:sz="0" w:space="0" w:color="auto"/>
        <w:left w:val="none" w:sz="0" w:space="0" w:color="auto"/>
        <w:bottom w:val="none" w:sz="0" w:space="0" w:color="auto"/>
        <w:right w:val="none" w:sz="0" w:space="0" w:color="auto"/>
      </w:divBdr>
    </w:div>
    <w:div w:id="148133105">
      <w:marLeft w:val="0"/>
      <w:marRight w:val="0"/>
      <w:marTop w:val="0"/>
      <w:marBottom w:val="0"/>
      <w:divBdr>
        <w:top w:val="none" w:sz="0" w:space="0" w:color="auto"/>
        <w:left w:val="none" w:sz="0" w:space="0" w:color="auto"/>
        <w:bottom w:val="none" w:sz="0" w:space="0" w:color="auto"/>
        <w:right w:val="none" w:sz="0" w:space="0" w:color="auto"/>
      </w:divBdr>
    </w:div>
    <w:div w:id="149059244">
      <w:marLeft w:val="0"/>
      <w:marRight w:val="0"/>
      <w:marTop w:val="120"/>
      <w:marBottom w:val="120"/>
      <w:divBdr>
        <w:top w:val="none" w:sz="0" w:space="0" w:color="auto"/>
        <w:left w:val="none" w:sz="0" w:space="0" w:color="auto"/>
        <w:bottom w:val="none" w:sz="0" w:space="0" w:color="auto"/>
        <w:right w:val="none" w:sz="0" w:space="0" w:color="auto"/>
      </w:divBdr>
    </w:div>
    <w:div w:id="149444760">
      <w:marLeft w:val="0"/>
      <w:marRight w:val="0"/>
      <w:marTop w:val="180"/>
      <w:marBottom w:val="180"/>
      <w:divBdr>
        <w:top w:val="none" w:sz="0" w:space="0" w:color="auto"/>
        <w:left w:val="none" w:sz="0" w:space="0" w:color="auto"/>
        <w:bottom w:val="none" w:sz="0" w:space="0" w:color="auto"/>
        <w:right w:val="none" w:sz="0" w:space="0" w:color="auto"/>
      </w:divBdr>
    </w:div>
    <w:div w:id="150369830">
      <w:marLeft w:val="0"/>
      <w:marRight w:val="0"/>
      <w:marTop w:val="0"/>
      <w:marBottom w:val="0"/>
      <w:divBdr>
        <w:top w:val="none" w:sz="0" w:space="0" w:color="auto"/>
        <w:left w:val="none" w:sz="0" w:space="0" w:color="auto"/>
        <w:bottom w:val="none" w:sz="0" w:space="0" w:color="auto"/>
        <w:right w:val="none" w:sz="0" w:space="0" w:color="auto"/>
      </w:divBdr>
    </w:div>
    <w:div w:id="151485807">
      <w:marLeft w:val="0"/>
      <w:marRight w:val="0"/>
      <w:marTop w:val="0"/>
      <w:marBottom w:val="0"/>
      <w:divBdr>
        <w:top w:val="none" w:sz="0" w:space="0" w:color="auto"/>
        <w:left w:val="none" w:sz="0" w:space="0" w:color="auto"/>
        <w:bottom w:val="none" w:sz="0" w:space="0" w:color="auto"/>
        <w:right w:val="none" w:sz="0" w:space="0" w:color="auto"/>
      </w:divBdr>
    </w:div>
    <w:div w:id="152795553">
      <w:marLeft w:val="0"/>
      <w:marRight w:val="0"/>
      <w:marTop w:val="0"/>
      <w:marBottom w:val="240"/>
      <w:divBdr>
        <w:top w:val="none" w:sz="0" w:space="0" w:color="auto"/>
        <w:left w:val="none" w:sz="0" w:space="0" w:color="auto"/>
        <w:bottom w:val="none" w:sz="0" w:space="0" w:color="auto"/>
        <w:right w:val="none" w:sz="0" w:space="0" w:color="auto"/>
      </w:divBdr>
    </w:div>
    <w:div w:id="153764048">
      <w:marLeft w:val="0"/>
      <w:marRight w:val="0"/>
      <w:marTop w:val="0"/>
      <w:marBottom w:val="240"/>
      <w:divBdr>
        <w:top w:val="none" w:sz="0" w:space="0" w:color="auto"/>
        <w:left w:val="none" w:sz="0" w:space="0" w:color="auto"/>
        <w:bottom w:val="none" w:sz="0" w:space="0" w:color="auto"/>
        <w:right w:val="none" w:sz="0" w:space="0" w:color="auto"/>
      </w:divBdr>
    </w:div>
    <w:div w:id="155347972">
      <w:marLeft w:val="0"/>
      <w:marRight w:val="0"/>
      <w:marTop w:val="100"/>
      <w:marBottom w:val="0"/>
      <w:divBdr>
        <w:top w:val="none" w:sz="0" w:space="0" w:color="auto"/>
        <w:left w:val="none" w:sz="0" w:space="0" w:color="auto"/>
        <w:bottom w:val="none" w:sz="0" w:space="0" w:color="auto"/>
        <w:right w:val="none" w:sz="0" w:space="0" w:color="auto"/>
      </w:divBdr>
    </w:div>
    <w:div w:id="155386377">
      <w:marLeft w:val="0"/>
      <w:marRight w:val="0"/>
      <w:marTop w:val="0"/>
      <w:marBottom w:val="180"/>
      <w:divBdr>
        <w:top w:val="none" w:sz="0" w:space="0" w:color="auto"/>
        <w:left w:val="none" w:sz="0" w:space="0" w:color="auto"/>
        <w:bottom w:val="none" w:sz="0" w:space="0" w:color="auto"/>
        <w:right w:val="none" w:sz="0" w:space="0" w:color="auto"/>
      </w:divBdr>
    </w:div>
    <w:div w:id="155650883">
      <w:marLeft w:val="0"/>
      <w:marRight w:val="0"/>
      <w:marTop w:val="0"/>
      <w:marBottom w:val="0"/>
      <w:divBdr>
        <w:top w:val="none" w:sz="0" w:space="0" w:color="auto"/>
        <w:left w:val="none" w:sz="0" w:space="0" w:color="auto"/>
        <w:bottom w:val="none" w:sz="0" w:space="0" w:color="auto"/>
        <w:right w:val="none" w:sz="0" w:space="0" w:color="auto"/>
      </w:divBdr>
    </w:div>
    <w:div w:id="155994931">
      <w:marLeft w:val="0"/>
      <w:marRight w:val="0"/>
      <w:marTop w:val="180"/>
      <w:marBottom w:val="180"/>
      <w:divBdr>
        <w:top w:val="none" w:sz="0" w:space="0" w:color="auto"/>
        <w:left w:val="none" w:sz="0" w:space="0" w:color="auto"/>
        <w:bottom w:val="none" w:sz="0" w:space="0" w:color="auto"/>
        <w:right w:val="none" w:sz="0" w:space="0" w:color="auto"/>
      </w:divBdr>
    </w:div>
    <w:div w:id="156121383">
      <w:marLeft w:val="0"/>
      <w:marRight w:val="0"/>
      <w:marTop w:val="0"/>
      <w:marBottom w:val="240"/>
      <w:divBdr>
        <w:top w:val="none" w:sz="0" w:space="0" w:color="auto"/>
        <w:left w:val="none" w:sz="0" w:space="0" w:color="auto"/>
        <w:bottom w:val="none" w:sz="0" w:space="0" w:color="auto"/>
        <w:right w:val="none" w:sz="0" w:space="0" w:color="auto"/>
      </w:divBdr>
    </w:div>
    <w:div w:id="157381131">
      <w:marLeft w:val="0"/>
      <w:marRight w:val="0"/>
      <w:marTop w:val="180"/>
      <w:marBottom w:val="180"/>
      <w:divBdr>
        <w:top w:val="none" w:sz="0" w:space="0" w:color="auto"/>
        <w:left w:val="none" w:sz="0" w:space="0" w:color="auto"/>
        <w:bottom w:val="none" w:sz="0" w:space="0" w:color="auto"/>
        <w:right w:val="none" w:sz="0" w:space="0" w:color="auto"/>
      </w:divBdr>
    </w:div>
    <w:div w:id="157622519">
      <w:marLeft w:val="0"/>
      <w:marRight w:val="0"/>
      <w:marTop w:val="0"/>
      <w:marBottom w:val="240"/>
      <w:divBdr>
        <w:top w:val="none" w:sz="0" w:space="0" w:color="auto"/>
        <w:left w:val="none" w:sz="0" w:space="0" w:color="auto"/>
        <w:bottom w:val="none" w:sz="0" w:space="0" w:color="auto"/>
        <w:right w:val="none" w:sz="0" w:space="0" w:color="auto"/>
      </w:divBdr>
    </w:div>
    <w:div w:id="158690777">
      <w:marLeft w:val="0"/>
      <w:marRight w:val="0"/>
      <w:marTop w:val="0"/>
      <w:marBottom w:val="0"/>
      <w:divBdr>
        <w:top w:val="none" w:sz="0" w:space="0" w:color="auto"/>
        <w:left w:val="none" w:sz="0" w:space="0" w:color="auto"/>
        <w:bottom w:val="none" w:sz="0" w:space="0" w:color="auto"/>
        <w:right w:val="none" w:sz="0" w:space="0" w:color="auto"/>
      </w:divBdr>
    </w:div>
    <w:div w:id="160389396">
      <w:marLeft w:val="0"/>
      <w:marRight w:val="0"/>
      <w:marTop w:val="0"/>
      <w:marBottom w:val="0"/>
      <w:divBdr>
        <w:top w:val="none" w:sz="0" w:space="0" w:color="auto"/>
        <w:left w:val="none" w:sz="0" w:space="0" w:color="auto"/>
        <w:bottom w:val="none" w:sz="0" w:space="0" w:color="auto"/>
        <w:right w:val="none" w:sz="0" w:space="0" w:color="auto"/>
      </w:divBdr>
      <w:divsChild>
        <w:div w:id="1677808316">
          <w:marLeft w:val="0"/>
          <w:marRight w:val="0"/>
          <w:marTop w:val="0"/>
          <w:marBottom w:val="0"/>
          <w:divBdr>
            <w:top w:val="none" w:sz="0" w:space="0" w:color="auto"/>
            <w:left w:val="none" w:sz="0" w:space="0" w:color="auto"/>
            <w:bottom w:val="none" w:sz="0" w:space="0" w:color="auto"/>
            <w:right w:val="none" w:sz="0" w:space="0" w:color="auto"/>
          </w:divBdr>
        </w:div>
      </w:divsChild>
    </w:div>
    <w:div w:id="160509161">
      <w:marLeft w:val="0"/>
      <w:marRight w:val="0"/>
      <w:marTop w:val="0"/>
      <w:marBottom w:val="0"/>
      <w:divBdr>
        <w:top w:val="none" w:sz="0" w:space="0" w:color="auto"/>
        <w:left w:val="none" w:sz="0" w:space="0" w:color="auto"/>
        <w:bottom w:val="none" w:sz="0" w:space="0" w:color="auto"/>
        <w:right w:val="none" w:sz="0" w:space="0" w:color="auto"/>
      </w:divBdr>
    </w:div>
    <w:div w:id="160899601">
      <w:marLeft w:val="0"/>
      <w:marRight w:val="0"/>
      <w:marTop w:val="0"/>
      <w:marBottom w:val="180"/>
      <w:divBdr>
        <w:top w:val="none" w:sz="0" w:space="0" w:color="auto"/>
        <w:left w:val="none" w:sz="0" w:space="0" w:color="auto"/>
        <w:bottom w:val="none" w:sz="0" w:space="0" w:color="auto"/>
        <w:right w:val="none" w:sz="0" w:space="0" w:color="auto"/>
      </w:divBdr>
    </w:div>
    <w:div w:id="161089358">
      <w:marLeft w:val="0"/>
      <w:marRight w:val="0"/>
      <w:marTop w:val="0"/>
      <w:marBottom w:val="180"/>
      <w:divBdr>
        <w:top w:val="none" w:sz="0" w:space="0" w:color="auto"/>
        <w:left w:val="none" w:sz="0" w:space="0" w:color="auto"/>
        <w:bottom w:val="none" w:sz="0" w:space="0" w:color="auto"/>
        <w:right w:val="none" w:sz="0" w:space="0" w:color="auto"/>
      </w:divBdr>
    </w:div>
    <w:div w:id="162136787">
      <w:marLeft w:val="0"/>
      <w:marRight w:val="0"/>
      <w:marTop w:val="0"/>
      <w:marBottom w:val="240"/>
      <w:divBdr>
        <w:top w:val="none" w:sz="0" w:space="0" w:color="auto"/>
        <w:left w:val="none" w:sz="0" w:space="0" w:color="auto"/>
        <w:bottom w:val="none" w:sz="0" w:space="0" w:color="auto"/>
        <w:right w:val="none" w:sz="0" w:space="0" w:color="auto"/>
      </w:divBdr>
    </w:div>
    <w:div w:id="163782298">
      <w:marLeft w:val="0"/>
      <w:marRight w:val="0"/>
      <w:marTop w:val="0"/>
      <w:marBottom w:val="180"/>
      <w:divBdr>
        <w:top w:val="none" w:sz="0" w:space="0" w:color="auto"/>
        <w:left w:val="none" w:sz="0" w:space="0" w:color="auto"/>
        <w:bottom w:val="none" w:sz="0" w:space="0" w:color="auto"/>
        <w:right w:val="none" w:sz="0" w:space="0" w:color="auto"/>
      </w:divBdr>
    </w:div>
    <w:div w:id="163906277">
      <w:marLeft w:val="0"/>
      <w:marRight w:val="0"/>
      <w:marTop w:val="0"/>
      <w:marBottom w:val="240"/>
      <w:divBdr>
        <w:top w:val="none" w:sz="0" w:space="0" w:color="auto"/>
        <w:left w:val="none" w:sz="0" w:space="0" w:color="auto"/>
        <w:bottom w:val="none" w:sz="0" w:space="0" w:color="auto"/>
        <w:right w:val="none" w:sz="0" w:space="0" w:color="auto"/>
      </w:divBdr>
    </w:div>
    <w:div w:id="164365620">
      <w:marLeft w:val="0"/>
      <w:marRight w:val="0"/>
      <w:marTop w:val="0"/>
      <w:marBottom w:val="180"/>
      <w:divBdr>
        <w:top w:val="none" w:sz="0" w:space="0" w:color="auto"/>
        <w:left w:val="none" w:sz="0" w:space="0" w:color="auto"/>
        <w:bottom w:val="none" w:sz="0" w:space="0" w:color="auto"/>
        <w:right w:val="none" w:sz="0" w:space="0" w:color="auto"/>
      </w:divBdr>
    </w:div>
    <w:div w:id="165631383">
      <w:marLeft w:val="0"/>
      <w:marRight w:val="0"/>
      <w:marTop w:val="0"/>
      <w:marBottom w:val="180"/>
      <w:divBdr>
        <w:top w:val="none" w:sz="0" w:space="0" w:color="auto"/>
        <w:left w:val="none" w:sz="0" w:space="0" w:color="auto"/>
        <w:bottom w:val="none" w:sz="0" w:space="0" w:color="auto"/>
        <w:right w:val="none" w:sz="0" w:space="0" w:color="auto"/>
      </w:divBdr>
    </w:div>
    <w:div w:id="166480642">
      <w:marLeft w:val="0"/>
      <w:marRight w:val="0"/>
      <w:marTop w:val="0"/>
      <w:marBottom w:val="180"/>
      <w:divBdr>
        <w:top w:val="none" w:sz="0" w:space="0" w:color="auto"/>
        <w:left w:val="none" w:sz="0" w:space="0" w:color="auto"/>
        <w:bottom w:val="none" w:sz="0" w:space="0" w:color="auto"/>
        <w:right w:val="none" w:sz="0" w:space="0" w:color="auto"/>
      </w:divBdr>
    </w:div>
    <w:div w:id="166869955">
      <w:marLeft w:val="0"/>
      <w:marRight w:val="0"/>
      <w:marTop w:val="0"/>
      <w:marBottom w:val="180"/>
      <w:divBdr>
        <w:top w:val="none" w:sz="0" w:space="0" w:color="auto"/>
        <w:left w:val="none" w:sz="0" w:space="0" w:color="auto"/>
        <w:bottom w:val="none" w:sz="0" w:space="0" w:color="auto"/>
        <w:right w:val="none" w:sz="0" w:space="0" w:color="auto"/>
      </w:divBdr>
    </w:div>
    <w:div w:id="167673536">
      <w:marLeft w:val="0"/>
      <w:marRight w:val="0"/>
      <w:marTop w:val="180"/>
      <w:marBottom w:val="180"/>
      <w:divBdr>
        <w:top w:val="none" w:sz="0" w:space="0" w:color="auto"/>
        <w:left w:val="none" w:sz="0" w:space="0" w:color="auto"/>
        <w:bottom w:val="none" w:sz="0" w:space="0" w:color="auto"/>
        <w:right w:val="none" w:sz="0" w:space="0" w:color="auto"/>
      </w:divBdr>
    </w:div>
    <w:div w:id="167864754">
      <w:marLeft w:val="0"/>
      <w:marRight w:val="0"/>
      <w:marTop w:val="100"/>
      <w:marBottom w:val="0"/>
      <w:divBdr>
        <w:top w:val="none" w:sz="0" w:space="0" w:color="auto"/>
        <w:left w:val="none" w:sz="0" w:space="0" w:color="auto"/>
        <w:bottom w:val="none" w:sz="0" w:space="0" w:color="auto"/>
        <w:right w:val="none" w:sz="0" w:space="0" w:color="auto"/>
      </w:divBdr>
      <w:divsChild>
        <w:div w:id="1176188554">
          <w:marLeft w:val="0"/>
          <w:marRight w:val="0"/>
          <w:marTop w:val="0"/>
          <w:marBottom w:val="0"/>
          <w:divBdr>
            <w:top w:val="none" w:sz="0" w:space="0" w:color="auto"/>
            <w:left w:val="none" w:sz="0" w:space="0" w:color="auto"/>
            <w:bottom w:val="none" w:sz="0" w:space="0" w:color="auto"/>
            <w:right w:val="none" w:sz="0" w:space="0" w:color="auto"/>
          </w:divBdr>
        </w:div>
        <w:div w:id="1817255907">
          <w:marLeft w:val="0"/>
          <w:marRight w:val="0"/>
          <w:marTop w:val="0"/>
          <w:marBottom w:val="0"/>
          <w:divBdr>
            <w:top w:val="none" w:sz="0" w:space="0" w:color="auto"/>
            <w:left w:val="none" w:sz="0" w:space="0" w:color="auto"/>
            <w:bottom w:val="none" w:sz="0" w:space="0" w:color="auto"/>
            <w:right w:val="none" w:sz="0" w:space="0" w:color="auto"/>
          </w:divBdr>
        </w:div>
      </w:divsChild>
    </w:div>
    <w:div w:id="168254801">
      <w:marLeft w:val="0"/>
      <w:marRight w:val="0"/>
      <w:marTop w:val="0"/>
      <w:marBottom w:val="60"/>
      <w:divBdr>
        <w:top w:val="none" w:sz="0" w:space="0" w:color="auto"/>
        <w:left w:val="none" w:sz="0" w:space="0" w:color="auto"/>
        <w:bottom w:val="none" w:sz="0" w:space="0" w:color="auto"/>
        <w:right w:val="none" w:sz="0" w:space="0" w:color="auto"/>
      </w:divBdr>
    </w:div>
    <w:div w:id="170461763">
      <w:marLeft w:val="0"/>
      <w:marRight w:val="0"/>
      <w:marTop w:val="0"/>
      <w:marBottom w:val="0"/>
      <w:divBdr>
        <w:top w:val="none" w:sz="0" w:space="0" w:color="auto"/>
        <w:left w:val="none" w:sz="0" w:space="0" w:color="auto"/>
        <w:bottom w:val="none" w:sz="0" w:space="0" w:color="auto"/>
        <w:right w:val="none" w:sz="0" w:space="0" w:color="auto"/>
      </w:divBdr>
    </w:div>
    <w:div w:id="171604725">
      <w:marLeft w:val="0"/>
      <w:marRight w:val="0"/>
      <w:marTop w:val="0"/>
      <w:marBottom w:val="0"/>
      <w:divBdr>
        <w:top w:val="none" w:sz="0" w:space="0" w:color="auto"/>
        <w:left w:val="none" w:sz="0" w:space="0" w:color="auto"/>
        <w:bottom w:val="none" w:sz="0" w:space="0" w:color="auto"/>
        <w:right w:val="none" w:sz="0" w:space="0" w:color="auto"/>
      </w:divBdr>
    </w:div>
    <w:div w:id="171798509">
      <w:marLeft w:val="0"/>
      <w:marRight w:val="0"/>
      <w:marTop w:val="0"/>
      <w:marBottom w:val="0"/>
      <w:divBdr>
        <w:top w:val="none" w:sz="0" w:space="0" w:color="auto"/>
        <w:left w:val="none" w:sz="0" w:space="0" w:color="auto"/>
        <w:bottom w:val="none" w:sz="0" w:space="0" w:color="auto"/>
        <w:right w:val="none" w:sz="0" w:space="0" w:color="auto"/>
      </w:divBdr>
      <w:divsChild>
        <w:div w:id="1767574395">
          <w:marLeft w:val="0"/>
          <w:marRight w:val="0"/>
          <w:marTop w:val="0"/>
          <w:marBottom w:val="0"/>
          <w:divBdr>
            <w:top w:val="none" w:sz="0" w:space="0" w:color="auto"/>
            <w:left w:val="none" w:sz="0" w:space="0" w:color="auto"/>
            <w:bottom w:val="none" w:sz="0" w:space="0" w:color="auto"/>
            <w:right w:val="none" w:sz="0" w:space="0" w:color="auto"/>
          </w:divBdr>
        </w:div>
      </w:divsChild>
    </w:div>
    <w:div w:id="172114182">
      <w:marLeft w:val="0"/>
      <w:marRight w:val="0"/>
      <w:marTop w:val="0"/>
      <w:marBottom w:val="180"/>
      <w:divBdr>
        <w:top w:val="none" w:sz="0" w:space="0" w:color="auto"/>
        <w:left w:val="none" w:sz="0" w:space="0" w:color="auto"/>
        <w:bottom w:val="none" w:sz="0" w:space="0" w:color="auto"/>
        <w:right w:val="none" w:sz="0" w:space="0" w:color="auto"/>
      </w:divBdr>
    </w:div>
    <w:div w:id="173081392">
      <w:marLeft w:val="0"/>
      <w:marRight w:val="0"/>
      <w:marTop w:val="0"/>
      <w:marBottom w:val="0"/>
      <w:divBdr>
        <w:top w:val="none" w:sz="0" w:space="0" w:color="auto"/>
        <w:left w:val="none" w:sz="0" w:space="0" w:color="auto"/>
        <w:bottom w:val="none" w:sz="0" w:space="0" w:color="auto"/>
        <w:right w:val="none" w:sz="0" w:space="0" w:color="auto"/>
      </w:divBdr>
    </w:div>
    <w:div w:id="174543537">
      <w:marLeft w:val="0"/>
      <w:marRight w:val="0"/>
      <w:marTop w:val="180"/>
      <w:marBottom w:val="180"/>
      <w:divBdr>
        <w:top w:val="none" w:sz="0" w:space="0" w:color="auto"/>
        <w:left w:val="none" w:sz="0" w:space="0" w:color="auto"/>
        <w:bottom w:val="none" w:sz="0" w:space="0" w:color="auto"/>
        <w:right w:val="none" w:sz="0" w:space="0" w:color="auto"/>
      </w:divBdr>
    </w:div>
    <w:div w:id="175386342">
      <w:marLeft w:val="0"/>
      <w:marRight w:val="0"/>
      <w:marTop w:val="100"/>
      <w:marBottom w:val="0"/>
      <w:divBdr>
        <w:top w:val="none" w:sz="0" w:space="0" w:color="auto"/>
        <w:left w:val="none" w:sz="0" w:space="0" w:color="auto"/>
        <w:bottom w:val="none" w:sz="0" w:space="0" w:color="auto"/>
        <w:right w:val="none" w:sz="0" w:space="0" w:color="auto"/>
      </w:divBdr>
    </w:div>
    <w:div w:id="175968012">
      <w:marLeft w:val="0"/>
      <w:marRight w:val="0"/>
      <w:marTop w:val="0"/>
      <w:marBottom w:val="0"/>
      <w:divBdr>
        <w:top w:val="none" w:sz="0" w:space="0" w:color="auto"/>
        <w:left w:val="none" w:sz="0" w:space="0" w:color="auto"/>
        <w:bottom w:val="none" w:sz="0" w:space="0" w:color="auto"/>
        <w:right w:val="none" w:sz="0" w:space="0" w:color="auto"/>
      </w:divBdr>
      <w:divsChild>
        <w:div w:id="536430297">
          <w:marLeft w:val="0"/>
          <w:marRight w:val="0"/>
          <w:marTop w:val="0"/>
          <w:marBottom w:val="0"/>
          <w:divBdr>
            <w:top w:val="none" w:sz="0" w:space="0" w:color="auto"/>
            <w:left w:val="none" w:sz="0" w:space="0" w:color="auto"/>
            <w:bottom w:val="none" w:sz="0" w:space="0" w:color="auto"/>
            <w:right w:val="none" w:sz="0" w:space="0" w:color="auto"/>
          </w:divBdr>
        </w:div>
      </w:divsChild>
    </w:div>
    <w:div w:id="176430084">
      <w:marLeft w:val="0"/>
      <w:marRight w:val="0"/>
      <w:marTop w:val="0"/>
      <w:marBottom w:val="0"/>
      <w:divBdr>
        <w:top w:val="none" w:sz="0" w:space="0" w:color="auto"/>
        <w:left w:val="none" w:sz="0" w:space="0" w:color="auto"/>
        <w:bottom w:val="none" w:sz="0" w:space="0" w:color="auto"/>
        <w:right w:val="none" w:sz="0" w:space="0" w:color="auto"/>
      </w:divBdr>
      <w:divsChild>
        <w:div w:id="865480791">
          <w:marLeft w:val="0"/>
          <w:marRight w:val="0"/>
          <w:marTop w:val="0"/>
          <w:marBottom w:val="0"/>
          <w:divBdr>
            <w:top w:val="none" w:sz="0" w:space="0" w:color="auto"/>
            <w:left w:val="none" w:sz="0" w:space="0" w:color="auto"/>
            <w:bottom w:val="none" w:sz="0" w:space="0" w:color="auto"/>
            <w:right w:val="none" w:sz="0" w:space="0" w:color="auto"/>
          </w:divBdr>
        </w:div>
      </w:divsChild>
    </w:div>
    <w:div w:id="176504962">
      <w:marLeft w:val="0"/>
      <w:marRight w:val="0"/>
      <w:marTop w:val="0"/>
      <w:marBottom w:val="180"/>
      <w:divBdr>
        <w:top w:val="none" w:sz="0" w:space="0" w:color="auto"/>
        <w:left w:val="none" w:sz="0" w:space="0" w:color="auto"/>
        <w:bottom w:val="none" w:sz="0" w:space="0" w:color="auto"/>
        <w:right w:val="none" w:sz="0" w:space="0" w:color="auto"/>
      </w:divBdr>
    </w:div>
    <w:div w:id="177543840">
      <w:marLeft w:val="0"/>
      <w:marRight w:val="0"/>
      <w:marTop w:val="0"/>
      <w:marBottom w:val="240"/>
      <w:divBdr>
        <w:top w:val="none" w:sz="0" w:space="0" w:color="auto"/>
        <w:left w:val="none" w:sz="0" w:space="0" w:color="auto"/>
        <w:bottom w:val="none" w:sz="0" w:space="0" w:color="auto"/>
        <w:right w:val="none" w:sz="0" w:space="0" w:color="auto"/>
      </w:divBdr>
    </w:div>
    <w:div w:id="177621272">
      <w:marLeft w:val="0"/>
      <w:marRight w:val="0"/>
      <w:marTop w:val="0"/>
      <w:marBottom w:val="0"/>
      <w:divBdr>
        <w:top w:val="none" w:sz="0" w:space="0" w:color="auto"/>
        <w:left w:val="none" w:sz="0" w:space="0" w:color="auto"/>
        <w:bottom w:val="none" w:sz="0" w:space="0" w:color="auto"/>
        <w:right w:val="none" w:sz="0" w:space="0" w:color="auto"/>
      </w:divBdr>
      <w:divsChild>
        <w:div w:id="362945008">
          <w:marLeft w:val="0"/>
          <w:marRight w:val="0"/>
          <w:marTop w:val="0"/>
          <w:marBottom w:val="0"/>
          <w:divBdr>
            <w:top w:val="none" w:sz="0" w:space="0" w:color="auto"/>
            <w:left w:val="none" w:sz="0" w:space="0" w:color="auto"/>
            <w:bottom w:val="none" w:sz="0" w:space="0" w:color="auto"/>
            <w:right w:val="none" w:sz="0" w:space="0" w:color="auto"/>
          </w:divBdr>
        </w:div>
      </w:divsChild>
    </w:div>
    <w:div w:id="179394756">
      <w:marLeft w:val="0"/>
      <w:marRight w:val="0"/>
      <w:marTop w:val="0"/>
      <w:marBottom w:val="240"/>
      <w:divBdr>
        <w:top w:val="none" w:sz="0" w:space="0" w:color="auto"/>
        <w:left w:val="none" w:sz="0" w:space="0" w:color="auto"/>
        <w:bottom w:val="none" w:sz="0" w:space="0" w:color="auto"/>
        <w:right w:val="none" w:sz="0" w:space="0" w:color="auto"/>
      </w:divBdr>
    </w:div>
    <w:div w:id="181166587">
      <w:marLeft w:val="0"/>
      <w:marRight w:val="0"/>
      <w:marTop w:val="0"/>
      <w:marBottom w:val="180"/>
      <w:divBdr>
        <w:top w:val="none" w:sz="0" w:space="0" w:color="auto"/>
        <w:left w:val="none" w:sz="0" w:space="0" w:color="auto"/>
        <w:bottom w:val="none" w:sz="0" w:space="0" w:color="auto"/>
        <w:right w:val="none" w:sz="0" w:space="0" w:color="auto"/>
      </w:divBdr>
    </w:div>
    <w:div w:id="181281510">
      <w:marLeft w:val="0"/>
      <w:marRight w:val="0"/>
      <w:marTop w:val="180"/>
      <w:marBottom w:val="180"/>
      <w:divBdr>
        <w:top w:val="none" w:sz="0" w:space="0" w:color="auto"/>
        <w:left w:val="none" w:sz="0" w:space="0" w:color="auto"/>
        <w:bottom w:val="none" w:sz="0" w:space="0" w:color="auto"/>
        <w:right w:val="none" w:sz="0" w:space="0" w:color="auto"/>
      </w:divBdr>
    </w:div>
    <w:div w:id="182323304">
      <w:marLeft w:val="0"/>
      <w:marRight w:val="0"/>
      <w:marTop w:val="0"/>
      <w:marBottom w:val="240"/>
      <w:divBdr>
        <w:top w:val="none" w:sz="0" w:space="0" w:color="auto"/>
        <w:left w:val="none" w:sz="0" w:space="0" w:color="auto"/>
        <w:bottom w:val="none" w:sz="0" w:space="0" w:color="auto"/>
        <w:right w:val="none" w:sz="0" w:space="0" w:color="auto"/>
      </w:divBdr>
    </w:div>
    <w:div w:id="183179265">
      <w:marLeft w:val="0"/>
      <w:marRight w:val="0"/>
      <w:marTop w:val="120"/>
      <w:marBottom w:val="120"/>
      <w:divBdr>
        <w:top w:val="none" w:sz="0" w:space="0" w:color="auto"/>
        <w:left w:val="none" w:sz="0" w:space="0" w:color="auto"/>
        <w:bottom w:val="none" w:sz="0" w:space="0" w:color="auto"/>
        <w:right w:val="none" w:sz="0" w:space="0" w:color="auto"/>
      </w:divBdr>
    </w:div>
    <w:div w:id="183447110">
      <w:marLeft w:val="0"/>
      <w:marRight w:val="0"/>
      <w:marTop w:val="0"/>
      <w:marBottom w:val="0"/>
      <w:divBdr>
        <w:top w:val="none" w:sz="0" w:space="0" w:color="auto"/>
        <w:left w:val="none" w:sz="0" w:space="0" w:color="auto"/>
        <w:bottom w:val="none" w:sz="0" w:space="0" w:color="auto"/>
        <w:right w:val="none" w:sz="0" w:space="0" w:color="auto"/>
      </w:divBdr>
      <w:divsChild>
        <w:div w:id="1055078744">
          <w:marLeft w:val="0"/>
          <w:marRight w:val="0"/>
          <w:marTop w:val="0"/>
          <w:marBottom w:val="0"/>
          <w:divBdr>
            <w:top w:val="none" w:sz="0" w:space="0" w:color="auto"/>
            <w:left w:val="none" w:sz="0" w:space="0" w:color="auto"/>
            <w:bottom w:val="none" w:sz="0" w:space="0" w:color="auto"/>
            <w:right w:val="none" w:sz="0" w:space="0" w:color="auto"/>
          </w:divBdr>
        </w:div>
      </w:divsChild>
    </w:div>
    <w:div w:id="183792750">
      <w:marLeft w:val="0"/>
      <w:marRight w:val="0"/>
      <w:marTop w:val="0"/>
      <w:marBottom w:val="180"/>
      <w:divBdr>
        <w:top w:val="none" w:sz="0" w:space="0" w:color="auto"/>
        <w:left w:val="none" w:sz="0" w:space="0" w:color="auto"/>
        <w:bottom w:val="none" w:sz="0" w:space="0" w:color="auto"/>
        <w:right w:val="none" w:sz="0" w:space="0" w:color="auto"/>
      </w:divBdr>
    </w:div>
    <w:div w:id="184249179">
      <w:marLeft w:val="0"/>
      <w:marRight w:val="0"/>
      <w:marTop w:val="0"/>
      <w:marBottom w:val="0"/>
      <w:divBdr>
        <w:top w:val="none" w:sz="0" w:space="0" w:color="auto"/>
        <w:left w:val="none" w:sz="0" w:space="0" w:color="auto"/>
        <w:bottom w:val="none" w:sz="0" w:space="0" w:color="auto"/>
        <w:right w:val="none" w:sz="0" w:space="0" w:color="auto"/>
      </w:divBdr>
    </w:div>
    <w:div w:id="184297671">
      <w:marLeft w:val="0"/>
      <w:marRight w:val="0"/>
      <w:marTop w:val="0"/>
      <w:marBottom w:val="240"/>
      <w:divBdr>
        <w:top w:val="none" w:sz="0" w:space="0" w:color="auto"/>
        <w:left w:val="none" w:sz="0" w:space="0" w:color="auto"/>
        <w:bottom w:val="none" w:sz="0" w:space="0" w:color="auto"/>
        <w:right w:val="none" w:sz="0" w:space="0" w:color="auto"/>
      </w:divBdr>
    </w:div>
    <w:div w:id="185339063">
      <w:marLeft w:val="0"/>
      <w:marRight w:val="0"/>
      <w:marTop w:val="0"/>
      <w:marBottom w:val="240"/>
      <w:divBdr>
        <w:top w:val="none" w:sz="0" w:space="0" w:color="auto"/>
        <w:left w:val="none" w:sz="0" w:space="0" w:color="auto"/>
        <w:bottom w:val="none" w:sz="0" w:space="0" w:color="auto"/>
        <w:right w:val="none" w:sz="0" w:space="0" w:color="auto"/>
      </w:divBdr>
    </w:div>
    <w:div w:id="186021689">
      <w:marLeft w:val="0"/>
      <w:marRight w:val="0"/>
      <w:marTop w:val="0"/>
      <w:marBottom w:val="240"/>
      <w:divBdr>
        <w:top w:val="none" w:sz="0" w:space="0" w:color="auto"/>
        <w:left w:val="none" w:sz="0" w:space="0" w:color="auto"/>
        <w:bottom w:val="none" w:sz="0" w:space="0" w:color="auto"/>
        <w:right w:val="none" w:sz="0" w:space="0" w:color="auto"/>
      </w:divBdr>
    </w:div>
    <w:div w:id="186141177">
      <w:marLeft w:val="0"/>
      <w:marRight w:val="0"/>
      <w:marTop w:val="0"/>
      <w:marBottom w:val="180"/>
      <w:divBdr>
        <w:top w:val="none" w:sz="0" w:space="0" w:color="auto"/>
        <w:left w:val="none" w:sz="0" w:space="0" w:color="auto"/>
        <w:bottom w:val="none" w:sz="0" w:space="0" w:color="auto"/>
        <w:right w:val="none" w:sz="0" w:space="0" w:color="auto"/>
      </w:divBdr>
    </w:div>
    <w:div w:id="186723510">
      <w:marLeft w:val="0"/>
      <w:marRight w:val="0"/>
      <w:marTop w:val="0"/>
      <w:marBottom w:val="240"/>
      <w:divBdr>
        <w:top w:val="none" w:sz="0" w:space="0" w:color="auto"/>
        <w:left w:val="none" w:sz="0" w:space="0" w:color="auto"/>
        <w:bottom w:val="none" w:sz="0" w:space="0" w:color="auto"/>
        <w:right w:val="none" w:sz="0" w:space="0" w:color="auto"/>
      </w:divBdr>
    </w:div>
    <w:div w:id="187836862">
      <w:marLeft w:val="0"/>
      <w:marRight w:val="0"/>
      <w:marTop w:val="100"/>
      <w:marBottom w:val="240"/>
      <w:divBdr>
        <w:top w:val="none" w:sz="0" w:space="0" w:color="auto"/>
        <w:left w:val="none" w:sz="0" w:space="0" w:color="auto"/>
        <w:bottom w:val="none" w:sz="0" w:space="0" w:color="auto"/>
        <w:right w:val="none" w:sz="0" w:space="0" w:color="auto"/>
      </w:divBdr>
    </w:div>
    <w:div w:id="188376794">
      <w:marLeft w:val="0"/>
      <w:marRight w:val="0"/>
      <w:marTop w:val="0"/>
      <w:marBottom w:val="240"/>
      <w:divBdr>
        <w:top w:val="none" w:sz="0" w:space="0" w:color="auto"/>
        <w:left w:val="none" w:sz="0" w:space="0" w:color="auto"/>
        <w:bottom w:val="none" w:sz="0" w:space="0" w:color="auto"/>
        <w:right w:val="none" w:sz="0" w:space="0" w:color="auto"/>
      </w:divBdr>
    </w:div>
    <w:div w:id="189925534">
      <w:marLeft w:val="0"/>
      <w:marRight w:val="0"/>
      <w:marTop w:val="0"/>
      <w:marBottom w:val="180"/>
      <w:divBdr>
        <w:top w:val="none" w:sz="0" w:space="0" w:color="auto"/>
        <w:left w:val="none" w:sz="0" w:space="0" w:color="auto"/>
        <w:bottom w:val="none" w:sz="0" w:space="0" w:color="auto"/>
        <w:right w:val="none" w:sz="0" w:space="0" w:color="auto"/>
      </w:divBdr>
    </w:div>
    <w:div w:id="192500557">
      <w:marLeft w:val="0"/>
      <w:marRight w:val="0"/>
      <w:marTop w:val="180"/>
      <w:marBottom w:val="180"/>
      <w:divBdr>
        <w:top w:val="none" w:sz="0" w:space="0" w:color="auto"/>
        <w:left w:val="none" w:sz="0" w:space="0" w:color="auto"/>
        <w:bottom w:val="none" w:sz="0" w:space="0" w:color="auto"/>
        <w:right w:val="none" w:sz="0" w:space="0" w:color="auto"/>
      </w:divBdr>
    </w:div>
    <w:div w:id="192771329">
      <w:marLeft w:val="0"/>
      <w:marRight w:val="0"/>
      <w:marTop w:val="180"/>
      <w:marBottom w:val="180"/>
      <w:divBdr>
        <w:top w:val="none" w:sz="0" w:space="0" w:color="auto"/>
        <w:left w:val="none" w:sz="0" w:space="0" w:color="auto"/>
        <w:bottom w:val="none" w:sz="0" w:space="0" w:color="auto"/>
        <w:right w:val="none" w:sz="0" w:space="0" w:color="auto"/>
      </w:divBdr>
    </w:div>
    <w:div w:id="192887403">
      <w:marLeft w:val="0"/>
      <w:marRight w:val="0"/>
      <w:marTop w:val="0"/>
      <w:marBottom w:val="180"/>
      <w:divBdr>
        <w:top w:val="none" w:sz="0" w:space="0" w:color="auto"/>
        <w:left w:val="none" w:sz="0" w:space="0" w:color="auto"/>
        <w:bottom w:val="none" w:sz="0" w:space="0" w:color="auto"/>
        <w:right w:val="none" w:sz="0" w:space="0" w:color="auto"/>
      </w:divBdr>
    </w:div>
    <w:div w:id="193538577">
      <w:marLeft w:val="0"/>
      <w:marRight w:val="0"/>
      <w:marTop w:val="0"/>
      <w:marBottom w:val="240"/>
      <w:divBdr>
        <w:top w:val="none" w:sz="0" w:space="0" w:color="auto"/>
        <w:left w:val="none" w:sz="0" w:space="0" w:color="auto"/>
        <w:bottom w:val="none" w:sz="0" w:space="0" w:color="auto"/>
        <w:right w:val="none" w:sz="0" w:space="0" w:color="auto"/>
      </w:divBdr>
    </w:div>
    <w:div w:id="193856670">
      <w:marLeft w:val="0"/>
      <w:marRight w:val="0"/>
      <w:marTop w:val="0"/>
      <w:marBottom w:val="240"/>
      <w:divBdr>
        <w:top w:val="none" w:sz="0" w:space="0" w:color="auto"/>
        <w:left w:val="none" w:sz="0" w:space="0" w:color="auto"/>
        <w:bottom w:val="none" w:sz="0" w:space="0" w:color="auto"/>
        <w:right w:val="none" w:sz="0" w:space="0" w:color="auto"/>
      </w:divBdr>
    </w:div>
    <w:div w:id="194999567">
      <w:marLeft w:val="0"/>
      <w:marRight w:val="0"/>
      <w:marTop w:val="0"/>
      <w:marBottom w:val="0"/>
      <w:divBdr>
        <w:top w:val="none" w:sz="0" w:space="0" w:color="auto"/>
        <w:left w:val="none" w:sz="0" w:space="0" w:color="auto"/>
        <w:bottom w:val="none" w:sz="0" w:space="0" w:color="auto"/>
        <w:right w:val="none" w:sz="0" w:space="0" w:color="auto"/>
      </w:divBdr>
    </w:div>
    <w:div w:id="196234144">
      <w:marLeft w:val="0"/>
      <w:marRight w:val="0"/>
      <w:marTop w:val="0"/>
      <w:marBottom w:val="180"/>
      <w:divBdr>
        <w:top w:val="none" w:sz="0" w:space="0" w:color="auto"/>
        <w:left w:val="none" w:sz="0" w:space="0" w:color="auto"/>
        <w:bottom w:val="none" w:sz="0" w:space="0" w:color="auto"/>
        <w:right w:val="none" w:sz="0" w:space="0" w:color="auto"/>
      </w:divBdr>
    </w:div>
    <w:div w:id="199437177">
      <w:marLeft w:val="0"/>
      <w:marRight w:val="0"/>
      <w:marTop w:val="0"/>
      <w:marBottom w:val="0"/>
      <w:divBdr>
        <w:top w:val="none" w:sz="0" w:space="0" w:color="auto"/>
        <w:left w:val="none" w:sz="0" w:space="0" w:color="auto"/>
        <w:bottom w:val="none" w:sz="0" w:space="0" w:color="auto"/>
        <w:right w:val="none" w:sz="0" w:space="0" w:color="auto"/>
      </w:divBdr>
      <w:divsChild>
        <w:div w:id="145364640">
          <w:marLeft w:val="0"/>
          <w:marRight w:val="0"/>
          <w:marTop w:val="0"/>
          <w:marBottom w:val="0"/>
          <w:divBdr>
            <w:top w:val="none" w:sz="0" w:space="0" w:color="auto"/>
            <w:left w:val="none" w:sz="0" w:space="0" w:color="auto"/>
            <w:bottom w:val="none" w:sz="0" w:space="0" w:color="auto"/>
            <w:right w:val="none" w:sz="0" w:space="0" w:color="auto"/>
          </w:divBdr>
        </w:div>
      </w:divsChild>
    </w:div>
    <w:div w:id="199632123">
      <w:marLeft w:val="0"/>
      <w:marRight w:val="0"/>
      <w:marTop w:val="100"/>
      <w:marBottom w:val="180"/>
      <w:divBdr>
        <w:top w:val="none" w:sz="0" w:space="0" w:color="auto"/>
        <w:left w:val="none" w:sz="0" w:space="0" w:color="auto"/>
        <w:bottom w:val="none" w:sz="0" w:space="0" w:color="auto"/>
        <w:right w:val="none" w:sz="0" w:space="0" w:color="auto"/>
      </w:divBdr>
    </w:div>
    <w:div w:id="200478084">
      <w:marLeft w:val="0"/>
      <w:marRight w:val="0"/>
      <w:marTop w:val="0"/>
      <w:marBottom w:val="240"/>
      <w:divBdr>
        <w:top w:val="none" w:sz="0" w:space="0" w:color="auto"/>
        <w:left w:val="none" w:sz="0" w:space="0" w:color="auto"/>
        <w:bottom w:val="none" w:sz="0" w:space="0" w:color="auto"/>
        <w:right w:val="none" w:sz="0" w:space="0" w:color="auto"/>
      </w:divBdr>
    </w:div>
    <w:div w:id="201022278">
      <w:marLeft w:val="0"/>
      <w:marRight w:val="0"/>
      <w:marTop w:val="0"/>
      <w:marBottom w:val="240"/>
      <w:divBdr>
        <w:top w:val="none" w:sz="0" w:space="0" w:color="auto"/>
        <w:left w:val="none" w:sz="0" w:space="0" w:color="auto"/>
        <w:bottom w:val="none" w:sz="0" w:space="0" w:color="auto"/>
        <w:right w:val="none" w:sz="0" w:space="0" w:color="auto"/>
      </w:divBdr>
    </w:div>
    <w:div w:id="202911579">
      <w:marLeft w:val="0"/>
      <w:marRight w:val="0"/>
      <w:marTop w:val="0"/>
      <w:marBottom w:val="240"/>
      <w:divBdr>
        <w:top w:val="none" w:sz="0" w:space="0" w:color="auto"/>
        <w:left w:val="none" w:sz="0" w:space="0" w:color="auto"/>
        <w:bottom w:val="none" w:sz="0" w:space="0" w:color="auto"/>
        <w:right w:val="none" w:sz="0" w:space="0" w:color="auto"/>
      </w:divBdr>
    </w:div>
    <w:div w:id="204946959">
      <w:marLeft w:val="0"/>
      <w:marRight w:val="0"/>
      <w:marTop w:val="0"/>
      <w:marBottom w:val="180"/>
      <w:divBdr>
        <w:top w:val="none" w:sz="0" w:space="0" w:color="auto"/>
        <w:left w:val="none" w:sz="0" w:space="0" w:color="auto"/>
        <w:bottom w:val="none" w:sz="0" w:space="0" w:color="auto"/>
        <w:right w:val="none" w:sz="0" w:space="0" w:color="auto"/>
      </w:divBdr>
    </w:div>
    <w:div w:id="205029338">
      <w:marLeft w:val="0"/>
      <w:marRight w:val="0"/>
      <w:marTop w:val="0"/>
      <w:marBottom w:val="0"/>
      <w:divBdr>
        <w:top w:val="none" w:sz="0" w:space="0" w:color="auto"/>
        <w:left w:val="none" w:sz="0" w:space="0" w:color="auto"/>
        <w:bottom w:val="none" w:sz="0" w:space="0" w:color="auto"/>
        <w:right w:val="none" w:sz="0" w:space="0" w:color="auto"/>
      </w:divBdr>
    </w:div>
    <w:div w:id="205259048">
      <w:marLeft w:val="0"/>
      <w:marRight w:val="0"/>
      <w:marTop w:val="0"/>
      <w:marBottom w:val="0"/>
      <w:divBdr>
        <w:top w:val="none" w:sz="0" w:space="0" w:color="auto"/>
        <w:left w:val="none" w:sz="0" w:space="0" w:color="auto"/>
        <w:bottom w:val="none" w:sz="0" w:space="0" w:color="auto"/>
        <w:right w:val="none" w:sz="0" w:space="0" w:color="auto"/>
      </w:divBdr>
    </w:div>
    <w:div w:id="205417064">
      <w:marLeft w:val="0"/>
      <w:marRight w:val="0"/>
      <w:marTop w:val="0"/>
      <w:marBottom w:val="240"/>
      <w:divBdr>
        <w:top w:val="none" w:sz="0" w:space="0" w:color="auto"/>
        <w:left w:val="none" w:sz="0" w:space="0" w:color="auto"/>
        <w:bottom w:val="none" w:sz="0" w:space="0" w:color="auto"/>
        <w:right w:val="none" w:sz="0" w:space="0" w:color="auto"/>
      </w:divBdr>
    </w:div>
    <w:div w:id="205526286">
      <w:marLeft w:val="0"/>
      <w:marRight w:val="0"/>
      <w:marTop w:val="0"/>
      <w:marBottom w:val="180"/>
      <w:divBdr>
        <w:top w:val="none" w:sz="0" w:space="0" w:color="auto"/>
        <w:left w:val="none" w:sz="0" w:space="0" w:color="auto"/>
        <w:bottom w:val="none" w:sz="0" w:space="0" w:color="auto"/>
        <w:right w:val="none" w:sz="0" w:space="0" w:color="auto"/>
      </w:divBdr>
    </w:div>
    <w:div w:id="205871606">
      <w:marLeft w:val="0"/>
      <w:marRight w:val="0"/>
      <w:marTop w:val="0"/>
      <w:marBottom w:val="0"/>
      <w:divBdr>
        <w:top w:val="none" w:sz="0" w:space="0" w:color="auto"/>
        <w:left w:val="none" w:sz="0" w:space="0" w:color="auto"/>
        <w:bottom w:val="none" w:sz="0" w:space="0" w:color="auto"/>
        <w:right w:val="none" w:sz="0" w:space="0" w:color="auto"/>
      </w:divBdr>
      <w:divsChild>
        <w:div w:id="876045156">
          <w:marLeft w:val="0"/>
          <w:marRight w:val="0"/>
          <w:marTop w:val="0"/>
          <w:marBottom w:val="0"/>
          <w:divBdr>
            <w:top w:val="none" w:sz="0" w:space="0" w:color="auto"/>
            <w:left w:val="none" w:sz="0" w:space="0" w:color="auto"/>
            <w:bottom w:val="none" w:sz="0" w:space="0" w:color="auto"/>
            <w:right w:val="none" w:sz="0" w:space="0" w:color="auto"/>
          </w:divBdr>
        </w:div>
      </w:divsChild>
    </w:div>
    <w:div w:id="206377920">
      <w:marLeft w:val="0"/>
      <w:marRight w:val="0"/>
      <w:marTop w:val="180"/>
      <w:marBottom w:val="240"/>
      <w:divBdr>
        <w:top w:val="none" w:sz="0" w:space="0" w:color="auto"/>
        <w:left w:val="none" w:sz="0" w:space="0" w:color="auto"/>
        <w:bottom w:val="none" w:sz="0" w:space="0" w:color="auto"/>
        <w:right w:val="none" w:sz="0" w:space="0" w:color="auto"/>
      </w:divBdr>
    </w:div>
    <w:div w:id="207423273">
      <w:marLeft w:val="0"/>
      <w:marRight w:val="0"/>
      <w:marTop w:val="60"/>
      <w:marBottom w:val="60"/>
      <w:divBdr>
        <w:top w:val="none" w:sz="0" w:space="0" w:color="auto"/>
        <w:left w:val="none" w:sz="0" w:space="0" w:color="auto"/>
        <w:bottom w:val="none" w:sz="0" w:space="0" w:color="auto"/>
        <w:right w:val="none" w:sz="0" w:space="0" w:color="auto"/>
      </w:divBdr>
    </w:div>
    <w:div w:id="207648864">
      <w:marLeft w:val="0"/>
      <w:marRight w:val="0"/>
      <w:marTop w:val="0"/>
      <w:marBottom w:val="0"/>
      <w:divBdr>
        <w:top w:val="none" w:sz="0" w:space="0" w:color="auto"/>
        <w:left w:val="none" w:sz="0" w:space="0" w:color="auto"/>
        <w:bottom w:val="none" w:sz="0" w:space="0" w:color="auto"/>
        <w:right w:val="none" w:sz="0" w:space="0" w:color="auto"/>
      </w:divBdr>
      <w:divsChild>
        <w:div w:id="1981689933">
          <w:marLeft w:val="0"/>
          <w:marRight w:val="0"/>
          <w:marTop w:val="0"/>
          <w:marBottom w:val="0"/>
          <w:divBdr>
            <w:top w:val="none" w:sz="0" w:space="0" w:color="auto"/>
            <w:left w:val="none" w:sz="0" w:space="0" w:color="auto"/>
            <w:bottom w:val="none" w:sz="0" w:space="0" w:color="auto"/>
            <w:right w:val="none" w:sz="0" w:space="0" w:color="auto"/>
          </w:divBdr>
        </w:div>
      </w:divsChild>
    </w:div>
    <w:div w:id="208032606">
      <w:marLeft w:val="0"/>
      <w:marRight w:val="0"/>
      <w:marTop w:val="0"/>
      <w:marBottom w:val="180"/>
      <w:divBdr>
        <w:top w:val="none" w:sz="0" w:space="0" w:color="auto"/>
        <w:left w:val="none" w:sz="0" w:space="0" w:color="auto"/>
        <w:bottom w:val="none" w:sz="0" w:space="0" w:color="auto"/>
        <w:right w:val="none" w:sz="0" w:space="0" w:color="auto"/>
      </w:divBdr>
    </w:div>
    <w:div w:id="210658668">
      <w:marLeft w:val="0"/>
      <w:marRight w:val="0"/>
      <w:marTop w:val="180"/>
      <w:marBottom w:val="180"/>
      <w:divBdr>
        <w:top w:val="none" w:sz="0" w:space="0" w:color="auto"/>
        <w:left w:val="none" w:sz="0" w:space="0" w:color="auto"/>
        <w:bottom w:val="none" w:sz="0" w:space="0" w:color="auto"/>
        <w:right w:val="none" w:sz="0" w:space="0" w:color="auto"/>
      </w:divBdr>
    </w:div>
    <w:div w:id="210775518">
      <w:marLeft w:val="0"/>
      <w:marRight w:val="0"/>
      <w:marTop w:val="120"/>
      <w:marBottom w:val="120"/>
      <w:divBdr>
        <w:top w:val="none" w:sz="0" w:space="0" w:color="auto"/>
        <w:left w:val="none" w:sz="0" w:space="0" w:color="auto"/>
        <w:bottom w:val="none" w:sz="0" w:space="0" w:color="auto"/>
        <w:right w:val="none" w:sz="0" w:space="0" w:color="auto"/>
      </w:divBdr>
    </w:div>
    <w:div w:id="210923938">
      <w:marLeft w:val="0"/>
      <w:marRight w:val="0"/>
      <w:marTop w:val="0"/>
      <w:marBottom w:val="180"/>
      <w:divBdr>
        <w:top w:val="none" w:sz="0" w:space="0" w:color="auto"/>
        <w:left w:val="none" w:sz="0" w:space="0" w:color="auto"/>
        <w:bottom w:val="none" w:sz="0" w:space="0" w:color="auto"/>
        <w:right w:val="none" w:sz="0" w:space="0" w:color="auto"/>
      </w:divBdr>
    </w:div>
    <w:div w:id="211308328">
      <w:marLeft w:val="0"/>
      <w:marRight w:val="0"/>
      <w:marTop w:val="0"/>
      <w:marBottom w:val="240"/>
      <w:divBdr>
        <w:top w:val="none" w:sz="0" w:space="0" w:color="auto"/>
        <w:left w:val="none" w:sz="0" w:space="0" w:color="auto"/>
        <w:bottom w:val="none" w:sz="0" w:space="0" w:color="auto"/>
        <w:right w:val="none" w:sz="0" w:space="0" w:color="auto"/>
      </w:divBdr>
    </w:div>
    <w:div w:id="211692093">
      <w:marLeft w:val="0"/>
      <w:marRight w:val="0"/>
      <w:marTop w:val="120"/>
      <w:marBottom w:val="240"/>
      <w:divBdr>
        <w:top w:val="none" w:sz="0" w:space="0" w:color="auto"/>
        <w:left w:val="none" w:sz="0" w:space="0" w:color="auto"/>
        <w:bottom w:val="none" w:sz="0" w:space="0" w:color="auto"/>
        <w:right w:val="none" w:sz="0" w:space="0" w:color="auto"/>
      </w:divBdr>
    </w:div>
    <w:div w:id="211962315">
      <w:marLeft w:val="0"/>
      <w:marRight w:val="0"/>
      <w:marTop w:val="180"/>
      <w:marBottom w:val="180"/>
      <w:divBdr>
        <w:top w:val="none" w:sz="0" w:space="0" w:color="auto"/>
        <w:left w:val="none" w:sz="0" w:space="0" w:color="auto"/>
        <w:bottom w:val="none" w:sz="0" w:space="0" w:color="auto"/>
        <w:right w:val="none" w:sz="0" w:space="0" w:color="auto"/>
      </w:divBdr>
    </w:div>
    <w:div w:id="212354920">
      <w:marLeft w:val="0"/>
      <w:marRight w:val="0"/>
      <w:marTop w:val="120"/>
      <w:marBottom w:val="180"/>
      <w:divBdr>
        <w:top w:val="none" w:sz="0" w:space="0" w:color="auto"/>
        <w:left w:val="none" w:sz="0" w:space="0" w:color="auto"/>
        <w:bottom w:val="none" w:sz="0" w:space="0" w:color="auto"/>
        <w:right w:val="none" w:sz="0" w:space="0" w:color="auto"/>
      </w:divBdr>
    </w:div>
    <w:div w:id="213271777">
      <w:marLeft w:val="0"/>
      <w:marRight w:val="0"/>
      <w:marTop w:val="0"/>
      <w:marBottom w:val="0"/>
      <w:divBdr>
        <w:top w:val="none" w:sz="0" w:space="0" w:color="auto"/>
        <w:left w:val="none" w:sz="0" w:space="0" w:color="auto"/>
        <w:bottom w:val="none" w:sz="0" w:space="0" w:color="auto"/>
        <w:right w:val="none" w:sz="0" w:space="0" w:color="auto"/>
      </w:divBdr>
    </w:div>
    <w:div w:id="213739664">
      <w:marLeft w:val="0"/>
      <w:marRight w:val="0"/>
      <w:marTop w:val="0"/>
      <w:marBottom w:val="0"/>
      <w:divBdr>
        <w:top w:val="none" w:sz="0" w:space="0" w:color="auto"/>
        <w:left w:val="none" w:sz="0" w:space="0" w:color="auto"/>
        <w:bottom w:val="none" w:sz="0" w:space="0" w:color="auto"/>
        <w:right w:val="none" w:sz="0" w:space="0" w:color="auto"/>
      </w:divBdr>
      <w:divsChild>
        <w:div w:id="1589997629">
          <w:marLeft w:val="0"/>
          <w:marRight w:val="0"/>
          <w:marTop w:val="0"/>
          <w:marBottom w:val="0"/>
          <w:divBdr>
            <w:top w:val="none" w:sz="0" w:space="0" w:color="auto"/>
            <w:left w:val="none" w:sz="0" w:space="0" w:color="auto"/>
            <w:bottom w:val="none" w:sz="0" w:space="0" w:color="auto"/>
            <w:right w:val="none" w:sz="0" w:space="0" w:color="auto"/>
          </w:divBdr>
        </w:div>
      </w:divsChild>
    </w:div>
    <w:div w:id="214126130">
      <w:marLeft w:val="0"/>
      <w:marRight w:val="0"/>
      <w:marTop w:val="0"/>
      <w:marBottom w:val="240"/>
      <w:divBdr>
        <w:top w:val="none" w:sz="0" w:space="0" w:color="auto"/>
        <w:left w:val="none" w:sz="0" w:space="0" w:color="auto"/>
        <w:bottom w:val="none" w:sz="0" w:space="0" w:color="auto"/>
        <w:right w:val="none" w:sz="0" w:space="0" w:color="auto"/>
      </w:divBdr>
    </w:div>
    <w:div w:id="215240734">
      <w:marLeft w:val="0"/>
      <w:marRight w:val="0"/>
      <w:marTop w:val="0"/>
      <w:marBottom w:val="180"/>
      <w:divBdr>
        <w:top w:val="none" w:sz="0" w:space="0" w:color="auto"/>
        <w:left w:val="none" w:sz="0" w:space="0" w:color="auto"/>
        <w:bottom w:val="none" w:sz="0" w:space="0" w:color="auto"/>
        <w:right w:val="none" w:sz="0" w:space="0" w:color="auto"/>
      </w:divBdr>
    </w:div>
    <w:div w:id="215823522">
      <w:marLeft w:val="0"/>
      <w:marRight w:val="0"/>
      <w:marTop w:val="0"/>
      <w:marBottom w:val="0"/>
      <w:divBdr>
        <w:top w:val="none" w:sz="0" w:space="0" w:color="auto"/>
        <w:left w:val="none" w:sz="0" w:space="0" w:color="auto"/>
        <w:bottom w:val="none" w:sz="0" w:space="0" w:color="auto"/>
        <w:right w:val="none" w:sz="0" w:space="0" w:color="auto"/>
      </w:divBdr>
    </w:div>
    <w:div w:id="216743293">
      <w:marLeft w:val="0"/>
      <w:marRight w:val="0"/>
      <w:marTop w:val="0"/>
      <w:marBottom w:val="0"/>
      <w:divBdr>
        <w:top w:val="none" w:sz="0" w:space="0" w:color="auto"/>
        <w:left w:val="none" w:sz="0" w:space="0" w:color="auto"/>
        <w:bottom w:val="none" w:sz="0" w:space="0" w:color="auto"/>
        <w:right w:val="none" w:sz="0" w:space="0" w:color="auto"/>
      </w:divBdr>
      <w:divsChild>
        <w:div w:id="1130056960">
          <w:marLeft w:val="0"/>
          <w:marRight w:val="0"/>
          <w:marTop w:val="0"/>
          <w:marBottom w:val="0"/>
          <w:divBdr>
            <w:top w:val="none" w:sz="0" w:space="0" w:color="auto"/>
            <w:left w:val="none" w:sz="0" w:space="0" w:color="auto"/>
            <w:bottom w:val="none" w:sz="0" w:space="0" w:color="auto"/>
            <w:right w:val="none" w:sz="0" w:space="0" w:color="auto"/>
          </w:divBdr>
        </w:div>
      </w:divsChild>
    </w:div>
    <w:div w:id="216821004">
      <w:marLeft w:val="0"/>
      <w:marRight w:val="0"/>
      <w:marTop w:val="180"/>
      <w:marBottom w:val="180"/>
      <w:divBdr>
        <w:top w:val="none" w:sz="0" w:space="0" w:color="auto"/>
        <w:left w:val="none" w:sz="0" w:space="0" w:color="auto"/>
        <w:bottom w:val="none" w:sz="0" w:space="0" w:color="auto"/>
        <w:right w:val="none" w:sz="0" w:space="0" w:color="auto"/>
      </w:divBdr>
    </w:div>
    <w:div w:id="218245783">
      <w:marLeft w:val="0"/>
      <w:marRight w:val="0"/>
      <w:marTop w:val="120"/>
      <w:marBottom w:val="120"/>
      <w:divBdr>
        <w:top w:val="none" w:sz="0" w:space="0" w:color="auto"/>
        <w:left w:val="none" w:sz="0" w:space="0" w:color="auto"/>
        <w:bottom w:val="none" w:sz="0" w:space="0" w:color="auto"/>
        <w:right w:val="none" w:sz="0" w:space="0" w:color="auto"/>
      </w:divBdr>
    </w:div>
    <w:div w:id="218442531">
      <w:marLeft w:val="0"/>
      <w:marRight w:val="0"/>
      <w:marTop w:val="0"/>
      <w:marBottom w:val="0"/>
      <w:divBdr>
        <w:top w:val="none" w:sz="0" w:space="0" w:color="auto"/>
        <w:left w:val="none" w:sz="0" w:space="0" w:color="auto"/>
        <w:bottom w:val="none" w:sz="0" w:space="0" w:color="auto"/>
        <w:right w:val="none" w:sz="0" w:space="0" w:color="auto"/>
      </w:divBdr>
      <w:divsChild>
        <w:div w:id="1255744868">
          <w:marLeft w:val="0"/>
          <w:marRight w:val="0"/>
          <w:marTop w:val="0"/>
          <w:marBottom w:val="0"/>
          <w:divBdr>
            <w:top w:val="none" w:sz="0" w:space="0" w:color="auto"/>
            <w:left w:val="none" w:sz="0" w:space="0" w:color="auto"/>
            <w:bottom w:val="none" w:sz="0" w:space="0" w:color="auto"/>
            <w:right w:val="none" w:sz="0" w:space="0" w:color="auto"/>
          </w:divBdr>
        </w:div>
      </w:divsChild>
    </w:div>
    <w:div w:id="218443257">
      <w:marLeft w:val="0"/>
      <w:marRight w:val="0"/>
      <w:marTop w:val="0"/>
      <w:marBottom w:val="240"/>
      <w:divBdr>
        <w:top w:val="none" w:sz="0" w:space="0" w:color="auto"/>
        <w:left w:val="none" w:sz="0" w:space="0" w:color="auto"/>
        <w:bottom w:val="none" w:sz="0" w:space="0" w:color="auto"/>
        <w:right w:val="none" w:sz="0" w:space="0" w:color="auto"/>
      </w:divBdr>
    </w:div>
    <w:div w:id="219369416">
      <w:marLeft w:val="0"/>
      <w:marRight w:val="0"/>
      <w:marTop w:val="0"/>
      <w:marBottom w:val="0"/>
      <w:divBdr>
        <w:top w:val="none" w:sz="0" w:space="0" w:color="auto"/>
        <w:left w:val="none" w:sz="0" w:space="0" w:color="auto"/>
        <w:bottom w:val="none" w:sz="0" w:space="0" w:color="auto"/>
        <w:right w:val="none" w:sz="0" w:space="0" w:color="auto"/>
      </w:divBdr>
    </w:div>
    <w:div w:id="220558872">
      <w:marLeft w:val="0"/>
      <w:marRight w:val="0"/>
      <w:marTop w:val="0"/>
      <w:marBottom w:val="180"/>
      <w:divBdr>
        <w:top w:val="none" w:sz="0" w:space="0" w:color="auto"/>
        <w:left w:val="none" w:sz="0" w:space="0" w:color="auto"/>
        <w:bottom w:val="none" w:sz="0" w:space="0" w:color="auto"/>
        <w:right w:val="none" w:sz="0" w:space="0" w:color="auto"/>
      </w:divBdr>
    </w:div>
    <w:div w:id="220601687">
      <w:marLeft w:val="0"/>
      <w:marRight w:val="0"/>
      <w:marTop w:val="0"/>
      <w:marBottom w:val="0"/>
      <w:divBdr>
        <w:top w:val="none" w:sz="0" w:space="0" w:color="auto"/>
        <w:left w:val="none" w:sz="0" w:space="0" w:color="auto"/>
        <w:bottom w:val="none" w:sz="0" w:space="0" w:color="auto"/>
        <w:right w:val="none" w:sz="0" w:space="0" w:color="auto"/>
      </w:divBdr>
    </w:div>
    <w:div w:id="220867328">
      <w:marLeft w:val="0"/>
      <w:marRight w:val="0"/>
      <w:marTop w:val="180"/>
      <w:marBottom w:val="180"/>
      <w:divBdr>
        <w:top w:val="none" w:sz="0" w:space="0" w:color="auto"/>
        <w:left w:val="none" w:sz="0" w:space="0" w:color="auto"/>
        <w:bottom w:val="none" w:sz="0" w:space="0" w:color="auto"/>
        <w:right w:val="none" w:sz="0" w:space="0" w:color="auto"/>
      </w:divBdr>
    </w:div>
    <w:div w:id="221525551">
      <w:marLeft w:val="0"/>
      <w:marRight w:val="0"/>
      <w:marTop w:val="0"/>
      <w:marBottom w:val="240"/>
      <w:divBdr>
        <w:top w:val="none" w:sz="0" w:space="0" w:color="auto"/>
        <w:left w:val="none" w:sz="0" w:space="0" w:color="auto"/>
        <w:bottom w:val="none" w:sz="0" w:space="0" w:color="auto"/>
        <w:right w:val="none" w:sz="0" w:space="0" w:color="auto"/>
      </w:divBdr>
    </w:div>
    <w:div w:id="221674125">
      <w:marLeft w:val="0"/>
      <w:marRight w:val="0"/>
      <w:marTop w:val="0"/>
      <w:marBottom w:val="0"/>
      <w:divBdr>
        <w:top w:val="none" w:sz="0" w:space="0" w:color="auto"/>
        <w:left w:val="none" w:sz="0" w:space="0" w:color="auto"/>
        <w:bottom w:val="none" w:sz="0" w:space="0" w:color="auto"/>
        <w:right w:val="none" w:sz="0" w:space="0" w:color="auto"/>
      </w:divBdr>
      <w:divsChild>
        <w:div w:id="563879568">
          <w:marLeft w:val="0"/>
          <w:marRight w:val="0"/>
          <w:marTop w:val="0"/>
          <w:marBottom w:val="0"/>
          <w:divBdr>
            <w:top w:val="none" w:sz="0" w:space="0" w:color="auto"/>
            <w:left w:val="none" w:sz="0" w:space="0" w:color="auto"/>
            <w:bottom w:val="none" w:sz="0" w:space="0" w:color="auto"/>
            <w:right w:val="none" w:sz="0" w:space="0" w:color="auto"/>
          </w:divBdr>
        </w:div>
      </w:divsChild>
    </w:div>
    <w:div w:id="222839481">
      <w:marLeft w:val="0"/>
      <w:marRight w:val="0"/>
      <w:marTop w:val="120"/>
      <w:marBottom w:val="240"/>
      <w:divBdr>
        <w:top w:val="none" w:sz="0" w:space="0" w:color="auto"/>
        <w:left w:val="none" w:sz="0" w:space="0" w:color="auto"/>
        <w:bottom w:val="none" w:sz="0" w:space="0" w:color="auto"/>
        <w:right w:val="none" w:sz="0" w:space="0" w:color="auto"/>
      </w:divBdr>
    </w:div>
    <w:div w:id="223031054">
      <w:marLeft w:val="0"/>
      <w:marRight w:val="0"/>
      <w:marTop w:val="0"/>
      <w:marBottom w:val="0"/>
      <w:divBdr>
        <w:top w:val="none" w:sz="0" w:space="0" w:color="auto"/>
        <w:left w:val="none" w:sz="0" w:space="0" w:color="auto"/>
        <w:bottom w:val="none" w:sz="0" w:space="0" w:color="auto"/>
        <w:right w:val="none" w:sz="0" w:space="0" w:color="auto"/>
      </w:divBdr>
    </w:div>
    <w:div w:id="223178585">
      <w:marLeft w:val="0"/>
      <w:marRight w:val="0"/>
      <w:marTop w:val="0"/>
      <w:marBottom w:val="180"/>
      <w:divBdr>
        <w:top w:val="none" w:sz="0" w:space="0" w:color="auto"/>
        <w:left w:val="none" w:sz="0" w:space="0" w:color="auto"/>
        <w:bottom w:val="none" w:sz="0" w:space="0" w:color="auto"/>
        <w:right w:val="none" w:sz="0" w:space="0" w:color="auto"/>
      </w:divBdr>
    </w:div>
    <w:div w:id="224293662">
      <w:marLeft w:val="0"/>
      <w:marRight w:val="0"/>
      <w:marTop w:val="180"/>
      <w:marBottom w:val="180"/>
      <w:divBdr>
        <w:top w:val="none" w:sz="0" w:space="0" w:color="auto"/>
        <w:left w:val="none" w:sz="0" w:space="0" w:color="auto"/>
        <w:bottom w:val="none" w:sz="0" w:space="0" w:color="auto"/>
        <w:right w:val="none" w:sz="0" w:space="0" w:color="auto"/>
      </w:divBdr>
    </w:div>
    <w:div w:id="224725742">
      <w:marLeft w:val="0"/>
      <w:marRight w:val="0"/>
      <w:marTop w:val="0"/>
      <w:marBottom w:val="0"/>
      <w:divBdr>
        <w:top w:val="none" w:sz="0" w:space="0" w:color="auto"/>
        <w:left w:val="none" w:sz="0" w:space="0" w:color="auto"/>
        <w:bottom w:val="none" w:sz="0" w:space="0" w:color="auto"/>
        <w:right w:val="none" w:sz="0" w:space="0" w:color="auto"/>
      </w:divBdr>
      <w:divsChild>
        <w:div w:id="1379935869">
          <w:marLeft w:val="0"/>
          <w:marRight w:val="0"/>
          <w:marTop w:val="0"/>
          <w:marBottom w:val="0"/>
          <w:divBdr>
            <w:top w:val="none" w:sz="0" w:space="0" w:color="auto"/>
            <w:left w:val="none" w:sz="0" w:space="0" w:color="auto"/>
            <w:bottom w:val="none" w:sz="0" w:space="0" w:color="auto"/>
            <w:right w:val="none" w:sz="0" w:space="0" w:color="auto"/>
          </w:divBdr>
        </w:div>
      </w:divsChild>
    </w:div>
    <w:div w:id="225920941">
      <w:marLeft w:val="0"/>
      <w:marRight w:val="0"/>
      <w:marTop w:val="120"/>
      <w:marBottom w:val="120"/>
      <w:divBdr>
        <w:top w:val="none" w:sz="0" w:space="0" w:color="auto"/>
        <w:left w:val="none" w:sz="0" w:space="0" w:color="auto"/>
        <w:bottom w:val="none" w:sz="0" w:space="0" w:color="auto"/>
        <w:right w:val="none" w:sz="0" w:space="0" w:color="auto"/>
      </w:divBdr>
    </w:div>
    <w:div w:id="226958300">
      <w:marLeft w:val="0"/>
      <w:marRight w:val="0"/>
      <w:marTop w:val="0"/>
      <w:marBottom w:val="0"/>
      <w:divBdr>
        <w:top w:val="none" w:sz="0" w:space="0" w:color="auto"/>
        <w:left w:val="none" w:sz="0" w:space="0" w:color="auto"/>
        <w:bottom w:val="none" w:sz="0" w:space="0" w:color="auto"/>
        <w:right w:val="none" w:sz="0" w:space="0" w:color="auto"/>
      </w:divBdr>
    </w:div>
    <w:div w:id="227545534">
      <w:marLeft w:val="0"/>
      <w:marRight w:val="0"/>
      <w:marTop w:val="0"/>
      <w:marBottom w:val="180"/>
      <w:divBdr>
        <w:top w:val="none" w:sz="0" w:space="0" w:color="auto"/>
        <w:left w:val="none" w:sz="0" w:space="0" w:color="auto"/>
        <w:bottom w:val="none" w:sz="0" w:space="0" w:color="auto"/>
        <w:right w:val="none" w:sz="0" w:space="0" w:color="auto"/>
      </w:divBdr>
    </w:div>
    <w:div w:id="227955615">
      <w:marLeft w:val="0"/>
      <w:marRight w:val="0"/>
      <w:marTop w:val="0"/>
      <w:marBottom w:val="240"/>
      <w:divBdr>
        <w:top w:val="none" w:sz="0" w:space="0" w:color="auto"/>
        <w:left w:val="none" w:sz="0" w:space="0" w:color="auto"/>
        <w:bottom w:val="none" w:sz="0" w:space="0" w:color="auto"/>
        <w:right w:val="none" w:sz="0" w:space="0" w:color="auto"/>
      </w:divBdr>
    </w:div>
    <w:div w:id="228273158">
      <w:marLeft w:val="0"/>
      <w:marRight w:val="0"/>
      <w:marTop w:val="120"/>
      <w:marBottom w:val="180"/>
      <w:divBdr>
        <w:top w:val="none" w:sz="0" w:space="0" w:color="auto"/>
        <w:left w:val="none" w:sz="0" w:space="0" w:color="auto"/>
        <w:bottom w:val="none" w:sz="0" w:space="0" w:color="auto"/>
        <w:right w:val="none" w:sz="0" w:space="0" w:color="auto"/>
      </w:divBdr>
    </w:div>
    <w:div w:id="228351607">
      <w:marLeft w:val="0"/>
      <w:marRight w:val="0"/>
      <w:marTop w:val="0"/>
      <w:marBottom w:val="0"/>
      <w:divBdr>
        <w:top w:val="none" w:sz="0" w:space="0" w:color="auto"/>
        <w:left w:val="none" w:sz="0" w:space="0" w:color="auto"/>
        <w:bottom w:val="none" w:sz="0" w:space="0" w:color="auto"/>
        <w:right w:val="none" w:sz="0" w:space="0" w:color="auto"/>
      </w:divBdr>
    </w:div>
    <w:div w:id="228611905">
      <w:marLeft w:val="0"/>
      <w:marRight w:val="0"/>
      <w:marTop w:val="120"/>
      <w:marBottom w:val="120"/>
      <w:divBdr>
        <w:top w:val="none" w:sz="0" w:space="0" w:color="auto"/>
        <w:left w:val="none" w:sz="0" w:space="0" w:color="auto"/>
        <w:bottom w:val="none" w:sz="0" w:space="0" w:color="auto"/>
        <w:right w:val="none" w:sz="0" w:space="0" w:color="auto"/>
      </w:divBdr>
    </w:div>
    <w:div w:id="228924185">
      <w:marLeft w:val="0"/>
      <w:marRight w:val="0"/>
      <w:marTop w:val="0"/>
      <w:marBottom w:val="0"/>
      <w:divBdr>
        <w:top w:val="none" w:sz="0" w:space="0" w:color="auto"/>
        <w:left w:val="none" w:sz="0" w:space="0" w:color="auto"/>
        <w:bottom w:val="none" w:sz="0" w:space="0" w:color="auto"/>
        <w:right w:val="none" w:sz="0" w:space="0" w:color="auto"/>
      </w:divBdr>
      <w:divsChild>
        <w:div w:id="15160116">
          <w:marLeft w:val="0"/>
          <w:marRight w:val="0"/>
          <w:marTop w:val="0"/>
          <w:marBottom w:val="0"/>
          <w:divBdr>
            <w:top w:val="none" w:sz="0" w:space="0" w:color="auto"/>
            <w:left w:val="none" w:sz="0" w:space="0" w:color="auto"/>
            <w:bottom w:val="none" w:sz="0" w:space="0" w:color="auto"/>
            <w:right w:val="none" w:sz="0" w:space="0" w:color="auto"/>
          </w:divBdr>
        </w:div>
      </w:divsChild>
    </w:div>
    <w:div w:id="229731348">
      <w:marLeft w:val="0"/>
      <w:marRight w:val="0"/>
      <w:marTop w:val="0"/>
      <w:marBottom w:val="240"/>
      <w:divBdr>
        <w:top w:val="none" w:sz="0" w:space="0" w:color="auto"/>
        <w:left w:val="none" w:sz="0" w:space="0" w:color="auto"/>
        <w:bottom w:val="none" w:sz="0" w:space="0" w:color="auto"/>
        <w:right w:val="none" w:sz="0" w:space="0" w:color="auto"/>
      </w:divBdr>
    </w:div>
    <w:div w:id="230043142">
      <w:marLeft w:val="0"/>
      <w:marRight w:val="0"/>
      <w:marTop w:val="0"/>
      <w:marBottom w:val="0"/>
      <w:divBdr>
        <w:top w:val="none" w:sz="0" w:space="0" w:color="auto"/>
        <w:left w:val="none" w:sz="0" w:space="0" w:color="auto"/>
        <w:bottom w:val="none" w:sz="0" w:space="0" w:color="auto"/>
        <w:right w:val="none" w:sz="0" w:space="0" w:color="auto"/>
      </w:divBdr>
      <w:divsChild>
        <w:div w:id="671839144">
          <w:marLeft w:val="0"/>
          <w:marRight w:val="0"/>
          <w:marTop w:val="0"/>
          <w:marBottom w:val="0"/>
          <w:divBdr>
            <w:top w:val="none" w:sz="0" w:space="0" w:color="auto"/>
            <w:left w:val="none" w:sz="0" w:space="0" w:color="auto"/>
            <w:bottom w:val="none" w:sz="0" w:space="0" w:color="auto"/>
            <w:right w:val="none" w:sz="0" w:space="0" w:color="auto"/>
          </w:divBdr>
        </w:div>
      </w:divsChild>
    </w:div>
    <w:div w:id="230190321">
      <w:marLeft w:val="0"/>
      <w:marRight w:val="0"/>
      <w:marTop w:val="0"/>
      <w:marBottom w:val="120"/>
      <w:divBdr>
        <w:top w:val="none" w:sz="0" w:space="0" w:color="auto"/>
        <w:left w:val="none" w:sz="0" w:space="0" w:color="auto"/>
        <w:bottom w:val="none" w:sz="0" w:space="0" w:color="auto"/>
        <w:right w:val="none" w:sz="0" w:space="0" w:color="auto"/>
      </w:divBdr>
    </w:div>
    <w:div w:id="230191862">
      <w:marLeft w:val="0"/>
      <w:marRight w:val="0"/>
      <w:marTop w:val="0"/>
      <w:marBottom w:val="180"/>
      <w:divBdr>
        <w:top w:val="none" w:sz="0" w:space="0" w:color="auto"/>
        <w:left w:val="none" w:sz="0" w:space="0" w:color="auto"/>
        <w:bottom w:val="none" w:sz="0" w:space="0" w:color="auto"/>
        <w:right w:val="none" w:sz="0" w:space="0" w:color="auto"/>
      </w:divBdr>
    </w:div>
    <w:div w:id="230507930">
      <w:marLeft w:val="0"/>
      <w:marRight w:val="0"/>
      <w:marTop w:val="0"/>
      <w:marBottom w:val="240"/>
      <w:divBdr>
        <w:top w:val="none" w:sz="0" w:space="0" w:color="auto"/>
        <w:left w:val="none" w:sz="0" w:space="0" w:color="auto"/>
        <w:bottom w:val="none" w:sz="0" w:space="0" w:color="auto"/>
        <w:right w:val="none" w:sz="0" w:space="0" w:color="auto"/>
      </w:divBdr>
    </w:div>
    <w:div w:id="230965098">
      <w:marLeft w:val="0"/>
      <w:marRight w:val="0"/>
      <w:marTop w:val="180"/>
      <w:marBottom w:val="180"/>
      <w:divBdr>
        <w:top w:val="none" w:sz="0" w:space="0" w:color="auto"/>
        <w:left w:val="none" w:sz="0" w:space="0" w:color="auto"/>
        <w:bottom w:val="none" w:sz="0" w:space="0" w:color="auto"/>
        <w:right w:val="none" w:sz="0" w:space="0" w:color="auto"/>
      </w:divBdr>
    </w:div>
    <w:div w:id="231081397">
      <w:marLeft w:val="0"/>
      <w:marRight w:val="0"/>
      <w:marTop w:val="0"/>
      <w:marBottom w:val="180"/>
      <w:divBdr>
        <w:top w:val="none" w:sz="0" w:space="0" w:color="auto"/>
        <w:left w:val="none" w:sz="0" w:space="0" w:color="auto"/>
        <w:bottom w:val="none" w:sz="0" w:space="0" w:color="auto"/>
        <w:right w:val="none" w:sz="0" w:space="0" w:color="auto"/>
      </w:divBdr>
    </w:div>
    <w:div w:id="231738296">
      <w:marLeft w:val="0"/>
      <w:marRight w:val="0"/>
      <w:marTop w:val="120"/>
      <w:marBottom w:val="120"/>
      <w:divBdr>
        <w:top w:val="none" w:sz="0" w:space="0" w:color="auto"/>
        <w:left w:val="none" w:sz="0" w:space="0" w:color="auto"/>
        <w:bottom w:val="none" w:sz="0" w:space="0" w:color="auto"/>
        <w:right w:val="none" w:sz="0" w:space="0" w:color="auto"/>
      </w:divBdr>
    </w:div>
    <w:div w:id="232547299">
      <w:marLeft w:val="0"/>
      <w:marRight w:val="0"/>
      <w:marTop w:val="0"/>
      <w:marBottom w:val="180"/>
      <w:divBdr>
        <w:top w:val="none" w:sz="0" w:space="0" w:color="auto"/>
        <w:left w:val="none" w:sz="0" w:space="0" w:color="auto"/>
        <w:bottom w:val="none" w:sz="0" w:space="0" w:color="auto"/>
        <w:right w:val="none" w:sz="0" w:space="0" w:color="auto"/>
      </w:divBdr>
    </w:div>
    <w:div w:id="232547576">
      <w:marLeft w:val="0"/>
      <w:marRight w:val="0"/>
      <w:marTop w:val="0"/>
      <w:marBottom w:val="0"/>
      <w:divBdr>
        <w:top w:val="none" w:sz="0" w:space="0" w:color="auto"/>
        <w:left w:val="none" w:sz="0" w:space="0" w:color="auto"/>
        <w:bottom w:val="none" w:sz="0" w:space="0" w:color="auto"/>
        <w:right w:val="none" w:sz="0" w:space="0" w:color="auto"/>
      </w:divBdr>
    </w:div>
    <w:div w:id="232980763">
      <w:marLeft w:val="0"/>
      <w:marRight w:val="0"/>
      <w:marTop w:val="0"/>
      <w:marBottom w:val="0"/>
      <w:divBdr>
        <w:top w:val="none" w:sz="0" w:space="0" w:color="auto"/>
        <w:left w:val="none" w:sz="0" w:space="0" w:color="auto"/>
        <w:bottom w:val="none" w:sz="0" w:space="0" w:color="auto"/>
        <w:right w:val="none" w:sz="0" w:space="0" w:color="auto"/>
      </w:divBdr>
      <w:divsChild>
        <w:div w:id="1947761646">
          <w:marLeft w:val="0"/>
          <w:marRight w:val="0"/>
          <w:marTop w:val="0"/>
          <w:marBottom w:val="0"/>
          <w:divBdr>
            <w:top w:val="none" w:sz="0" w:space="0" w:color="auto"/>
            <w:left w:val="none" w:sz="0" w:space="0" w:color="auto"/>
            <w:bottom w:val="none" w:sz="0" w:space="0" w:color="auto"/>
            <w:right w:val="none" w:sz="0" w:space="0" w:color="auto"/>
          </w:divBdr>
        </w:div>
      </w:divsChild>
    </w:div>
    <w:div w:id="233206816">
      <w:marLeft w:val="0"/>
      <w:marRight w:val="0"/>
      <w:marTop w:val="0"/>
      <w:marBottom w:val="240"/>
      <w:divBdr>
        <w:top w:val="none" w:sz="0" w:space="0" w:color="auto"/>
        <w:left w:val="none" w:sz="0" w:space="0" w:color="auto"/>
        <w:bottom w:val="none" w:sz="0" w:space="0" w:color="auto"/>
        <w:right w:val="none" w:sz="0" w:space="0" w:color="auto"/>
      </w:divBdr>
    </w:div>
    <w:div w:id="233468224">
      <w:marLeft w:val="0"/>
      <w:marRight w:val="0"/>
      <w:marTop w:val="180"/>
      <w:marBottom w:val="180"/>
      <w:divBdr>
        <w:top w:val="none" w:sz="0" w:space="0" w:color="auto"/>
        <w:left w:val="none" w:sz="0" w:space="0" w:color="auto"/>
        <w:bottom w:val="none" w:sz="0" w:space="0" w:color="auto"/>
        <w:right w:val="none" w:sz="0" w:space="0" w:color="auto"/>
      </w:divBdr>
    </w:div>
    <w:div w:id="233971762">
      <w:marLeft w:val="0"/>
      <w:marRight w:val="0"/>
      <w:marTop w:val="0"/>
      <w:marBottom w:val="180"/>
      <w:divBdr>
        <w:top w:val="none" w:sz="0" w:space="0" w:color="auto"/>
        <w:left w:val="none" w:sz="0" w:space="0" w:color="auto"/>
        <w:bottom w:val="none" w:sz="0" w:space="0" w:color="auto"/>
        <w:right w:val="none" w:sz="0" w:space="0" w:color="auto"/>
      </w:divBdr>
    </w:div>
    <w:div w:id="234632797">
      <w:marLeft w:val="0"/>
      <w:marRight w:val="0"/>
      <w:marTop w:val="180"/>
      <w:marBottom w:val="180"/>
      <w:divBdr>
        <w:top w:val="none" w:sz="0" w:space="0" w:color="auto"/>
        <w:left w:val="none" w:sz="0" w:space="0" w:color="auto"/>
        <w:bottom w:val="none" w:sz="0" w:space="0" w:color="auto"/>
        <w:right w:val="none" w:sz="0" w:space="0" w:color="auto"/>
      </w:divBdr>
    </w:div>
    <w:div w:id="235407098">
      <w:marLeft w:val="0"/>
      <w:marRight w:val="0"/>
      <w:marTop w:val="0"/>
      <w:marBottom w:val="240"/>
      <w:divBdr>
        <w:top w:val="none" w:sz="0" w:space="0" w:color="auto"/>
        <w:left w:val="none" w:sz="0" w:space="0" w:color="auto"/>
        <w:bottom w:val="none" w:sz="0" w:space="0" w:color="auto"/>
        <w:right w:val="none" w:sz="0" w:space="0" w:color="auto"/>
      </w:divBdr>
    </w:div>
    <w:div w:id="236478545">
      <w:marLeft w:val="0"/>
      <w:marRight w:val="0"/>
      <w:marTop w:val="240"/>
      <w:marBottom w:val="240"/>
      <w:divBdr>
        <w:top w:val="none" w:sz="0" w:space="0" w:color="auto"/>
        <w:left w:val="none" w:sz="0" w:space="0" w:color="auto"/>
        <w:bottom w:val="none" w:sz="0" w:space="0" w:color="auto"/>
        <w:right w:val="none" w:sz="0" w:space="0" w:color="auto"/>
      </w:divBdr>
    </w:div>
    <w:div w:id="236592931">
      <w:marLeft w:val="0"/>
      <w:marRight w:val="0"/>
      <w:marTop w:val="0"/>
      <w:marBottom w:val="240"/>
      <w:divBdr>
        <w:top w:val="none" w:sz="0" w:space="0" w:color="auto"/>
        <w:left w:val="none" w:sz="0" w:space="0" w:color="auto"/>
        <w:bottom w:val="none" w:sz="0" w:space="0" w:color="auto"/>
        <w:right w:val="none" w:sz="0" w:space="0" w:color="auto"/>
      </w:divBdr>
    </w:div>
    <w:div w:id="236668177">
      <w:marLeft w:val="0"/>
      <w:marRight w:val="0"/>
      <w:marTop w:val="180"/>
      <w:marBottom w:val="180"/>
      <w:divBdr>
        <w:top w:val="none" w:sz="0" w:space="0" w:color="auto"/>
        <w:left w:val="none" w:sz="0" w:space="0" w:color="auto"/>
        <w:bottom w:val="none" w:sz="0" w:space="0" w:color="auto"/>
        <w:right w:val="none" w:sz="0" w:space="0" w:color="auto"/>
      </w:divBdr>
    </w:div>
    <w:div w:id="236791409">
      <w:marLeft w:val="0"/>
      <w:marRight w:val="0"/>
      <w:marTop w:val="0"/>
      <w:marBottom w:val="0"/>
      <w:divBdr>
        <w:top w:val="none" w:sz="0" w:space="0" w:color="auto"/>
        <w:left w:val="none" w:sz="0" w:space="0" w:color="auto"/>
        <w:bottom w:val="none" w:sz="0" w:space="0" w:color="auto"/>
        <w:right w:val="none" w:sz="0" w:space="0" w:color="auto"/>
      </w:divBdr>
    </w:div>
    <w:div w:id="242230258">
      <w:marLeft w:val="0"/>
      <w:marRight w:val="0"/>
      <w:marTop w:val="0"/>
      <w:marBottom w:val="0"/>
      <w:divBdr>
        <w:top w:val="none" w:sz="0" w:space="0" w:color="auto"/>
        <w:left w:val="none" w:sz="0" w:space="0" w:color="auto"/>
        <w:bottom w:val="none" w:sz="0" w:space="0" w:color="auto"/>
        <w:right w:val="none" w:sz="0" w:space="0" w:color="auto"/>
      </w:divBdr>
    </w:div>
    <w:div w:id="242297594">
      <w:marLeft w:val="0"/>
      <w:marRight w:val="0"/>
      <w:marTop w:val="0"/>
      <w:marBottom w:val="0"/>
      <w:divBdr>
        <w:top w:val="none" w:sz="0" w:space="0" w:color="auto"/>
        <w:left w:val="none" w:sz="0" w:space="0" w:color="auto"/>
        <w:bottom w:val="none" w:sz="0" w:space="0" w:color="auto"/>
        <w:right w:val="none" w:sz="0" w:space="0" w:color="auto"/>
      </w:divBdr>
    </w:div>
    <w:div w:id="242642894">
      <w:marLeft w:val="0"/>
      <w:marRight w:val="0"/>
      <w:marTop w:val="100"/>
      <w:marBottom w:val="0"/>
      <w:divBdr>
        <w:top w:val="none" w:sz="0" w:space="0" w:color="auto"/>
        <w:left w:val="none" w:sz="0" w:space="0" w:color="auto"/>
        <w:bottom w:val="none" w:sz="0" w:space="0" w:color="auto"/>
        <w:right w:val="none" w:sz="0" w:space="0" w:color="auto"/>
      </w:divBdr>
    </w:div>
    <w:div w:id="242841770">
      <w:marLeft w:val="0"/>
      <w:marRight w:val="0"/>
      <w:marTop w:val="0"/>
      <w:marBottom w:val="180"/>
      <w:divBdr>
        <w:top w:val="none" w:sz="0" w:space="0" w:color="auto"/>
        <w:left w:val="none" w:sz="0" w:space="0" w:color="auto"/>
        <w:bottom w:val="none" w:sz="0" w:space="0" w:color="auto"/>
        <w:right w:val="none" w:sz="0" w:space="0" w:color="auto"/>
      </w:divBdr>
    </w:div>
    <w:div w:id="242909138">
      <w:marLeft w:val="0"/>
      <w:marRight w:val="0"/>
      <w:marTop w:val="0"/>
      <w:marBottom w:val="0"/>
      <w:divBdr>
        <w:top w:val="none" w:sz="0" w:space="0" w:color="auto"/>
        <w:left w:val="none" w:sz="0" w:space="0" w:color="auto"/>
        <w:bottom w:val="none" w:sz="0" w:space="0" w:color="auto"/>
        <w:right w:val="none" w:sz="0" w:space="0" w:color="auto"/>
      </w:divBdr>
    </w:div>
    <w:div w:id="243339726">
      <w:marLeft w:val="0"/>
      <w:marRight w:val="0"/>
      <w:marTop w:val="0"/>
      <w:marBottom w:val="180"/>
      <w:divBdr>
        <w:top w:val="none" w:sz="0" w:space="0" w:color="auto"/>
        <w:left w:val="none" w:sz="0" w:space="0" w:color="auto"/>
        <w:bottom w:val="none" w:sz="0" w:space="0" w:color="auto"/>
        <w:right w:val="none" w:sz="0" w:space="0" w:color="auto"/>
      </w:divBdr>
    </w:div>
    <w:div w:id="243342706">
      <w:marLeft w:val="0"/>
      <w:marRight w:val="0"/>
      <w:marTop w:val="0"/>
      <w:marBottom w:val="0"/>
      <w:divBdr>
        <w:top w:val="none" w:sz="0" w:space="0" w:color="auto"/>
        <w:left w:val="none" w:sz="0" w:space="0" w:color="auto"/>
        <w:bottom w:val="none" w:sz="0" w:space="0" w:color="auto"/>
        <w:right w:val="none" w:sz="0" w:space="0" w:color="auto"/>
      </w:divBdr>
      <w:divsChild>
        <w:div w:id="273172989">
          <w:marLeft w:val="0"/>
          <w:marRight w:val="0"/>
          <w:marTop w:val="0"/>
          <w:marBottom w:val="0"/>
          <w:divBdr>
            <w:top w:val="none" w:sz="0" w:space="0" w:color="auto"/>
            <w:left w:val="none" w:sz="0" w:space="0" w:color="auto"/>
            <w:bottom w:val="none" w:sz="0" w:space="0" w:color="auto"/>
            <w:right w:val="none" w:sz="0" w:space="0" w:color="auto"/>
          </w:divBdr>
        </w:div>
      </w:divsChild>
    </w:div>
    <w:div w:id="243881660">
      <w:marLeft w:val="0"/>
      <w:marRight w:val="0"/>
      <w:marTop w:val="180"/>
      <w:marBottom w:val="180"/>
      <w:divBdr>
        <w:top w:val="none" w:sz="0" w:space="0" w:color="auto"/>
        <w:left w:val="none" w:sz="0" w:space="0" w:color="auto"/>
        <w:bottom w:val="none" w:sz="0" w:space="0" w:color="auto"/>
        <w:right w:val="none" w:sz="0" w:space="0" w:color="auto"/>
      </w:divBdr>
    </w:div>
    <w:div w:id="244189804">
      <w:marLeft w:val="0"/>
      <w:marRight w:val="0"/>
      <w:marTop w:val="0"/>
      <w:marBottom w:val="240"/>
      <w:divBdr>
        <w:top w:val="none" w:sz="0" w:space="0" w:color="auto"/>
        <w:left w:val="none" w:sz="0" w:space="0" w:color="auto"/>
        <w:bottom w:val="none" w:sz="0" w:space="0" w:color="auto"/>
        <w:right w:val="none" w:sz="0" w:space="0" w:color="auto"/>
      </w:divBdr>
    </w:div>
    <w:div w:id="244387576">
      <w:marLeft w:val="0"/>
      <w:marRight w:val="0"/>
      <w:marTop w:val="0"/>
      <w:marBottom w:val="240"/>
      <w:divBdr>
        <w:top w:val="none" w:sz="0" w:space="0" w:color="auto"/>
        <w:left w:val="none" w:sz="0" w:space="0" w:color="auto"/>
        <w:bottom w:val="none" w:sz="0" w:space="0" w:color="auto"/>
        <w:right w:val="none" w:sz="0" w:space="0" w:color="auto"/>
      </w:divBdr>
    </w:div>
    <w:div w:id="244802077">
      <w:marLeft w:val="0"/>
      <w:marRight w:val="0"/>
      <w:marTop w:val="0"/>
      <w:marBottom w:val="180"/>
      <w:divBdr>
        <w:top w:val="none" w:sz="0" w:space="0" w:color="auto"/>
        <w:left w:val="none" w:sz="0" w:space="0" w:color="auto"/>
        <w:bottom w:val="none" w:sz="0" w:space="0" w:color="auto"/>
        <w:right w:val="none" w:sz="0" w:space="0" w:color="auto"/>
      </w:divBdr>
    </w:div>
    <w:div w:id="245961758">
      <w:marLeft w:val="0"/>
      <w:marRight w:val="0"/>
      <w:marTop w:val="0"/>
      <w:marBottom w:val="240"/>
      <w:divBdr>
        <w:top w:val="none" w:sz="0" w:space="0" w:color="auto"/>
        <w:left w:val="none" w:sz="0" w:space="0" w:color="auto"/>
        <w:bottom w:val="none" w:sz="0" w:space="0" w:color="auto"/>
        <w:right w:val="none" w:sz="0" w:space="0" w:color="auto"/>
      </w:divBdr>
    </w:div>
    <w:div w:id="246118447">
      <w:marLeft w:val="0"/>
      <w:marRight w:val="0"/>
      <w:marTop w:val="180"/>
      <w:marBottom w:val="180"/>
      <w:divBdr>
        <w:top w:val="none" w:sz="0" w:space="0" w:color="auto"/>
        <w:left w:val="none" w:sz="0" w:space="0" w:color="auto"/>
        <w:bottom w:val="none" w:sz="0" w:space="0" w:color="auto"/>
        <w:right w:val="none" w:sz="0" w:space="0" w:color="auto"/>
      </w:divBdr>
    </w:div>
    <w:div w:id="249045826">
      <w:marLeft w:val="0"/>
      <w:marRight w:val="0"/>
      <w:marTop w:val="0"/>
      <w:marBottom w:val="0"/>
      <w:divBdr>
        <w:top w:val="none" w:sz="0" w:space="0" w:color="auto"/>
        <w:left w:val="none" w:sz="0" w:space="0" w:color="auto"/>
        <w:bottom w:val="none" w:sz="0" w:space="0" w:color="auto"/>
        <w:right w:val="none" w:sz="0" w:space="0" w:color="auto"/>
      </w:divBdr>
    </w:div>
    <w:div w:id="249197564">
      <w:marLeft w:val="0"/>
      <w:marRight w:val="0"/>
      <w:marTop w:val="120"/>
      <w:marBottom w:val="180"/>
      <w:divBdr>
        <w:top w:val="none" w:sz="0" w:space="0" w:color="auto"/>
        <w:left w:val="none" w:sz="0" w:space="0" w:color="auto"/>
        <w:bottom w:val="none" w:sz="0" w:space="0" w:color="auto"/>
        <w:right w:val="none" w:sz="0" w:space="0" w:color="auto"/>
      </w:divBdr>
    </w:div>
    <w:div w:id="249704876">
      <w:marLeft w:val="0"/>
      <w:marRight w:val="0"/>
      <w:marTop w:val="0"/>
      <w:marBottom w:val="180"/>
      <w:divBdr>
        <w:top w:val="none" w:sz="0" w:space="0" w:color="auto"/>
        <w:left w:val="none" w:sz="0" w:space="0" w:color="auto"/>
        <w:bottom w:val="none" w:sz="0" w:space="0" w:color="auto"/>
        <w:right w:val="none" w:sz="0" w:space="0" w:color="auto"/>
      </w:divBdr>
    </w:div>
    <w:div w:id="250545769">
      <w:marLeft w:val="0"/>
      <w:marRight w:val="0"/>
      <w:marTop w:val="0"/>
      <w:marBottom w:val="0"/>
      <w:divBdr>
        <w:top w:val="none" w:sz="0" w:space="0" w:color="auto"/>
        <w:left w:val="none" w:sz="0" w:space="0" w:color="auto"/>
        <w:bottom w:val="none" w:sz="0" w:space="0" w:color="auto"/>
        <w:right w:val="none" w:sz="0" w:space="0" w:color="auto"/>
      </w:divBdr>
    </w:div>
    <w:div w:id="251358011">
      <w:marLeft w:val="0"/>
      <w:marRight w:val="0"/>
      <w:marTop w:val="180"/>
      <w:marBottom w:val="180"/>
      <w:divBdr>
        <w:top w:val="none" w:sz="0" w:space="0" w:color="auto"/>
        <w:left w:val="none" w:sz="0" w:space="0" w:color="auto"/>
        <w:bottom w:val="none" w:sz="0" w:space="0" w:color="auto"/>
        <w:right w:val="none" w:sz="0" w:space="0" w:color="auto"/>
      </w:divBdr>
    </w:div>
    <w:div w:id="252670826">
      <w:marLeft w:val="0"/>
      <w:marRight w:val="0"/>
      <w:marTop w:val="0"/>
      <w:marBottom w:val="240"/>
      <w:divBdr>
        <w:top w:val="none" w:sz="0" w:space="0" w:color="auto"/>
        <w:left w:val="none" w:sz="0" w:space="0" w:color="auto"/>
        <w:bottom w:val="none" w:sz="0" w:space="0" w:color="auto"/>
        <w:right w:val="none" w:sz="0" w:space="0" w:color="auto"/>
      </w:divBdr>
    </w:div>
    <w:div w:id="253324064">
      <w:marLeft w:val="0"/>
      <w:marRight w:val="0"/>
      <w:marTop w:val="100"/>
      <w:marBottom w:val="180"/>
      <w:divBdr>
        <w:top w:val="none" w:sz="0" w:space="0" w:color="auto"/>
        <w:left w:val="none" w:sz="0" w:space="0" w:color="auto"/>
        <w:bottom w:val="none" w:sz="0" w:space="0" w:color="auto"/>
        <w:right w:val="none" w:sz="0" w:space="0" w:color="auto"/>
      </w:divBdr>
    </w:div>
    <w:div w:id="253439138">
      <w:marLeft w:val="0"/>
      <w:marRight w:val="0"/>
      <w:marTop w:val="0"/>
      <w:marBottom w:val="0"/>
      <w:divBdr>
        <w:top w:val="none" w:sz="0" w:space="0" w:color="auto"/>
        <w:left w:val="none" w:sz="0" w:space="0" w:color="auto"/>
        <w:bottom w:val="none" w:sz="0" w:space="0" w:color="auto"/>
        <w:right w:val="none" w:sz="0" w:space="0" w:color="auto"/>
      </w:divBdr>
      <w:divsChild>
        <w:div w:id="1405376975">
          <w:marLeft w:val="0"/>
          <w:marRight w:val="0"/>
          <w:marTop w:val="0"/>
          <w:marBottom w:val="0"/>
          <w:divBdr>
            <w:top w:val="none" w:sz="0" w:space="0" w:color="auto"/>
            <w:left w:val="none" w:sz="0" w:space="0" w:color="auto"/>
            <w:bottom w:val="none" w:sz="0" w:space="0" w:color="auto"/>
            <w:right w:val="none" w:sz="0" w:space="0" w:color="auto"/>
          </w:divBdr>
        </w:div>
      </w:divsChild>
    </w:div>
    <w:div w:id="256209050">
      <w:marLeft w:val="0"/>
      <w:marRight w:val="0"/>
      <w:marTop w:val="180"/>
      <w:marBottom w:val="180"/>
      <w:divBdr>
        <w:top w:val="none" w:sz="0" w:space="0" w:color="auto"/>
        <w:left w:val="none" w:sz="0" w:space="0" w:color="auto"/>
        <w:bottom w:val="none" w:sz="0" w:space="0" w:color="auto"/>
        <w:right w:val="none" w:sz="0" w:space="0" w:color="auto"/>
      </w:divBdr>
    </w:div>
    <w:div w:id="256330025">
      <w:marLeft w:val="0"/>
      <w:marRight w:val="0"/>
      <w:marTop w:val="0"/>
      <w:marBottom w:val="180"/>
      <w:divBdr>
        <w:top w:val="none" w:sz="0" w:space="0" w:color="auto"/>
        <w:left w:val="none" w:sz="0" w:space="0" w:color="auto"/>
        <w:bottom w:val="none" w:sz="0" w:space="0" w:color="auto"/>
        <w:right w:val="none" w:sz="0" w:space="0" w:color="auto"/>
      </w:divBdr>
    </w:div>
    <w:div w:id="256791837">
      <w:marLeft w:val="0"/>
      <w:marRight w:val="0"/>
      <w:marTop w:val="180"/>
      <w:marBottom w:val="180"/>
      <w:divBdr>
        <w:top w:val="none" w:sz="0" w:space="0" w:color="auto"/>
        <w:left w:val="none" w:sz="0" w:space="0" w:color="auto"/>
        <w:bottom w:val="none" w:sz="0" w:space="0" w:color="auto"/>
        <w:right w:val="none" w:sz="0" w:space="0" w:color="auto"/>
      </w:divBdr>
    </w:div>
    <w:div w:id="256913872">
      <w:marLeft w:val="0"/>
      <w:marRight w:val="0"/>
      <w:marTop w:val="0"/>
      <w:marBottom w:val="180"/>
      <w:divBdr>
        <w:top w:val="none" w:sz="0" w:space="0" w:color="auto"/>
        <w:left w:val="none" w:sz="0" w:space="0" w:color="auto"/>
        <w:bottom w:val="none" w:sz="0" w:space="0" w:color="auto"/>
        <w:right w:val="none" w:sz="0" w:space="0" w:color="auto"/>
      </w:divBdr>
    </w:div>
    <w:div w:id="257563285">
      <w:marLeft w:val="0"/>
      <w:marRight w:val="0"/>
      <w:marTop w:val="0"/>
      <w:marBottom w:val="240"/>
      <w:divBdr>
        <w:top w:val="none" w:sz="0" w:space="0" w:color="auto"/>
        <w:left w:val="none" w:sz="0" w:space="0" w:color="auto"/>
        <w:bottom w:val="none" w:sz="0" w:space="0" w:color="auto"/>
        <w:right w:val="none" w:sz="0" w:space="0" w:color="auto"/>
      </w:divBdr>
    </w:div>
    <w:div w:id="259417544">
      <w:marLeft w:val="0"/>
      <w:marRight w:val="0"/>
      <w:marTop w:val="180"/>
      <w:marBottom w:val="180"/>
      <w:divBdr>
        <w:top w:val="none" w:sz="0" w:space="0" w:color="auto"/>
        <w:left w:val="none" w:sz="0" w:space="0" w:color="auto"/>
        <w:bottom w:val="none" w:sz="0" w:space="0" w:color="auto"/>
        <w:right w:val="none" w:sz="0" w:space="0" w:color="auto"/>
      </w:divBdr>
      <w:divsChild>
        <w:div w:id="1001740357">
          <w:marLeft w:val="0"/>
          <w:marRight w:val="0"/>
          <w:marTop w:val="0"/>
          <w:marBottom w:val="120"/>
          <w:divBdr>
            <w:top w:val="none" w:sz="0" w:space="0" w:color="auto"/>
            <w:left w:val="none" w:sz="0" w:space="0" w:color="auto"/>
            <w:bottom w:val="none" w:sz="0" w:space="0" w:color="auto"/>
            <w:right w:val="none" w:sz="0" w:space="0" w:color="auto"/>
          </w:divBdr>
        </w:div>
        <w:div w:id="1952517578">
          <w:marLeft w:val="0"/>
          <w:marRight w:val="0"/>
          <w:marTop w:val="0"/>
          <w:marBottom w:val="120"/>
          <w:divBdr>
            <w:top w:val="none" w:sz="0" w:space="0" w:color="auto"/>
            <w:left w:val="none" w:sz="0" w:space="0" w:color="auto"/>
            <w:bottom w:val="none" w:sz="0" w:space="0" w:color="auto"/>
            <w:right w:val="none" w:sz="0" w:space="0" w:color="auto"/>
          </w:divBdr>
        </w:div>
      </w:divsChild>
    </w:div>
    <w:div w:id="259946536">
      <w:marLeft w:val="0"/>
      <w:marRight w:val="0"/>
      <w:marTop w:val="180"/>
      <w:marBottom w:val="180"/>
      <w:divBdr>
        <w:top w:val="none" w:sz="0" w:space="0" w:color="auto"/>
        <w:left w:val="none" w:sz="0" w:space="0" w:color="auto"/>
        <w:bottom w:val="none" w:sz="0" w:space="0" w:color="auto"/>
        <w:right w:val="none" w:sz="0" w:space="0" w:color="auto"/>
      </w:divBdr>
    </w:div>
    <w:div w:id="261568743">
      <w:marLeft w:val="0"/>
      <w:marRight w:val="0"/>
      <w:marTop w:val="100"/>
      <w:marBottom w:val="240"/>
      <w:divBdr>
        <w:top w:val="none" w:sz="0" w:space="0" w:color="auto"/>
        <w:left w:val="none" w:sz="0" w:space="0" w:color="auto"/>
        <w:bottom w:val="none" w:sz="0" w:space="0" w:color="auto"/>
        <w:right w:val="none" w:sz="0" w:space="0" w:color="auto"/>
      </w:divBdr>
    </w:div>
    <w:div w:id="261959197">
      <w:marLeft w:val="0"/>
      <w:marRight w:val="0"/>
      <w:marTop w:val="60"/>
      <w:marBottom w:val="60"/>
      <w:divBdr>
        <w:top w:val="none" w:sz="0" w:space="0" w:color="auto"/>
        <w:left w:val="none" w:sz="0" w:space="0" w:color="auto"/>
        <w:bottom w:val="none" w:sz="0" w:space="0" w:color="auto"/>
        <w:right w:val="none" w:sz="0" w:space="0" w:color="auto"/>
      </w:divBdr>
    </w:div>
    <w:div w:id="262423879">
      <w:marLeft w:val="0"/>
      <w:marRight w:val="0"/>
      <w:marTop w:val="0"/>
      <w:marBottom w:val="240"/>
      <w:divBdr>
        <w:top w:val="none" w:sz="0" w:space="0" w:color="auto"/>
        <w:left w:val="none" w:sz="0" w:space="0" w:color="auto"/>
        <w:bottom w:val="none" w:sz="0" w:space="0" w:color="auto"/>
        <w:right w:val="none" w:sz="0" w:space="0" w:color="auto"/>
      </w:divBdr>
    </w:div>
    <w:div w:id="263653844">
      <w:marLeft w:val="0"/>
      <w:marRight w:val="0"/>
      <w:marTop w:val="0"/>
      <w:marBottom w:val="0"/>
      <w:divBdr>
        <w:top w:val="none" w:sz="0" w:space="0" w:color="auto"/>
        <w:left w:val="none" w:sz="0" w:space="0" w:color="auto"/>
        <w:bottom w:val="none" w:sz="0" w:space="0" w:color="auto"/>
        <w:right w:val="none" w:sz="0" w:space="0" w:color="auto"/>
      </w:divBdr>
    </w:div>
    <w:div w:id="263654038">
      <w:marLeft w:val="0"/>
      <w:marRight w:val="0"/>
      <w:marTop w:val="0"/>
      <w:marBottom w:val="240"/>
      <w:divBdr>
        <w:top w:val="none" w:sz="0" w:space="0" w:color="auto"/>
        <w:left w:val="none" w:sz="0" w:space="0" w:color="auto"/>
        <w:bottom w:val="none" w:sz="0" w:space="0" w:color="auto"/>
        <w:right w:val="none" w:sz="0" w:space="0" w:color="auto"/>
      </w:divBdr>
    </w:div>
    <w:div w:id="263655267">
      <w:marLeft w:val="0"/>
      <w:marRight w:val="0"/>
      <w:marTop w:val="0"/>
      <w:marBottom w:val="0"/>
      <w:divBdr>
        <w:top w:val="none" w:sz="0" w:space="0" w:color="auto"/>
        <w:left w:val="none" w:sz="0" w:space="0" w:color="auto"/>
        <w:bottom w:val="none" w:sz="0" w:space="0" w:color="auto"/>
        <w:right w:val="none" w:sz="0" w:space="0" w:color="auto"/>
      </w:divBdr>
      <w:divsChild>
        <w:div w:id="430006613">
          <w:marLeft w:val="0"/>
          <w:marRight w:val="0"/>
          <w:marTop w:val="0"/>
          <w:marBottom w:val="0"/>
          <w:divBdr>
            <w:top w:val="none" w:sz="0" w:space="0" w:color="auto"/>
            <w:left w:val="none" w:sz="0" w:space="0" w:color="auto"/>
            <w:bottom w:val="none" w:sz="0" w:space="0" w:color="auto"/>
            <w:right w:val="none" w:sz="0" w:space="0" w:color="auto"/>
          </w:divBdr>
        </w:div>
      </w:divsChild>
    </w:div>
    <w:div w:id="263877899">
      <w:marLeft w:val="0"/>
      <w:marRight w:val="0"/>
      <w:marTop w:val="0"/>
      <w:marBottom w:val="180"/>
      <w:divBdr>
        <w:top w:val="none" w:sz="0" w:space="0" w:color="auto"/>
        <w:left w:val="none" w:sz="0" w:space="0" w:color="auto"/>
        <w:bottom w:val="none" w:sz="0" w:space="0" w:color="auto"/>
        <w:right w:val="none" w:sz="0" w:space="0" w:color="auto"/>
      </w:divBdr>
    </w:div>
    <w:div w:id="264844432">
      <w:marLeft w:val="0"/>
      <w:marRight w:val="0"/>
      <w:marTop w:val="0"/>
      <w:marBottom w:val="240"/>
      <w:divBdr>
        <w:top w:val="none" w:sz="0" w:space="0" w:color="auto"/>
        <w:left w:val="none" w:sz="0" w:space="0" w:color="auto"/>
        <w:bottom w:val="none" w:sz="0" w:space="0" w:color="auto"/>
        <w:right w:val="none" w:sz="0" w:space="0" w:color="auto"/>
      </w:divBdr>
    </w:div>
    <w:div w:id="265038171">
      <w:marLeft w:val="0"/>
      <w:marRight w:val="0"/>
      <w:marTop w:val="0"/>
      <w:marBottom w:val="240"/>
      <w:divBdr>
        <w:top w:val="none" w:sz="0" w:space="0" w:color="auto"/>
        <w:left w:val="none" w:sz="0" w:space="0" w:color="auto"/>
        <w:bottom w:val="none" w:sz="0" w:space="0" w:color="auto"/>
        <w:right w:val="none" w:sz="0" w:space="0" w:color="auto"/>
      </w:divBdr>
    </w:div>
    <w:div w:id="266742733">
      <w:marLeft w:val="0"/>
      <w:marRight w:val="0"/>
      <w:marTop w:val="180"/>
      <w:marBottom w:val="180"/>
      <w:divBdr>
        <w:top w:val="none" w:sz="0" w:space="0" w:color="auto"/>
        <w:left w:val="none" w:sz="0" w:space="0" w:color="auto"/>
        <w:bottom w:val="none" w:sz="0" w:space="0" w:color="auto"/>
        <w:right w:val="none" w:sz="0" w:space="0" w:color="auto"/>
      </w:divBdr>
    </w:div>
    <w:div w:id="270358703">
      <w:marLeft w:val="0"/>
      <w:marRight w:val="0"/>
      <w:marTop w:val="100"/>
      <w:marBottom w:val="0"/>
      <w:divBdr>
        <w:top w:val="none" w:sz="0" w:space="0" w:color="auto"/>
        <w:left w:val="none" w:sz="0" w:space="0" w:color="auto"/>
        <w:bottom w:val="none" w:sz="0" w:space="0" w:color="auto"/>
        <w:right w:val="none" w:sz="0" w:space="0" w:color="auto"/>
      </w:divBdr>
    </w:div>
    <w:div w:id="270675542">
      <w:marLeft w:val="0"/>
      <w:marRight w:val="0"/>
      <w:marTop w:val="0"/>
      <w:marBottom w:val="0"/>
      <w:divBdr>
        <w:top w:val="none" w:sz="0" w:space="0" w:color="auto"/>
        <w:left w:val="none" w:sz="0" w:space="0" w:color="auto"/>
        <w:bottom w:val="none" w:sz="0" w:space="0" w:color="auto"/>
        <w:right w:val="none" w:sz="0" w:space="0" w:color="auto"/>
      </w:divBdr>
      <w:divsChild>
        <w:div w:id="1970698089">
          <w:marLeft w:val="0"/>
          <w:marRight w:val="0"/>
          <w:marTop w:val="0"/>
          <w:marBottom w:val="0"/>
          <w:divBdr>
            <w:top w:val="none" w:sz="0" w:space="0" w:color="auto"/>
            <w:left w:val="none" w:sz="0" w:space="0" w:color="auto"/>
            <w:bottom w:val="none" w:sz="0" w:space="0" w:color="auto"/>
            <w:right w:val="none" w:sz="0" w:space="0" w:color="auto"/>
          </w:divBdr>
        </w:div>
      </w:divsChild>
    </w:div>
    <w:div w:id="271867157">
      <w:marLeft w:val="0"/>
      <w:marRight w:val="0"/>
      <w:marTop w:val="120"/>
      <w:marBottom w:val="180"/>
      <w:divBdr>
        <w:top w:val="none" w:sz="0" w:space="0" w:color="auto"/>
        <w:left w:val="none" w:sz="0" w:space="0" w:color="auto"/>
        <w:bottom w:val="none" w:sz="0" w:space="0" w:color="auto"/>
        <w:right w:val="none" w:sz="0" w:space="0" w:color="auto"/>
      </w:divBdr>
    </w:div>
    <w:div w:id="272370441">
      <w:marLeft w:val="0"/>
      <w:marRight w:val="0"/>
      <w:marTop w:val="0"/>
      <w:marBottom w:val="0"/>
      <w:divBdr>
        <w:top w:val="none" w:sz="0" w:space="0" w:color="auto"/>
        <w:left w:val="none" w:sz="0" w:space="0" w:color="auto"/>
        <w:bottom w:val="none" w:sz="0" w:space="0" w:color="auto"/>
        <w:right w:val="none" w:sz="0" w:space="0" w:color="auto"/>
      </w:divBdr>
    </w:div>
    <w:div w:id="272594780">
      <w:marLeft w:val="0"/>
      <w:marRight w:val="0"/>
      <w:marTop w:val="0"/>
      <w:marBottom w:val="180"/>
      <w:divBdr>
        <w:top w:val="none" w:sz="0" w:space="0" w:color="auto"/>
        <w:left w:val="none" w:sz="0" w:space="0" w:color="auto"/>
        <w:bottom w:val="none" w:sz="0" w:space="0" w:color="auto"/>
        <w:right w:val="none" w:sz="0" w:space="0" w:color="auto"/>
      </w:divBdr>
    </w:div>
    <w:div w:id="274218159">
      <w:marLeft w:val="0"/>
      <w:marRight w:val="0"/>
      <w:marTop w:val="0"/>
      <w:marBottom w:val="0"/>
      <w:divBdr>
        <w:top w:val="none" w:sz="0" w:space="0" w:color="auto"/>
        <w:left w:val="none" w:sz="0" w:space="0" w:color="auto"/>
        <w:bottom w:val="none" w:sz="0" w:space="0" w:color="auto"/>
        <w:right w:val="none" w:sz="0" w:space="0" w:color="auto"/>
      </w:divBdr>
      <w:divsChild>
        <w:div w:id="1035690104">
          <w:marLeft w:val="0"/>
          <w:marRight w:val="0"/>
          <w:marTop w:val="0"/>
          <w:marBottom w:val="0"/>
          <w:divBdr>
            <w:top w:val="none" w:sz="0" w:space="0" w:color="auto"/>
            <w:left w:val="none" w:sz="0" w:space="0" w:color="auto"/>
            <w:bottom w:val="none" w:sz="0" w:space="0" w:color="auto"/>
            <w:right w:val="none" w:sz="0" w:space="0" w:color="auto"/>
          </w:divBdr>
        </w:div>
      </w:divsChild>
    </w:div>
    <w:div w:id="274405904">
      <w:marLeft w:val="0"/>
      <w:marRight w:val="0"/>
      <w:marTop w:val="0"/>
      <w:marBottom w:val="0"/>
      <w:divBdr>
        <w:top w:val="none" w:sz="0" w:space="0" w:color="auto"/>
        <w:left w:val="none" w:sz="0" w:space="0" w:color="auto"/>
        <w:bottom w:val="none" w:sz="0" w:space="0" w:color="auto"/>
        <w:right w:val="none" w:sz="0" w:space="0" w:color="auto"/>
      </w:divBdr>
    </w:div>
    <w:div w:id="276790209">
      <w:marLeft w:val="0"/>
      <w:marRight w:val="0"/>
      <w:marTop w:val="180"/>
      <w:marBottom w:val="180"/>
      <w:divBdr>
        <w:top w:val="none" w:sz="0" w:space="0" w:color="auto"/>
        <w:left w:val="none" w:sz="0" w:space="0" w:color="auto"/>
        <w:bottom w:val="none" w:sz="0" w:space="0" w:color="auto"/>
        <w:right w:val="none" w:sz="0" w:space="0" w:color="auto"/>
      </w:divBdr>
    </w:div>
    <w:div w:id="276916305">
      <w:marLeft w:val="0"/>
      <w:marRight w:val="0"/>
      <w:marTop w:val="0"/>
      <w:marBottom w:val="0"/>
      <w:divBdr>
        <w:top w:val="none" w:sz="0" w:space="0" w:color="auto"/>
        <w:left w:val="none" w:sz="0" w:space="0" w:color="auto"/>
        <w:bottom w:val="none" w:sz="0" w:space="0" w:color="auto"/>
        <w:right w:val="none" w:sz="0" w:space="0" w:color="auto"/>
      </w:divBdr>
    </w:div>
    <w:div w:id="277570511">
      <w:marLeft w:val="0"/>
      <w:marRight w:val="0"/>
      <w:marTop w:val="0"/>
      <w:marBottom w:val="0"/>
      <w:divBdr>
        <w:top w:val="none" w:sz="0" w:space="0" w:color="auto"/>
        <w:left w:val="none" w:sz="0" w:space="0" w:color="auto"/>
        <w:bottom w:val="none" w:sz="0" w:space="0" w:color="auto"/>
        <w:right w:val="none" w:sz="0" w:space="0" w:color="auto"/>
      </w:divBdr>
    </w:div>
    <w:div w:id="277610656">
      <w:marLeft w:val="0"/>
      <w:marRight w:val="0"/>
      <w:marTop w:val="180"/>
      <w:marBottom w:val="180"/>
      <w:divBdr>
        <w:top w:val="none" w:sz="0" w:space="0" w:color="auto"/>
        <w:left w:val="none" w:sz="0" w:space="0" w:color="auto"/>
        <w:bottom w:val="none" w:sz="0" w:space="0" w:color="auto"/>
        <w:right w:val="none" w:sz="0" w:space="0" w:color="auto"/>
      </w:divBdr>
    </w:div>
    <w:div w:id="277757926">
      <w:marLeft w:val="0"/>
      <w:marRight w:val="0"/>
      <w:marTop w:val="0"/>
      <w:marBottom w:val="0"/>
      <w:divBdr>
        <w:top w:val="none" w:sz="0" w:space="0" w:color="auto"/>
        <w:left w:val="none" w:sz="0" w:space="0" w:color="auto"/>
        <w:bottom w:val="none" w:sz="0" w:space="0" w:color="auto"/>
        <w:right w:val="none" w:sz="0" w:space="0" w:color="auto"/>
      </w:divBdr>
      <w:divsChild>
        <w:div w:id="1805271285">
          <w:marLeft w:val="0"/>
          <w:marRight w:val="0"/>
          <w:marTop w:val="0"/>
          <w:marBottom w:val="0"/>
          <w:divBdr>
            <w:top w:val="none" w:sz="0" w:space="0" w:color="auto"/>
            <w:left w:val="none" w:sz="0" w:space="0" w:color="auto"/>
            <w:bottom w:val="none" w:sz="0" w:space="0" w:color="auto"/>
            <w:right w:val="none" w:sz="0" w:space="0" w:color="auto"/>
          </w:divBdr>
        </w:div>
      </w:divsChild>
    </w:div>
    <w:div w:id="277761289">
      <w:marLeft w:val="0"/>
      <w:marRight w:val="0"/>
      <w:marTop w:val="0"/>
      <w:marBottom w:val="240"/>
      <w:divBdr>
        <w:top w:val="none" w:sz="0" w:space="0" w:color="auto"/>
        <w:left w:val="none" w:sz="0" w:space="0" w:color="auto"/>
        <w:bottom w:val="none" w:sz="0" w:space="0" w:color="auto"/>
        <w:right w:val="none" w:sz="0" w:space="0" w:color="auto"/>
      </w:divBdr>
    </w:div>
    <w:div w:id="277955896">
      <w:marLeft w:val="0"/>
      <w:marRight w:val="0"/>
      <w:marTop w:val="100"/>
      <w:marBottom w:val="0"/>
      <w:divBdr>
        <w:top w:val="none" w:sz="0" w:space="0" w:color="auto"/>
        <w:left w:val="none" w:sz="0" w:space="0" w:color="auto"/>
        <w:bottom w:val="none" w:sz="0" w:space="0" w:color="auto"/>
        <w:right w:val="none" w:sz="0" w:space="0" w:color="auto"/>
      </w:divBdr>
      <w:divsChild>
        <w:div w:id="1392118112">
          <w:marLeft w:val="0"/>
          <w:marRight w:val="0"/>
          <w:marTop w:val="0"/>
          <w:marBottom w:val="0"/>
          <w:divBdr>
            <w:top w:val="none" w:sz="0" w:space="0" w:color="auto"/>
            <w:left w:val="none" w:sz="0" w:space="0" w:color="auto"/>
            <w:bottom w:val="none" w:sz="0" w:space="0" w:color="auto"/>
            <w:right w:val="none" w:sz="0" w:space="0" w:color="auto"/>
          </w:divBdr>
        </w:div>
        <w:div w:id="1125848390">
          <w:marLeft w:val="0"/>
          <w:marRight w:val="0"/>
          <w:marTop w:val="0"/>
          <w:marBottom w:val="0"/>
          <w:divBdr>
            <w:top w:val="none" w:sz="0" w:space="0" w:color="auto"/>
            <w:left w:val="none" w:sz="0" w:space="0" w:color="auto"/>
            <w:bottom w:val="none" w:sz="0" w:space="0" w:color="auto"/>
            <w:right w:val="none" w:sz="0" w:space="0" w:color="auto"/>
          </w:divBdr>
        </w:div>
        <w:div w:id="587006174">
          <w:marLeft w:val="0"/>
          <w:marRight w:val="0"/>
          <w:marTop w:val="0"/>
          <w:marBottom w:val="0"/>
          <w:divBdr>
            <w:top w:val="none" w:sz="0" w:space="0" w:color="auto"/>
            <w:left w:val="none" w:sz="0" w:space="0" w:color="auto"/>
            <w:bottom w:val="none" w:sz="0" w:space="0" w:color="auto"/>
            <w:right w:val="none" w:sz="0" w:space="0" w:color="auto"/>
          </w:divBdr>
        </w:div>
      </w:divsChild>
    </w:div>
    <w:div w:id="278342480">
      <w:marLeft w:val="0"/>
      <w:marRight w:val="0"/>
      <w:marTop w:val="0"/>
      <w:marBottom w:val="0"/>
      <w:divBdr>
        <w:top w:val="none" w:sz="0" w:space="0" w:color="auto"/>
        <w:left w:val="none" w:sz="0" w:space="0" w:color="auto"/>
        <w:bottom w:val="none" w:sz="0" w:space="0" w:color="auto"/>
        <w:right w:val="none" w:sz="0" w:space="0" w:color="auto"/>
      </w:divBdr>
    </w:div>
    <w:div w:id="279730685">
      <w:marLeft w:val="0"/>
      <w:marRight w:val="0"/>
      <w:marTop w:val="0"/>
      <w:marBottom w:val="0"/>
      <w:divBdr>
        <w:top w:val="none" w:sz="0" w:space="0" w:color="auto"/>
        <w:left w:val="none" w:sz="0" w:space="0" w:color="auto"/>
        <w:bottom w:val="none" w:sz="0" w:space="0" w:color="auto"/>
        <w:right w:val="none" w:sz="0" w:space="0" w:color="auto"/>
      </w:divBdr>
    </w:div>
    <w:div w:id="279798036">
      <w:marLeft w:val="0"/>
      <w:marRight w:val="0"/>
      <w:marTop w:val="0"/>
      <w:marBottom w:val="240"/>
      <w:divBdr>
        <w:top w:val="none" w:sz="0" w:space="0" w:color="auto"/>
        <w:left w:val="none" w:sz="0" w:space="0" w:color="auto"/>
        <w:bottom w:val="none" w:sz="0" w:space="0" w:color="auto"/>
        <w:right w:val="none" w:sz="0" w:space="0" w:color="auto"/>
      </w:divBdr>
    </w:div>
    <w:div w:id="280231946">
      <w:marLeft w:val="0"/>
      <w:marRight w:val="0"/>
      <w:marTop w:val="0"/>
      <w:marBottom w:val="240"/>
      <w:divBdr>
        <w:top w:val="none" w:sz="0" w:space="0" w:color="auto"/>
        <w:left w:val="none" w:sz="0" w:space="0" w:color="auto"/>
        <w:bottom w:val="none" w:sz="0" w:space="0" w:color="auto"/>
        <w:right w:val="none" w:sz="0" w:space="0" w:color="auto"/>
      </w:divBdr>
    </w:div>
    <w:div w:id="280381857">
      <w:marLeft w:val="0"/>
      <w:marRight w:val="0"/>
      <w:marTop w:val="0"/>
      <w:marBottom w:val="0"/>
      <w:divBdr>
        <w:top w:val="none" w:sz="0" w:space="0" w:color="auto"/>
        <w:left w:val="none" w:sz="0" w:space="0" w:color="auto"/>
        <w:bottom w:val="none" w:sz="0" w:space="0" w:color="auto"/>
        <w:right w:val="none" w:sz="0" w:space="0" w:color="auto"/>
      </w:divBdr>
    </w:div>
    <w:div w:id="280456714">
      <w:marLeft w:val="0"/>
      <w:marRight w:val="0"/>
      <w:marTop w:val="0"/>
      <w:marBottom w:val="240"/>
      <w:divBdr>
        <w:top w:val="none" w:sz="0" w:space="0" w:color="auto"/>
        <w:left w:val="none" w:sz="0" w:space="0" w:color="auto"/>
        <w:bottom w:val="none" w:sz="0" w:space="0" w:color="auto"/>
        <w:right w:val="none" w:sz="0" w:space="0" w:color="auto"/>
      </w:divBdr>
    </w:div>
    <w:div w:id="280459697">
      <w:marLeft w:val="0"/>
      <w:marRight w:val="0"/>
      <w:marTop w:val="0"/>
      <w:marBottom w:val="180"/>
      <w:divBdr>
        <w:top w:val="none" w:sz="0" w:space="0" w:color="auto"/>
        <w:left w:val="none" w:sz="0" w:space="0" w:color="auto"/>
        <w:bottom w:val="none" w:sz="0" w:space="0" w:color="auto"/>
        <w:right w:val="none" w:sz="0" w:space="0" w:color="auto"/>
      </w:divBdr>
    </w:div>
    <w:div w:id="280572009">
      <w:marLeft w:val="0"/>
      <w:marRight w:val="0"/>
      <w:marTop w:val="0"/>
      <w:marBottom w:val="0"/>
      <w:divBdr>
        <w:top w:val="none" w:sz="0" w:space="0" w:color="auto"/>
        <w:left w:val="none" w:sz="0" w:space="0" w:color="auto"/>
        <w:bottom w:val="none" w:sz="0" w:space="0" w:color="auto"/>
        <w:right w:val="none" w:sz="0" w:space="0" w:color="auto"/>
      </w:divBdr>
    </w:div>
    <w:div w:id="281310612">
      <w:marLeft w:val="0"/>
      <w:marRight w:val="0"/>
      <w:marTop w:val="180"/>
      <w:marBottom w:val="180"/>
      <w:divBdr>
        <w:top w:val="none" w:sz="0" w:space="0" w:color="auto"/>
        <w:left w:val="none" w:sz="0" w:space="0" w:color="auto"/>
        <w:bottom w:val="none" w:sz="0" w:space="0" w:color="auto"/>
        <w:right w:val="none" w:sz="0" w:space="0" w:color="auto"/>
      </w:divBdr>
    </w:div>
    <w:div w:id="281496353">
      <w:marLeft w:val="0"/>
      <w:marRight w:val="0"/>
      <w:marTop w:val="0"/>
      <w:marBottom w:val="0"/>
      <w:divBdr>
        <w:top w:val="none" w:sz="0" w:space="0" w:color="auto"/>
        <w:left w:val="none" w:sz="0" w:space="0" w:color="auto"/>
        <w:bottom w:val="none" w:sz="0" w:space="0" w:color="auto"/>
        <w:right w:val="none" w:sz="0" w:space="0" w:color="auto"/>
      </w:divBdr>
      <w:divsChild>
        <w:div w:id="950821205">
          <w:marLeft w:val="0"/>
          <w:marRight w:val="0"/>
          <w:marTop w:val="0"/>
          <w:marBottom w:val="0"/>
          <w:divBdr>
            <w:top w:val="none" w:sz="0" w:space="0" w:color="auto"/>
            <w:left w:val="none" w:sz="0" w:space="0" w:color="auto"/>
            <w:bottom w:val="none" w:sz="0" w:space="0" w:color="auto"/>
            <w:right w:val="none" w:sz="0" w:space="0" w:color="auto"/>
          </w:divBdr>
        </w:div>
      </w:divsChild>
    </w:div>
    <w:div w:id="281885545">
      <w:marLeft w:val="0"/>
      <w:marRight w:val="0"/>
      <w:marTop w:val="0"/>
      <w:marBottom w:val="0"/>
      <w:divBdr>
        <w:top w:val="none" w:sz="0" w:space="0" w:color="auto"/>
        <w:left w:val="none" w:sz="0" w:space="0" w:color="auto"/>
        <w:bottom w:val="none" w:sz="0" w:space="0" w:color="auto"/>
        <w:right w:val="none" w:sz="0" w:space="0" w:color="auto"/>
      </w:divBdr>
    </w:div>
    <w:div w:id="282082506">
      <w:marLeft w:val="0"/>
      <w:marRight w:val="0"/>
      <w:marTop w:val="0"/>
      <w:marBottom w:val="180"/>
      <w:divBdr>
        <w:top w:val="none" w:sz="0" w:space="0" w:color="auto"/>
        <w:left w:val="none" w:sz="0" w:space="0" w:color="auto"/>
        <w:bottom w:val="none" w:sz="0" w:space="0" w:color="auto"/>
        <w:right w:val="none" w:sz="0" w:space="0" w:color="auto"/>
      </w:divBdr>
    </w:div>
    <w:div w:id="282661645">
      <w:marLeft w:val="0"/>
      <w:marRight w:val="0"/>
      <w:marTop w:val="0"/>
      <w:marBottom w:val="180"/>
      <w:divBdr>
        <w:top w:val="none" w:sz="0" w:space="0" w:color="auto"/>
        <w:left w:val="none" w:sz="0" w:space="0" w:color="auto"/>
        <w:bottom w:val="none" w:sz="0" w:space="0" w:color="auto"/>
        <w:right w:val="none" w:sz="0" w:space="0" w:color="auto"/>
      </w:divBdr>
    </w:div>
    <w:div w:id="284115221">
      <w:marLeft w:val="0"/>
      <w:marRight w:val="0"/>
      <w:marTop w:val="180"/>
      <w:marBottom w:val="180"/>
      <w:divBdr>
        <w:top w:val="none" w:sz="0" w:space="0" w:color="auto"/>
        <w:left w:val="none" w:sz="0" w:space="0" w:color="auto"/>
        <w:bottom w:val="none" w:sz="0" w:space="0" w:color="auto"/>
        <w:right w:val="none" w:sz="0" w:space="0" w:color="auto"/>
      </w:divBdr>
    </w:div>
    <w:div w:id="285279331">
      <w:marLeft w:val="0"/>
      <w:marRight w:val="0"/>
      <w:marTop w:val="0"/>
      <w:marBottom w:val="0"/>
      <w:divBdr>
        <w:top w:val="none" w:sz="0" w:space="0" w:color="auto"/>
        <w:left w:val="none" w:sz="0" w:space="0" w:color="auto"/>
        <w:bottom w:val="none" w:sz="0" w:space="0" w:color="auto"/>
        <w:right w:val="none" w:sz="0" w:space="0" w:color="auto"/>
      </w:divBdr>
      <w:divsChild>
        <w:div w:id="1910530606">
          <w:marLeft w:val="0"/>
          <w:marRight w:val="0"/>
          <w:marTop w:val="0"/>
          <w:marBottom w:val="0"/>
          <w:divBdr>
            <w:top w:val="none" w:sz="0" w:space="0" w:color="auto"/>
            <w:left w:val="none" w:sz="0" w:space="0" w:color="auto"/>
            <w:bottom w:val="none" w:sz="0" w:space="0" w:color="auto"/>
            <w:right w:val="none" w:sz="0" w:space="0" w:color="auto"/>
          </w:divBdr>
        </w:div>
      </w:divsChild>
    </w:div>
    <w:div w:id="286282917">
      <w:marLeft w:val="0"/>
      <w:marRight w:val="0"/>
      <w:marTop w:val="0"/>
      <w:marBottom w:val="0"/>
      <w:divBdr>
        <w:top w:val="none" w:sz="0" w:space="0" w:color="auto"/>
        <w:left w:val="none" w:sz="0" w:space="0" w:color="auto"/>
        <w:bottom w:val="none" w:sz="0" w:space="0" w:color="auto"/>
        <w:right w:val="none" w:sz="0" w:space="0" w:color="auto"/>
      </w:divBdr>
    </w:div>
    <w:div w:id="287206376">
      <w:marLeft w:val="0"/>
      <w:marRight w:val="0"/>
      <w:marTop w:val="0"/>
      <w:marBottom w:val="180"/>
      <w:divBdr>
        <w:top w:val="none" w:sz="0" w:space="0" w:color="auto"/>
        <w:left w:val="none" w:sz="0" w:space="0" w:color="auto"/>
        <w:bottom w:val="none" w:sz="0" w:space="0" w:color="auto"/>
        <w:right w:val="none" w:sz="0" w:space="0" w:color="auto"/>
      </w:divBdr>
    </w:div>
    <w:div w:id="287517833">
      <w:marLeft w:val="0"/>
      <w:marRight w:val="0"/>
      <w:marTop w:val="0"/>
      <w:marBottom w:val="0"/>
      <w:divBdr>
        <w:top w:val="none" w:sz="0" w:space="0" w:color="auto"/>
        <w:left w:val="none" w:sz="0" w:space="0" w:color="auto"/>
        <w:bottom w:val="none" w:sz="0" w:space="0" w:color="auto"/>
        <w:right w:val="none" w:sz="0" w:space="0" w:color="auto"/>
      </w:divBdr>
    </w:div>
    <w:div w:id="287787683">
      <w:marLeft w:val="0"/>
      <w:marRight w:val="0"/>
      <w:marTop w:val="0"/>
      <w:marBottom w:val="180"/>
      <w:divBdr>
        <w:top w:val="none" w:sz="0" w:space="0" w:color="auto"/>
        <w:left w:val="none" w:sz="0" w:space="0" w:color="auto"/>
        <w:bottom w:val="none" w:sz="0" w:space="0" w:color="auto"/>
        <w:right w:val="none" w:sz="0" w:space="0" w:color="auto"/>
      </w:divBdr>
    </w:div>
    <w:div w:id="288240637">
      <w:marLeft w:val="0"/>
      <w:marRight w:val="0"/>
      <w:marTop w:val="100"/>
      <w:marBottom w:val="0"/>
      <w:divBdr>
        <w:top w:val="none" w:sz="0" w:space="0" w:color="auto"/>
        <w:left w:val="none" w:sz="0" w:space="0" w:color="auto"/>
        <w:bottom w:val="none" w:sz="0" w:space="0" w:color="auto"/>
        <w:right w:val="none" w:sz="0" w:space="0" w:color="auto"/>
      </w:divBdr>
      <w:divsChild>
        <w:div w:id="2010594639">
          <w:marLeft w:val="0"/>
          <w:marRight w:val="0"/>
          <w:marTop w:val="0"/>
          <w:marBottom w:val="0"/>
          <w:divBdr>
            <w:top w:val="none" w:sz="0" w:space="0" w:color="auto"/>
            <w:left w:val="none" w:sz="0" w:space="0" w:color="auto"/>
            <w:bottom w:val="none" w:sz="0" w:space="0" w:color="auto"/>
            <w:right w:val="none" w:sz="0" w:space="0" w:color="auto"/>
          </w:divBdr>
        </w:div>
      </w:divsChild>
    </w:div>
    <w:div w:id="288711525">
      <w:marLeft w:val="0"/>
      <w:marRight w:val="0"/>
      <w:marTop w:val="0"/>
      <w:marBottom w:val="0"/>
      <w:divBdr>
        <w:top w:val="none" w:sz="0" w:space="0" w:color="auto"/>
        <w:left w:val="none" w:sz="0" w:space="0" w:color="auto"/>
        <w:bottom w:val="none" w:sz="0" w:space="0" w:color="auto"/>
        <w:right w:val="none" w:sz="0" w:space="0" w:color="auto"/>
      </w:divBdr>
    </w:div>
    <w:div w:id="289945315">
      <w:marLeft w:val="0"/>
      <w:marRight w:val="0"/>
      <w:marTop w:val="0"/>
      <w:marBottom w:val="240"/>
      <w:divBdr>
        <w:top w:val="none" w:sz="0" w:space="0" w:color="auto"/>
        <w:left w:val="none" w:sz="0" w:space="0" w:color="auto"/>
        <w:bottom w:val="none" w:sz="0" w:space="0" w:color="auto"/>
        <w:right w:val="none" w:sz="0" w:space="0" w:color="auto"/>
      </w:divBdr>
    </w:div>
    <w:div w:id="290017835">
      <w:marLeft w:val="0"/>
      <w:marRight w:val="0"/>
      <w:marTop w:val="0"/>
      <w:marBottom w:val="0"/>
      <w:divBdr>
        <w:top w:val="none" w:sz="0" w:space="0" w:color="auto"/>
        <w:left w:val="none" w:sz="0" w:space="0" w:color="auto"/>
        <w:bottom w:val="none" w:sz="0" w:space="0" w:color="auto"/>
        <w:right w:val="none" w:sz="0" w:space="0" w:color="auto"/>
      </w:divBdr>
      <w:divsChild>
        <w:div w:id="403258993">
          <w:marLeft w:val="0"/>
          <w:marRight w:val="0"/>
          <w:marTop w:val="0"/>
          <w:marBottom w:val="0"/>
          <w:divBdr>
            <w:top w:val="none" w:sz="0" w:space="0" w:color="auto"/>
            <w:left w:val="none" w:sz="0" w:space="0" w:color="auto"/>
            <w:bottom w:val="none" w:sz="0" w:space="0" w:color="auto"/>
            <w:right w:val="none" w:sz="0" w:space="0" w:color="auto"/>
          </w:divBdr>
        </w:div>
      </w:divsChild>
    </w:div>
    <w:div w:id="291402680">
      <w:marLeft w:val="0"/>
      <w:marRight w:val="0"/>
      <w:marTop w:val="0"/>
      <w:marBottom w:val="0"/>
      <w:divBdr>
        <w:top w:val="none" w:sz="0" w:space="0" w:color="auto"/>
        <w:left w:val="none" w:sz="0" w:space="0" w:color="auto"/>
        <w:bottom w:val="none" w:sz="0" w:space="0" w:color="auto"/>
        <w:right w:val="none" w:sz="0" w:space="0" w:color="auto"/>
      </w:divBdr>
    </w:div>
    <w:div w:id="291519044">
      <w:marLeft w:val="0"/>
      <w:marRight w:val="0"/>
      <w:marTop w:val="180"/>
      <w:marBottom w:val="180"/>
      <w:divBdr>
        <w:top w:val="none" w:sz="0" w:space="0" w:color="auto"/>
        <w:left w:val="none" w:sz="0" w:space="0" w:color="auto"/>
        <w:bottom w:val="none" w:sz="0" w:space="0" w:color="auto"/>
        <w:right w:val="none" w:sz="0" w:space="0" w:color="auto"/>
      </w:divBdr>
    </w:div>
    <w:div w:id="293944847">
      <w:marLeft w:val="0"/>
      <w:marRight w:val="0"/>
      <w:marTop w:val="0"/>
      <w:marBottom w:val="180"/>
      <w:divBdr>
        <w:top w:val="none" w:sz="0" w:space="0" w:color="auto"/>
        <w:left w:val="none" w:sz="0" w:space="0" w:color="auto"/>
        <w:bottom w:val="none" w:sz="0" w:space="0" w:color="auto"/>
        <w:right w:val="none" w:sz="0" w:space="0" w:color="auto"/>
      </w:divBdr>
    </w:div>
    <w:div w:id="294483910">
      <w:marLeft w:val="0"/>
      <w:marRight w:val="0"/>
      <w:marTop w:val="180"/>
      <w:marBottom w:val="180"/>
      <w:divBdr>
        <w:top w:val="none" w:sz="0" w:space="0" w:color="auto"/>
        <w:left w:val="none" w:sz="0" w:space="0" w:color="auto"/>
        <w:bottom w:val="none" w:sz="0" w:space="0" w:color="auto"/>
        <w:right w:val="none" w:sz="0" w:space="0" w:color="auto"/>
      </w:divBdr>
    </w:div>
    <w:div w:id="294870408">
      <w:marLeft w:val="0"/>
      <w:marRight w:val="0"/>
      <w:marTop w:val="0"/>
      <w:marBottom w:val="60"/>
      <w:divBdr>
        <w:top w:val="none" w:sz="0" w:space="0" w:color="auto"/>
        <w:left w:val="none" w:sz="0" w:space="0" w:color="auto"/>
        <w:bottom w:val="none" w:sz="0" w:space="0" w:color="auto"/>
        <w:right w:val="none" w:sz="0" w:space="0" w:color="auto"/>
      </w:divBdr>
    </w:div>
    <w:div w:id="294912552">
      <w:marLeft w:val="0"/>
      <w:marRight w:val="0"/>
      <w:marTop w:val="180"/>
      <w:marBottom w:val="180"/>
      <w:divBdr>
        <w:top w:val="none" w:sz="0" w:space="0" w:color="auto"/>
        <w:left w:val="none" w:sz="0" w:space="0" w:color="auto"/>
        <w:bottom w:val="none" w:sz="0" w:space="0" w:color="auto"/>
        <w:right w:val="none" w:sz="0" w:space="0" w:color="auto"/>
      </w:divBdr>
    </w:div>
    <w:div w:id="295112179">
      <w:marLeft w:val="0"/>
      <w:marRight w:val="0"/>
      <w:marTop w:val="100"/>
      <w:marBottom w:val="0"/>
      <w:divBdr>
        <w:top w:val="none" w:sz="0" w:space="0" w:color="auto"/>
        <w:left w:val="none" w:sz="0" w:space="0" w:color="auto"/>
        <w:bottom w:val="none" w:sz="0" w:space="0" w:color="auto"/>
        <w:right w:val="none" w:sz="0" w:space="0" w:color="auto"/>
      </w:divBdr>
    </w:div>
    <w:div w:id="295262548">
      <w:marLeft w:val="0"/>
      <w:marRight w:val="0"/>
      <w:marTop w:val="0"/>
      <w:marBottom w:val="180"/>
      <w:divBdr>
        <w:top w:val="none" w:sz="0" w:space="0" w:color="auto"/>
        <w:left w:val="none" w:sz="0" w:space="0" w:color="auto"/>
        <w:bottom w:val="none" w:sz="0" w:space="0" w:color="auto"/>
        <w:right w:val="none" w:sz="0" w:space="0" w:color="auto"/>
      </w:divBdr>
    </w:div>
    <w:div w:id="295571131">
      <w:marLeft w:val="0"/>
      <w:marRight w:val="0"/>
      <w:marTop w:val="0"/>
      <w:marBottom w:val="0"/>
      <w:divBdr>
        <w:top w:val="none" w:sz="0" w:space="0" w:color="auto"/>
        <w:left w:val="none" w:sz="0" w:space="0" w:color="auto"/>
        <w:bottom w:val="none" w:sz="0" w:space="0" w:color="auto"/>
        <w:right w:val="none" w:sz="0" w:space="0" w:color="auto"/>
      </w:divBdr>
    </w:div>
    <w:div w:id="295795907">
      <w:marLeft w:val="0"/>
      <w:marRight w:val="0"/>
      <w:marTop w:val="180"/>
      <w:marBottom w:val="180"/>
      <w:divBdr>
        <w:top w:val="none" w:sz="0" w:space="0" w:color="auto"/>
        <w:left w:val="none" w:sz="0" w:space="0" w:color="auto"/>
        <w:bottom w:val="none" w:sz="0" w:space="0" w:color="auto"/>
        <w:right w:val="none" w:sz="0" w:space="0" w:color="auto"/>
      </w:divBdr>
    </w:div>
    <w:div w:id="295918811">
      <w:marLeft w:val="0"/>
      <w:marRight w:val="0"/>
      <w:marTop w:val="100"/>
      <w:marBottom w:val="0"/>
      <w:divBdr>
        <w:top w:val="none" w:sz="0" w:space="0" w:color="auto"/>
        <w:left w:val="none" w:sz="0" w:space="0" w:color="auto"/>
        <w:bottom w:val="none" w:sz="0" w:space="0" w:color="auto"/>
        <w:right w:val="none" w:sz="0" w:space="0" w:color="auto"/>
      </w:divBdr>
    </w:div>
    <w:div w:id="296883153">
      <w:marLeft w:val="0"/>
      <w:marRight w:val="0"/>
      <w:marTop w:val="0"/>
      <w:marBottom w:val="0"/>
      <w:divBdr>
        <w:top w:val="none" w:sz="0" w:space="0" w:color="auto"/>
        <w:left w:val="none" w:sz="0" w:space="0" w:color="auto"/>
        <w:bottom w:val="none" w:sz="0" w:space="0" w:color="auto"/>
        <w:right w:val="none" w:sz="0" w:space="0" w:color="auto"/>
      </w:divBdr>
      <w:divsChild>
        <w:div w:id="358164296">
          <w:marLeft w:val="0"/>
          <w:marRight w:val="0"/>
          <w:marTop w:val="0"/>
          <w:marBottom w:val="0"/>
          <w:divBdr>
            <w:top w:val="none" w:sz="0" w:space="0" w:color="auto"/>
            <w:left w:val="none" w:sz="0" w:space="0" w:color="auto"/>
            <w:bottom w:val="none" w:sz="0" w:space="0" w:color="auto"/>
            <w:right w:val="none" w:sz="0" w:space="0" w:color="auto"/>
          </w:divBdr>
        </w:div>
      </w:divsChild>
    </w:div>
    <w:div w:id="297033462">
      <w:marLeft w:val="0"/>
      <w:marRight w:val="0"/>
      <w:marTop w:val="240"/>
      <w:marBottom w:val="240"/>
      <w:divBdr>
        <w:top w:val="none" w:sz="0" w:space="0" w:color="auto"/>
        <w:left w:val="none" w:sz="0" w:space="0" w:color="auto"/>
        <w:bottom w:val="none" w:sz="0" w:space="0" w:color="auto"/>
        <w:right w:val="none" w:sz="0" w:space="0" w:color="auto"/>
      </w:divBdr>
    </w:div>
    <w:div w:id="298415711">
      <w:marLeft w:val="0"/>
      <w:marRight w:val="0"/>
      <w:marTop w:val="0"/>
      <w:marBottom w:val="0"/>
      <w:divBdr>
        <w:top w:val="none" w:sz="0" w:space="0" w:color="auto"/>
        <w:left w:val="none" w:sz="0" w:space="0" w:color="auto"/>
        <w:bottom w:val="none" w:sz="0" w:space="0" w:color="auto"/>
        <w:right w:val="none" w:sz="0" w:space="0" w:color="auto"/>
      </w:divBdr>
    </w:div>
    <w:div w:id="298848252">
      <w:marLeft w:val="0"/>
      <w:marRight w:val="0"/>
      <w:marTop w:val="0"/>
      <w:marBottom w:val="180"/>
      <w:divBdr>
        <w:top w:val="none" w:sz="0" w:space="0" w:color="auto"/>
        <w:left w:val="none" w:sz="0" w:space="0" w:color="auto"/>
        <w:bottom w:val="none" w:sz="0" w:space="0" w:color="auto"/>
        <w:right w:val="none" w:sz="0" w:space="0" w:color="auto"/>
      </w:divBdr>
    </w:div>
    <w:div w:id="299044351">
      <w:marLeft w:val="0"/>
      <w:marRight w:val="0"/>
      <w:marTop w:val="0"/>
      <w:marBottom w:val="240"/>
      <w:divBdr>
        <w:top w:val="none" w:sz="0" w:space="0" w:color="auto"/>
        <w:left w:val="none" w:sz="0" w:space="0" w:color="auto"/>
        <w:bottom w:val="none" w:sz="0" w:space="0" w:color="auto"/>
        <w:right w:val="none" w:sz="0" w:space="0" w:color="auto"/>
      </w:divBdr>
    </w:div>
    <w:div w:id="299499807">
      <w:marLeft w:val="0"/>
      <w:marRight w:val="0"/>
      <w:marTop w:val="0"/>
      <w:marBottom w:val="240"/>
      <w:divBdr>
        <w:top w:val="none" w:sz="0" w:space="0" w:color="auto"/>
        <w:left w:val="none" w:sz="0" w:space="0" w:color="auto"/>
        <w:bottom w:val="none" w:sz="0" w:space="0" w:color="auto"/>
        <w:right w:val="none" w:sz="0" w:space="0" w:color="auto"/>
      </w:divBdr>
    </w:div>
    <w:div w:id="300159782">
      <w:marLeft w:val="0"/>
      <w:marRight w:val="0"/>
      <w:marTop w:val="0"/>
      <w:marBottom w:val="0"/>
      <w:divBdr>
        <w:top w:val="none" w:sz="0" w:space="0" w:color="auto"/>
        <w:left w:val="none" w:sz="0" w:space="0" w:color="auto"/>
        <w:bottom w:val="none" w:sz="0" w:space="0" w:color="auto"/>
        <w:right w:val="none" w:sz="0" w:space="0" w:color="auto"/>
      </w:divBdr>
    </w:div>
    <w:div w:id="300500355">
      <w:marLeft w:val="0"/>
      <w:marRight w:val="0"/>
      <w:marTop w:val="0"/>
      <w:marBottom w:val="240"/>
      <w:divBdr>
        <w:top w:val="none" w:sz="0" w:space="0" w:color="auto"/>
        <w:left w:val="none" w:sz="0" w:space="0" w:color="auto"/>
        <w:bottom w:val="none" w:sz="0" w:space="0" w:color="auto"/>
        <w:right w:val="none" w:sz="0" w:space="0" w:color="auto"/>
      </w:divBdr>
    </w:div>
    <w:div w:id="300769381">
      <w:marLeft w:val="0"/>
      <w:marRight w:val="0"/>
      <w:marTop w:val="0"/>
      <w:marBottom w:val="180"/>
      <w:divBdr>
        <w:top w:val="none" w:sz="0" w:space="0" w:color="auto"/>
        <w:left w:val="none" w:sz="0" w:space="0" w:color="auto"/>
        <w:bottom w:val="none" w:sz="0" w:space="0" w:color="auto"/>
        <w:right w:val="none" w:sz="0" w:space="0" w:color="auto"/>
      </w:divBdr>
    </w:div>
    <w:div w:id="301424015">
      <w:marLeft w:val="0"/>
      <w:marRight w:val="0"/>
      <w:marTop w:val="0"/>
      <w:marBottom w:val="0"/>
      <w:divBdr>
        <w:top w:val="none" w:sz="0" w:space="0" w:color="auto"/>
        <w:left w:val="none" w:sz="0" w:space="0" w:color="auto"/>
        <w:bottom w:val="none" w:sz="0" w:space="0" w:color="auto"/>
        <w:right w:val="none" w:sz="0" w:space="0" w:color="auto"/>
      </w:divBdr>
    </w:div>
    <w:div w:id="302391438">
      <w:marLeft w:val="0"/>
      <w:marRight w:val="0"/>
      <w:marTop w:val="0"/>
      <w:marBottom w:val="240"/>
      <w:divBdr>
        <w:top w:val="none" w:sz="0" w:space="0" w:color="auto"/>
        <w:left w:val="none" w:sz="0" w:space="0" w:color="auto"/>
        <w:bottom w:val="none" w:sz="0" w:space="0" w:color="auto"/>
        <w:right w:val="none" w:sz="0" w:space="0" w:color="auto"/>
      </w:divBdr>
    </w:div>
    <w:div w:id="302976420">
      <w:marLeft w:val="0"/>
      <w:marRight w:val="0"/>
      <w:marTop w:val="0"/>
      <w:marBottom w:val="0"/>
      <w:divBdr>
        <w:top w:val="none" w:sz="0" w:space="0" w:color="auto"/>
        <w:left w:val="none" w:sz="0" w:space="0" w:color="auto"/>
        <w:bottom w:val="none" w:sz="0" w:space="0" w:color="auto"/>
        <w:right w:val="none" w:sz="0" w:space="0" w:color="auto"/>
      </w:divBdr>
    </w:div>
    <w:div w:id="303630040">
      <w:marLeft w:val="0"/>
      <w:marRight w:val="0"/>
      <w:marTop w:val="100"/>
      <w:marBottom w:val="180"/>
      <w:divBdr>
        <w:top w:val="none" w:sz="0" w:space="0" w:color="auto"/>
        <w:left w:val="none" w:sz="0" w:space="0" w:color="auto"/>
        <w:bottom w:val="none" w:sz="0" w:space="0" w:color="auto"/>
        <w:right w:val="none" w:sz="0" w:space="0" w:color="auto"/>
      </w:divBdr>
    </w:div>
    <w:div w:id="303853494">
      <w:marLeft w:val="0"/>
      <w:marRight w:val="0"/>
      <w:marTop w:val="0"/>
      <w:marBottom w:val="0"/>
      <w:divBdr>
        <w:top w:val="none" w:sz="0" w:space="0" w:color="auto"/>
        <w:left w:val="none" w:sz="0" w:space="0" w:color="auto"/>
        <w:bottom w:val="none" w:sz="0" w:space="0" w:color="auto"/>
        <w:right w:val="none" w:sz="0" w:space="0" w:color="auto"/>
      </w:divBdr>
      <w:divsChild>
        <w:div w:id="340591423">
          <w:marLeft w:val="0"/>
          <w:marRight w:val="0"/>
          <w:marTop w:val="0"/>
          <w:marBottom w:val="0"/>
          <w:divBdr>
            <w:top w:val="none" w:sz="0" w:space="0" w:color="auto"/>
            <w:left w:val="none" w:sz="0" w:space="0" w:color="auto"/>
            <w:bottom w:val="none" w:sz="0" w:space="0" w:color="auto"/>
            <w:right w:val="none" w:sz="0" w:space="0" w:color="auto"/>
          </w:divBdr>
        </w:div>
      </w:divsChild>
    </w:div>
    <w:div w:id="304313859">
      <w:marLeft w:val="0"/>
      <w:marRight w:val="0"/>
      <w:marTop w:val="0"/>
      <w:marBottom w:val="0"/>
      <w:divBdr>
        <w:top w:val="none" w:sz="0" w:space="0" w:color="auto"/>
        <w:left w:val="none" w:sz="0" w:space="0" w:color="auto"/>
        <w:bottom w:val="none" w:sz="0" w:space="0" w:color="auto"/>
        <w:right w:val="none" w:sz="0" w:space="0" w:color="auto"/>
      </w:divBdr>
    </w:div>
    <w:div w:id="304360558">
      <w:marLeft w:val="0"/>
      <w:marRight w:val="0"/>
      <w:marTop w:val="0"/>
      <w:marBottom w:val="240"/>
      <w:divBdr>
        <w:top w:val="none" w:sz="0" w:space="0" w:color="auto"/>
        <w:left w:val="none" w:sz="0" w:space="0" w:color="auto"/>
        <w:bottom w:val="none" w:sz="0" w:space="0" w:color="auto"/>
        <w:right w:val="none" w:sz="0" w:space="0" w:color="auto"/>
      </w:divBdr>
    </w:div>
    <w:div w:id="304548956">
      <w:marLeft w:val="0"/>
      <w:marRight w:val="0"/>
      <w:marTop w:val="100"/>
      <w:marBottom w:val="180"/>
      <w:divBdr>
        <w:top w:val="none" w:sz="0" w:space="0" w:color="auto"/>
        <w:left w:val="none" w:sz="0" w:space="0" w:color="auto"/>
        <w:bottom w:val="none" w:sz="0" w:space="0" w:color="auto"/>
        <w:right w:val="none" w:sz="0" w:space="0" w:color="auto"/>
      </w:divBdr>
      <w:divsChild>
        <w:div w:id="319770488">
          <w:marLeft w:val="0"/>
          <w:marRight w:val="0"/>
          <w:marTop w:val="0"/>
          <w:marBottom w:val="0"/>
          <w:divBdr>
            <w:top w:val="none" w:sz="0" w:space="0" w:color="auto"/>
            <w:left w:val="none" w:sz="0" w:space="0" w:color="auto"/>
            <w:bottom w:val="none" w:sz="0" w:space="0" w:color="auto"/>
            <w:right w:val="none" w:sz="0" w:space="0" w:color="auto"/>
          </w:divBdr>
        </w:div>
      </w:divsChild>
    </w:div>
    <w:div w:id="306782982">
      <w:marLeft w:val="0"/>
      <w:marRight w:val="0"/>
      <w:marTop w:val="120"/>
      <w:marBottom w:val="120"/>
      <w:divBdr>
        <w:top w:val="none" w:sz="0" w:space="0" w:color="auto"/>
        <w:left w:val="none" w:sz="0" w:space="0" w:color="auto"/>
        <w:bottom w:val="none" w:sz="0" w:space="0" w:color="auto"/>
        <w:right w:val="none" w:sz="0" w:space="0" w:color="auto"/>
      </w:divBdr>
    </w:div>
    <w:div w:id="307514266">
      <w:marLeft w:val="0"/>
      <w:marRight w:val="0"/>
      <w:marTop w:val="120"/>
      <w:marBottom w:val="120"/>
      <w:divBdr>
        <w:top w:val="none" w:sz="0" w:space="0" w:color="auto"/>
        <w:left w:val="none" w:sz="0" w:space="0" w:color="auto"/>
        <w:bottom w:val="none" w:sz="0" w:space="0" w:color="auto"/>
        <w:right w:val="none" w:sz="0" w:space="0" w:color="auto"/>
      </w:divBdr>
    </w:div>
    <w:div w:id="307587440">
      <w:marLeft w:val="0"/>
      <w:marRight w:val="0"/>
      <w:marTop w:val="0"/>
      <w:marBottom w:val="0"/>
      <w:divBdr>
        <w:top w:val="none" w:sz="0" w:space="0" w:color="auto"/>
        <w:left w:val="none" w:sz="0" w:space="0" w:color="auto"/>
        <w:bottom w:val="none" w:sz="0" w:space="0" w:color="auto"/>
        <w:right w:val="none" w:sz="0" w:space="0" w:color="auto"/>
      </w:divBdr>
      <w:divsChild>
        <w:div w:id="220095389">
          <w:marLeft w:val="0"/>
          <w:marRight w:val="0"/>
          <w:marTop w:val="0"/>
          <w:marBottom w:val="0"/>
          <w:divBdr>
            <w:top w:val="none" w:sz="0" w:space="0" w:color="auto"/>
            <w:left w:val="none" w:sz="0" w:space="0" w:color="auto"/>
            <w:bottom w:val="none" w:sz="0" w:space="0" w:color="auto"/>
            <w:right w:val="none" w:sz="0" w:space="0" w:color="auto"/>
          </w:divBdr>
        </w:div>
      </w:divsChild>
    </w:div>
    <w:div w:id="307705190">
      <w:marLeft w:val="0"/>
      <w:marRight w:val="0"/>
      <w:marTop w:val="180"/>
      <w:marBottom w:val="180"/>
      <w:divBdr>
        <w:top w:val="none" w:sz="0" w:space="0" w:color="auto"/>
        <w:left w:val="none" w:sz="0" w:space="0" w:color="auto"/>
        <w:bottom w:val="none" w:sz="0" w:space="0" w:color="auto"/>
        <w:right w:val="none" w:sz="0" w:space="0" w:color="auto"/>
      </w:divBdr>
    </w:div>
    <w:div w:id="307785188">
      <w:marLeft w:val="0"/>
      <w:marRight w:val="0"/>
      <w:marTop w:val="0"/>
      <w:marBottom w:val="0"/>
      <w:divBdr>
        <w:top w:val="none" w:sz="0" w:space="0" w:color="auto"/>
        <w:left w:val="none" w:sz="0" w:space="0" w:color="auto"/>
        <w:bottom w:val="none" w:sz="0" w:space="0" w:color="auto"/>
        <w:right w:val="none" w:sz="0" w:space="0" w:color="auto"/>
      </w:divBdr>
      <w:divsChild>
        <w:div w:id="1807970272">
          <w:marLeft w:val="0"/>
          <w:marRight w:val="0"/>
          <w:marTop w:val="0"/>
          <w:marBottom w:val="0"/>
          <w:divBdr>
            <w:top w:val="none" w:sz="0" w:space="0" w:color="auto"/>
            <w:left w:val="none" w:sz="0" w:space="0" w:color="auto"/>
            <w:bottom w:val="none" w:sz="0" w:space="0" w:color="auto"/>
            <w:right w:val="none" w:sz="0" w:space="0" w:color="auto"/>
          </w:divBdr>
        </w:div>
      </w:divsChild>
    </w:div>
    <w:div w:id="307824854">
      <w:marLeft w:val="0"/>
      <w:marRight w:val="0"/>
      <w:marTop w:val="0"/>
      <w:marBottom w:val="180"/>
      <w:divBdr>
        <w:top w:val="none" w:sz="0" w:space="0" w:color="auto"/>
        <w:left w:val="none" w:sz="0" w:space="0" w:color="auto"/>
        <w:bottom w:val="none" w:sz="0" w:space="0" w:color="auto"/>
        <w:right w:val="none" w:sz="0" w:space="0" w:color="auto"/>
      </w:divBdr>
    </w:div>
    <w:div w:id="308095226">
      <w:marLeft w:val="0"/>
      <w:marRight w:val="0"/>
      <w:marTop w:val="0"/>
      <w:marBottom w:val="0"/>
      <w:divBdr>
        <w:top w:val="none" w:sz="0" w:space="0" w:color="auto"/>
        <w:left w:val="none" w:sz="0" w:space="0" w:color="auto"/>
        <w:bottom w:val="none" w:sz="0" w:space="0" w:color="auto"/>
        <w:right w:val="none" w:sz="0" w:space="0" w:color="auto"/>
      </w:divBdr>
      <w:divsChild>
        <w:div w:id="1317412239">
          <w:marLeft w:val="0"/>
          <w:marRight w:val="0"/>
          <w:marTop w:val="0"/>
          <w:marBottom w:val="0"/>
          <w:divBdr>
            <w:top w:val="none" w:sz="0" w:space="0" w:color="auto"/>
            <w:left w:val="none" w:sz="0" w:space="0" w:color="auto"/>
            <w:bottom w:val="none" w:sz="0" w:space="0" w:color="auto"/>
            <w:right w:val="none" w:sz="0" w:space="0" w:color="auto"/>
          </w:divBdr>
        </w:div>
      </w:divsChild>
    </w:div>
    <w:div w:id="308096046">
      <w:marLeft w:val="0"/>
      <w:marRight w:val="0"/>
      <w:marTop w:val="0"/>
      <w:marBottom w:val="0"/>
      <w:divBdr>
        <w:top w:val="none" w:sz="0" w:space="0" w:color="auto"/>
        <w:left w:val="none" w:sz="0" w:space="0" w:color="auto"/>
        <w:bottom w:val="none" w:sz="0" w:space="0" w:color="auto"/>
        <w:right w:val="none" w:sz="0" w:space="0" w:color="auto"/>
      </w:divBdr>
      <w:divsChild>
        <w:div w:id="863985341">
          <w:marLeft w:val="0"/>
          <w:marRight w:val="0"/>
          <w:marTop w:val="0"/>
          <w:marBottom w:val="0"/>
          <w:divBdr>
            <w:top w:val="none" w:sz="0" w:space="0" w:color="auto"/>
            <w:left w:val="none" w:sz="0" w:space="0" w:color="auto"/>
            <w:bottom w:val="none" w:sz="0" w:space="0" w:color="auto"/>
            <w:right w:val="none" w:sz="0" w:space="0" w:color="auto"/>
          </w:divBdr>
        </w:div>
      </w:divsChild>
    </w:div>
    <w:div w:id="308173617">
      <w:marLeft w:val="0"/>
      <w:marRight w:val="0"/>
      <w:marTop w:val="0"/>
      <w:marBottom w:val="0"/>
      <w:divBdr>
        <w:top w:val="none" w:sz="0" w:space="0" w:color="auto"/>
        <w:left w:val="none" w:sz="0" w:space="0" w:color="auto"/>
        <w:bottom w:val="none" w:sz="0" w:space="0" w:color="auto"/>
        <w:right w:val="none" w:sz="0" w:space="0" w:color="auto"/>
      </w:divBdr>
    </w:div>
    <w:div w:id="309990507">
      <w:marLeft w:val="0"/>
      <w:marRight w:val="0"/>
      <w:marTop w:val="0"/>
      <w:marBottom w:val="0"/>
      <w:divBdr>
        <w:top w:val="none" w:sz="0" w:space="0" w:color="auto"/>
        <w:left w:val="none" w:sz="0" w:space="0" w:color="auto"/>
        <w:bottom w:val="none" w:sz="0" w:space="0" w:color="auto"/>
        <w:right w:val="none" w:sz="0" w:space="0" w:color="auto"/>
      </w:divBdr>
    </w:div>
    <w:div w:id="310523285">
      <w:marLeft w:val="0"/>
      <w:marRight w:val="0"/>
      <w:marTop w:val="0"/>
      <w:marBottom w:val="240"/>
      <w:divBdr>
        <w:top w:val="none" w:sz="0" w:space="0" w:color="auto"/>
        <w:left w:val="none" w:sz="0" w:space="0" w:color="auto"/>
        <w:bottom w:val="none" w:sz="0" w:space="0" w:color="auto"/>
        <w:right w:val="none" w:sz="0" w:space="0" w:color="auto"/>
      </w:divBdr>
    </w:div>
    <w:div w:id="311061312">
      <w:marLeft w:val="0"/>
      <w:marRight w:val="0"/>
      <w:marTop w:val="0"/>
      <w:marBottom w:val="0"/>
      <w:divBdr>
        <w:top w:val="none" w:sz="0" w:space="0" w:color="auto"/>
        <w:left w:val="none" w:sz="0" w:space="0" w:color="auto"/>
        <w:bottom w:val="none" w:sz="0" w:space="0" w:color="auto"/>
        <w:right w:val="none" w:sz="0" w:space="0" w:color="auto"/>
      </w:divBdr>
      <w:divsChild>
        <w:div w:id="983582579">
          <w:marLeft w:val="0"/>
          <w:marRight w:val="0"/>
          <w:marTop w:val="0"/>
          <w:marBottom w:val="0"/>
          <w:divBdr>
            <w:top w:val="none" w:sz="0" w:space="0" w:color="auto"/>
            <w:left w:val="none" w:sz="0" w:space="0" w:color="auto"/>
            <w:bottom w:val="none" w:sz="0" w:space="0" w:color="auto"/>
            <w:right w:val="none" w:sz="0" w:space="0" w:color="auto"/>
          </w:divBdr>
        </w:div>
      </w:divsChild>
    </w:div>
    <w:div w:id="311327185">
      <w:marLeft w:val="0"/>
      <w:marRight w:val="0"/>
      <w:marTop w:val="0"/>
      <w:marBottom w:val="180"/>
      <w:divBdr>
        <w:top w:val="none" w:sz="0" w:space="0" w:color="auto"/>
        <w:left w:val="none" w:sz="0" w:space="0" w:color="auto"/>
        <w:bottom w:val="none" w:sz="0" w:space="0" w:color="auto"/>
        <w:right w:val="none" w:sz="0" w:space="0" w:color="auto"/>
      </w:divBdr>
    </w:div>
    <w:div w:id="311756501">
      <w:marLeft w:val="0"/>
      <w:marRight w:val="0"/>
      <w:marTop w:val="0"/>
      <w:marBottom w:val="0"/>
      <w:divBdr>
        <w:top w:val="none" w:sz="0" w:space="0" w:color="auto"/>
        <w:left w:val="none" w:sz="0" w:space="0" w:color="auto"/>
        <w:bottom w:val="none" w:sz="0" w:space="0" w:color="auto"/>
        <w:right w:val="none" w:sz="0" w:space="0" w:color="auto"/>
      </w:divBdr>
    </w:div>
    <w:div w:id="313796979">
      <w:marLeft w:val="0"/>
      <w:marRight w:val="0"/>
      <w:marTop w:val="0"/>
      <w:marBottom w:val="0"/>
      <w:divBdr>
        <w:top w:val="none" w:sz="0" w:space="0" w:color="auto"/>
        <w:left w:val="none" w:sz="0" w:space="0" w:color="auto"/>
        <w:bottom w:val="none" w:sz="0" w:space="0" w:color="auto"/>
        <w:right w:val="none" w:sz="0" w:space="0" w:color="auto"/>
      </w:divBdr>
    </w:div>
    <w:div w:id="314145104">
      <w:marLeft w:val="0"/>
      <w:marRight w:val="0"/>
      <w:marTop w:val="0"/>
      <w:marBottom w:val="0"/>
      <w:divBdr>
        <w:top w:val="none" w:sz="0" w:space="0" w:color="auto"/>
        <w:left w:val="none" w:sz="0" w:space="0" w:color="auto"/>
        <w:bottom w:val="none" w:sz="0" w:space="0" w:color="auto"/>
        <w:right w:val="none" w:sz="0" w:space="0" w:color="auto"/>
      </w:divBdr>
      <w:divsChild>
        <w:div w:id="456802743">
          <w:marLeft w:val="0"/>
          <w:marRight w:val="0"/>
          <w:marTop w:val="0"/>
          <w:marBottom w:val="0"/>
          <w:divBdr>
            <w:top w:val="none" w:sz="0" w:space="0" w:color="auto"/>
            <w:left w:val="none" w:sz="0" w:space="0" w:color="auto"/>
            <w:bottom w:val="none" w:sz="0" w:space="0" w:color="auto"/>
            <w:right w:val="none" w:sz="0" w:space="0" w:color="auto"/>
          </w:divBdr>
        </w:div>
      </w:divsChild>
    </w:div>
    <w:div w:id="314457343">
      <w:marLeft w:val="0"/>
      <w:marRight w:val="0"/>
      <w:marTop w:val="0"/>
      <w:marBottom w:val="180"/>
      <w:divBdr>
        <w:top w:val="none" w:sz="0" w:space="0" w:color="auto"/>
        <w:left w:val="none" w:sz="0" w:space="0" w:color="auto"/>
        <w:bottom w:val="none" w:sz="0" w:space="0" w:color="auto"/>
        <w:right w:val="none" w:sz="0" w:space="0" w:color="auto"/>
      </w:divBdr>
    </w:div>
    <w:div w:id="314603186">
      <w:marLeft w:val="0"/>
      <w:marRight w:val="0"/>
      <w:marTop w:val="0"/>
      <w:marBottom w:val="180"/>
      <w:divBdr>
        <w:top w:val="none" w:sz="0" w:space="0" w:color="auto"/>
        <w:left w:val="none" w:sz="0" w:space="0" w:color="auto"/>
        <w:bottom w:val="none" w:sz="0" w:space="0" w:color="auto"/>
        <w:right w:val="none" w:sz="0" w:space="0" w:color="auto"/>
      </w:divBdr>
    </w:div>
    <w:div w:id="315456320">
      <w:marLeft w:val="0"/>
      <w:marRight w:val="0"/>
      <w:marTop w:val="180"/>
      <w:marBottom w:val="180"/>
      <w:divBdr>
        <w:top w:val="none" w:sz="0" w:space="0" w:color="auto"/>
        <w:left w:val="none" w:sz="0" w:space="0" w:color="auto"/>
        <w:bottom w:val="none" w:sz="0" w:space="0" w:color="auto"/>
        <w:right w:val="none" w:sz="0" w:space="0" w:color="auto"/>
      </w:divBdr>
    </w:div>
    <w:div w:id="315764700">
      <w:marLeft w:val="0"/>
      <w:marRight w:val="0"/>
      <w:marTop w:val="0"/>
      <w:marBottom w:val="180"/>
      <w:divBdr>
        <w:top w:val="none" w:sz="0" w:space="0" w:color="auto"/>
        <w:left w:val="none" w:sz="0" w:space="0" w:color="auto"/>
        <w:bottom w:val="none" w:sz="0" w:space="0" w:color="auto"/>
        <w:right w:val="none" w:sz="0" w:space="0" w:color="auto"/>
      </w:divBdr>
    </w:div>
    <w:div w:id="315839573">
      <w:marLeft w:val="0"/>
      <w:marRight w:val="0"/>
      <w:marTop w:val="0"/>
      <w:marBottom w:val="180"/>
      <w:divBdr>
        <w:top w:val="none" w:sz="0" w:space="0" w:color="auto"/>
        <w:left w:val="none" w:sz="0" w:space="0" w:color="auto"/>
        <w:bottom w:val="none" w:sz="0" w:space="0" w:color="auto"/>
        <w:right w:val="none" w:sz="0" w:space="0" w:color="auto"/>
      </w:divBdr>
    </w:div>
    <w:div w:id="316150374">
      <w:marLeft w:val="0"/>
      <w:marRight w:val="0"/>
      <w:marTop w:val="0"/>
      <w:marBottom w:val="0"/>
      <w:divBdr>
        <w:top w:val="none" w:sz="0" w:space="0" w:color="auto"/>
        <w:left w:val="none" w:sz="0" w:space="0" w:color="auto"/>
        <w:bottom w:val="none" w:sz="0" w:space="0" w:color="auto"/>
        <w:right w:val="none" w:sz="0" w:space="0" w:color="auto"/>
      </w:divBdr>
      <w:divsChild>
        <w:div w:id="1313363861">
          <w:marLeft w:val="0"/>
          <w:marRight w:val="0"/>
          <w:marTop w:val="0"/>
          <w:marBottom w:val="0"/>
          <w:divBdr>
            <w:top w:val="none" w:sz="0" w:space="0" w:color="auto"/>
            <w:left w:val="none" w:sz="0" w:space="0" w:color="auto"/>
            <w:bottom w:val="none" w:sz="0" w:space="0" w:color="auto"/>
            <w:right w:val="none" w:sz="0" w:space="0" w:color="auto"/>
          </w:divBdr>
        </w:div>
      </w:divsChild>
    </w:div>
    <w:div w:id="316878800">
      <w:marLeft w:val="0"/>
      <w:marRight w:val="0"/>
      <w:marTop w:val="120"/>
      <w:marBottom w:val="120"/>
      <w:divBdr>
        <w:top w:val="none" w:sz="0" w:space="0" w:color="auto"/>
        <w:left w:val="none" w:sz="0" w:space="0" w:color="auto"/>
        <w:bottom w:val="none" w:sz="0" w:space="0" w:color="auto"/>
        <w:right w:val="none" w:sz="0" w:space="0" w:color="auto"/>
      </w:divBdr>
    </w:div>
    <w:div w:id="316880714">
      <w:marLeft w:val="0"/>
      <w:marRight w:val="0"/>
      <w:marTop w:val="0"/>
      <w:marBottom w:val="240"/>
      <w:divBdr>
        <w:top w:val="none" w:sz="0" w:space="0" w:color="auto"/>
        <w:left w:val="none" w:sz="0" w:space="0" w:color="auto"/>
        <w:bottom w:val="none" w:sz="0" w:space="0" w:color="auto"/>
        <w:right w:val="none" w:sz="0" w:space="0" w:color="auto"/>
      </w:divBdr>
    </w:div>
    <w:div w:id="318964237">
      <w:marLeft w:val="0"/>
      <w:marRight w:val="0"/>
      <w:marTop w:val="0"/>
      <w:marBottom w:val="0"/>
      <w:divBdr>
        <w:top w:val="none" w:sz="0" w:space="0" w:color="auto"/>
        <w:left w:val="none" w:sz="0" w:space="0" w:color="auto"/>
        <w:bottom w:val="none" w:sz="0" w:space="0" w:color="auto"/>
        <w:right w:val="none" w:sz="0" w:space="0" w:color="auto"/>
      </w:divBdr>
    </w:div>
    <w:div w:id="319819545">
      <w:marLeft w:val="0"/>
      <w:marRight w:val="0"/>
      <w:marTop w:val="0"/>
      <w:marBottom w:val="0"/>
      <w:divBdr>
        <w:top w:val="none" w:sz="0" w:space="0" w:color="auto"/>
        <w:left w:val="none" w:sz="0" w:space="0" w:color="auto"/>
        <w:bottom w:val="none" w:sz="0" w:space="0" w:color="auto"/>
        <w:right w:val="none" w:sz="0" w:space="0" w:color="auto"/>
      </w:divBdr>
      <w:divsChild>
        <w:div w:id="166866070">
          <w:marLeft w:val="0"/>
          <w:marRight w:val="0"/>
          <w:marTop w:val="0"/>
          <w:marBottom w:val="0"/>
          <w:divBdr>
            <w:top w:val="none" w:sz="0" w:space="0" w:color="auto"/>
            <w:left w:val="none" w:sz="0" w:space="0" w:color="auto"/>
            <w:bottom w:val="none" w:sz="0" w:space="0" w:color="auto"/>
            <w:right w:val="none" w:sz="0" w:space="0" w:color="auto"/>
          </w:divBdr>
        </w:div>
      </w:divsChild>
    </w:div>
    <w:div w:id="320473754">
      <w:marLeft w:val="0"/>
      <w:marRight w:val="0"/>
      <w:marTop w:val="0"/>
      <w:marBottom w:val="0"/>
      <w:divBdr>
        <w:top w:val="none" w:sz="0" w:space="0" w:color="auto"/>
        <w:left w:val="none" w:sz="0" w:space="0" w:color="auto"/>
        <w:bottom w:val="none" w:sz="0" w:space="0" w:color="auto"/>
        <w:right w:val="none" w:sz="0" w:space="0" w:color="auto"/>
      </w:divBdr>
      <w:divsChild>
        <w:div w:id="1224095385">
          <w:marLeft w:val="0"/>
          <w:marRight w:val="0"/>
          <w:marTop w:val="0"/>
          <w:marBottom w:val="0"/>
          <w:divBdr>
            <w:top w:val="none" w:sz="0" w:space="0" w:color="auto"/>
            <w:left w:val="none" w:sz="0" w:space="0" w:color="auto"/>
            <w:bottom w:val="none" w:sz="0" w:space="0" w:color="auto"/>
            <w:right w:val="none" w:sz="0" w:space="0" w:color="auto"/>
          </w:divBdr>
        </w:div>
      </w:divsChild>
    </w:div>
    <w:div w:id="320543268">
      <w:marLeft w:val="0"/>
      <w:marRight w:val="0"/>
      <w:marTop w:val="0"/>
      <w:marBottom w:val="240"/>
      <w:divBdr>
        <w:top w:val="none" w:sz="0" w:space="0" w:color="auto"/>
        <w:left w:val="none" w:sz="0" w:space="0" w:color="auto"/>
        <w:bottom w:val="none" w:sz="0" w:space="0" w:color="auto"/>
        <w:right w:val="none" w:sz="0" w:space="0" w:color="auto"/>
      </w:divBdr>
    </w:div>
    <w:div w:id="321157765">
      <w:marLeft w:val="0"/>
      <w:marRight w:val="0"/>
      <w:marTop w:val="180"/>
      <w:marBottom w:val="180"/>
      <w:divBdr>
        <w:top w:val="none" w:sz="0" w:space="0" w:color="auto"/>
        <w:left w:val="none" w:sz="0" w:space="0" w:color="auto"/>
        <w:bottom w:val="none" w:sz="0" w:space="0" w:color="auto"/>
        <w:right w:val="none" w:sz="0" w:space="0" w:color="auto"/>
      </w:divBdr>
    </w:div>
    <w:div w:id="322979001">
      <w:marLeft w:val="0"/>
      <w:marRight w:val="0"/>
      <w:marTop w:val="0"/>
      <w:marBottom w:val="0"/>
      <w:divBdr>
        <w:top w:val="none" w:sz="0" w:space="0" w:color="auto"/>
        <w:left w:val="none" w:sz="0" w:space="0" w:color="auto"/>
        <w:bottom w:val="none" w:sz="0" w:space="0" w:color="auto"/>
        <w:right w:val="none" w:sz="0" w:space="0" w:color="auto"/>
      </w:divBdr>
      <w:divsChild>
        <w:div w:id="768113606">
          <w:marLeft w:val="0"/>
          <w:marRight w:val="0"/>
          <w:marTop w:val="0"/>
          <w:marBottom w:val="0"/>
          <w:divBdr>
            <w:top w:val="none" w:sz="0" w:space="0" w:color="auto"/>
            <w:left w:val="none" w:sz="0" w:space="0" w:color="auto"/>
            <w:bottom w:val="none" w:sz="0" w:space="0" w:color="auto"/>
            <w:right w:val="none" w:sz="0" w:space="0" w:color="auto"/>
          </w:divBdr>
        </w:div>
      </w:divsChild>
    </w:div>
    <w:div w:id="323827352">
      <w:marLeft w:val="0"/>
      <w:marRight w:val="0"/>
      <w:marTop w:val="0"/>
      <w:marBottom w:val="240"/>
      <w:divBdr>
        <w:top w:val="none" w:sz="0" w:space="0" w:color="auto"/>
        <w:left w:val="none" w:sz="0" w:space="0" w:color="auto"/>
        <w:bottom w:val="none" w:sz="0" w:space="0" w:color="auto"/>
        <w:right w:val="none" w:sz="0" w:space="0" w:color="auto"/>
      </w:divBdr>
    </w:div>
    <w:div w:id="323896695">
      <w:marLeft w:val="0"/>
      <w:marRight w:val="0"/>
      <w:marTop w:val="0"/>
      <w:marBottom w:val="0"/>
      <w:divBdr>
        <w:top w:val="none" w:sz="0" w:space="0" w:color="auto"/>
        <w:left w:val="none" w:sz="0" w:space="0" w:color="auto"/>
        <w:bottom w:val="none" w:sz="0" w:space="0" w:color="auto"/>
        <w:right w:val="none" w:sz="0" w:space="0" w:color="auto"/>
      </w:divBdr>
      <w:divsChild>
        <w:div w:id="645084988">
          <w:marLeft w:val="0"/>
          <w:marRight w:val="0"/>
          <w:marTop w:val="0"/>
          <w:marBottom w:val="0"/>
          <w:divBdr>
            <w:top w:val="none" w:sz="0" w:space="0" w:color="auto"/>
            <w:left w:val="none" w:sz="0" w:space="0" w:color="auto"/>
            <w:bottom w:val="none" w:sz="0" w:space="0" w:color="auto"/>
            <w:right w:val="none" w:sz="0" w:space="0" w:color="auto"/>
          </w:divBdr>
        </w:div>
      </w:divsChild>
    </w:div>
    <w:div w:id="324818037">
      <w:marLeft w:val="0"/>
      <w:marRight w:val="0"/>
      <w:marTop w:val="0"/>
      <w:marBottom w:val="180"/>
      <w:divBdr>
        <w:top w:val="none" w:sz="0" w:space="0" w:color="auto"/>
        <w:left w:val="none" w:sz="0" w:space="0" w:color="auto"/>
        <w:bottom w:val="none" w:sz="0" w:space="0" w:color="auto"/>
        <w:right w:val="none" w:sz="0" w:space="0" w:color="auto"/>
      </w:divBdr>
    </w:div>
    <w:div w:id="326372490">
      <w:marLeft w:val="0"/>
      <w:marRight w:val="0"/>
      <w:marTop w:val="120"/>
      <w:marBottom w:val="120"/>
      <w:divBdr>
        <w:top w:val="none" w:sz="0" w:space="0" w:color="auto"/>
        <w:left w:val="none" w:sz="0" w:space="0" w:color="auto"/>
        <w:bottom w:val="none" w:sz="0" w:space="0" w:color="auto"/>
        <w:right w:val="none" w:sz="0" w:space="0" w:color="auto"/>
      </w:divBdr>
    </w:div>
    <w:div w:id="328024316">
      <w:marLeft w:val="0"/>
      <w:marRight w:val="0"/>
      <w:marTop w:val="0"/>
      <w:marBottom w:val="0"/>
      <w:divBdr>
        <w:top w:val="none" w:sz="0" w:space="0" w:color="auto"/>
        <w:left w:val="none" w:sz="0" w:space="0" w:color="auto"/>
        <w:bottom w:val="none" w:sz="0" w:space="0" w:color="auto"/>
        <w:right w:val="none" w:sz="0" w:space="0" w:color="auto"/>
      </w:divBdr>
    </w:div>
    <w:div w:id="329217983">
      <w:marLeft w:val="0"/>
      <w:marRight w:val="0"/>
      <w:marTop w:val="0"/>
      <w:marBottom w:val="180"/>
      <w:divBdr>
        <w:top w:val="none" w:sz="0" w:space="0" w:color="auto"/>
        <w:left w:val="none" w:sz="0" w:space="0" w:color="auto"/>
        <w:bottom w:val="none" w:sz="0" w:space="0" w:color="auto"/>
        <w:right w:val="none" w:sz="0" w:space="0" w:color="auto"/>
      </w:divBdr>
    </w:div>
    <w:div w:id="329257674">
      <w:marLeft w:val="0"/>
      <w:marRight w:val="0"/>
      <w:marTop w:val="0"/>
      <w:marBottom w:val="240"/>
      <w:divBdr>
        <w:top w:val="none" w:sz="0" w:space="0" w:color="auto"/>
        <w:left w:val="none" w:sz="0" w:space="0" w:color="auto"/>
        <w:bottom w:val="none" w:sz="0" w:space="0" w:color="auto"/>
        <w:right w:val="none" w:sz="0" w:space="0" w:color="auto"/>
      </w:divBdr>
    </w:div>
    <w:div w:id="330185989">
      <w:marLeft w:val="0"/>
      <w:marRight w:val="0"/>
      <w:marTop w:val="0"/>
      <w:marBottom w:val="180"/>
      <w:divBdr>
        <w:top w:val="none" w:sz="0" w:space="0" w:color="auto"/>
        <w:left w:val="none" w:sz="0" w:space="0" w:color="auto"/>
        <w:bottom w:val="none" w:sz="0" w:space="0" w:color="auto"/>
        <w:right w:val="none" w:sz="0" w:space="0" w:color="auto"/>
      </w:divBdr>
    </w:div>
    <w:div w:id="330446533">
      <w:marLeft w:val="0"/>
      <w:marRight w:val="0"/>
      <w:marTop w:val="0"/>
      <w:marBottom w:val="60"/>
      <w:divBdr>
        <w:top w:val="none" w:sz="0" w:space="0" w:color="auto"/>
        <w:left w:val="none" w:sz="0" w:space="0" w:color="auto"/>
        <w:bottom w:val="none" w:sz="0" w:space="0" w:color="auto"/>
        <w:right w:val="none" w:sz="0" w:space="0" w:color="auto"/>
      </w:divBdr>
    </w:div>
    <w:div w:id="331570745">
      <w:marLeft w:val="0"/>
      <w:marRight w:val="0"/>
      <w:marTop w:val="0"/>
      <w:marBottom w:val="240"/>
      <w:divBdr>
        <w:top w:val="none" w:sz="0" w:space="0" w:color="auto"/>
        <w:left w:val="none" w:sz="0" w:space="0" w:color="auto"/>
        <w:bottom w:val="none" w:sz="0" w:space="0" w:color="auto"/>
        <w:right w:val="none" w:sz="0" w:space="0" w:color="auto"/>
      </w:divBdr>
    </w:div>
    <w:div w:id="332533900">
      <w:marLeft w:val="0"/>
      <w:marRight w:val="0"/>
      <w:marTop w:val="0"/>
      <w:marBottom w:val="240"/>
      <w:divBdr>
        <w:top w:val="none" w:sz="0" w:space="0" w:color="auto"/>
        <w:left w:val="none" w:sz="0" w:space="0" w:color="auto"/>
        <w:bottom w:val="none" w:sz="0" w:space="0" w:color="auto"/>
        <w:right w:val="none" w:sz="0" w:space="0" w:color="auto"/>
      </w:divBdr>
    </w:div>
    <w:div w:id="333459521">
      <w:marLeft w:val="0"/>
      <w:marRight w:val="0"/>
      <w:marTop w:val="0"/>
      <w:marBottom w:val="180"/>
      <w:divBdr>
        <w:top w:val="none" w:sz="0" w:space="0" w:color="auto"/>
        <w:left w:val="none" w:sz="0" w:space="0" w:color="auto"/>
        <w:bottom w:val="none" w:sz="0" w:space="0" w:color="auto"/>
        <w:right w:val="none" w:sz="0" w:space="0" w:color="auto"/>
      </w:divBdr>
    </w:div>
    <w:div w:id="334069741">
      <w:marLeft w:val="0"/>
      <w:marRight w:val="0"/>
      <w:marTop w:val="0"/>
      <w:marBottom w:val="240"/>
      <w:divBdr>
        <w:top w:val="none" w:sz="0" w:space="0" w:color="auto"/>
        <w:left w:val="none" w:sz="0" w:space="0" w:color="auto"/>
        <w:bottom w:val="none" w:sz="0" w:space="0" w:color="auto"/>
        <w:right w:val="none" w:sz="0" w:space="0" w:color="auto"/>
      </w:divBdr>
    </w:div>
    <w:div w:id="334235092">
      <w:marLeft w:val="0"/>
      <w:marRight w:val="0"/>
      <w:marTop w:val="0"/>
      <w:marBottom w:val="240"/>
      <w:divBdr>
        <w:top w:val="none" w:sz="0" w:space="0" w:color="auto"/>
        <w:left w:val="none" w:sz="0" w:space="0" w:color="auto"/>
        <w:bottom w:val="none" w:sz="0" w:space="0" w:color="auto"/>
        <w:right w:val="none" w:sz="0" w:space="0" w:color="auto"/>
      </w:divBdr>
    </w:div>
    <w:div w:id="334303956">
      <w:marLeft w:val="0"/>
      <w:marRight w:val="0"/>
      <w:marTop w:val="0"/>
      <w:marBottom w:val="0"/>
      <w:divBdr>
        <w:top w:val="none" w:sz="0" w:space="0" w:color="auto"/>
        <w:left w:val="none" w:sz="0" w:space="0" w:color="auto"/>
        <w:bottom w:val="none" w:sz="0" w:space="0" w:color="auto"/>
        <w:right w:val="none" w:sz="0" w:space="0" w:color="auto"/>
      </w:divBdr>
    </w:div>
    <w:div w:id="334382462">
      <w:marLeft w:val="0"/>
      <w:marRight w:val="0"/>
      <w:marTop w:val="0"/>
      <w:marBottom w:val="180"/>
      <w:divBdr>
        <w:top w:val="none" w:sz="0" w:space="0" w:color="auto"/>
        <w:left w:val="none" w:sz="0" w:space="0" w:color="auto"/>
        <w:bottom w:val="none" w:sz="0" w:space="0" w:color="auto"/>
        <w:right w:val="none" w:sz="0" w:space="0" w:color="auto"/>
      </w:divBdr>
    </w:div>
    <w:div w:id="334385997">
      <w:marLeft w:val="0"/>
      <w:marRight w:val="0"/>
      <w:marTop w:val="0"/>
      <w:marBottom w:val="0"/>
      <w:divBdr>
        <w:top w:val="none" w:sz="0" w:space="0" w:color="auto"/>
        <w:left w:val="none" w:sz="0" w:space="0" w:color="auto"/>
        <w:bottom w:val="none" w:sz="0" w:space="0" w:color="auto"/>
        <w:right w:val="none" w:sz="0" w:space="0" w:color="auto"/>
      </w:divBdr>
      <w:divsChild>
        <w:div w:id="561872375">
          <w:marLeft w:val="0"/>
          <w:marRight w:val="0"/>
          <w:marTop w:val="0"/>
          <w:marBottom w:val="0"/>
          <w:divBdr>
            <w:top w:val="none" w:sz="0" w:space="0" w:color="auto"/>
            <w:left w:val="none" w:sz="0" w:space="0" w:color="auto"/>
            <w:bottom w:val="none" w:sz="0" w:space="0" w:color="auto"/>
            <w:right w:val="none" w:sz="0" w:space="0" w:color="auto"/>
          </w:divBdr>
        </w:div>
      </w:divsChild>
    </w:div>
    <w:div w:id="334570903">
      <w:marLeft w:val="0"/>
      <w:marRight w:val="0"/>
      <w:marTop w:val="0"/>
      <w:marBottom w:val="0"/>
      <w:divBdr>
        <w:top w:val="none" w:sz="0" w:space="0" w:color="auto"/>
        <w:left w:val="none" w:sz="0" w:space="0" w:color="auto"/>
        <w:bottom w:val="none" w:sz="0" w:space="0" w:color="auto"/>
        <w:right w:val="none" w:sz="0" w:space="0" w:color="auto"/>
      </w:divBdr>
    </w:div>
    <w:div w:id="334723509">
      <w:marLeft w:val="0"/>
      <w:marRight w:val="0"/>
      <w:marTop w:val="0"/>
      <w:marBottom w:val="0"/>
      <w:divBdr>
        <w:top w:val="none" w:sz="0" w:space="0" w:color="auto"/>
        <w:left w:val="none" w:sz="0" w:space="0" w:color="auto"/>
        <w:bottom w:val="none" w:sz="0" w:space="0" w:color="auto"/>
        <w:right w:val="none" w:sz="0" w:space="0" w:color="auto"/>
      </w:divBdr>
    </w:div>
    <w:div w:id="338578950">
      <w:marLeft w:val="0"/>
      <w:marRight w:val="0"/>
      <w:marTop w:val="0"/>
      <w:marBottom w:val="240"/>
      <w:divBdr>
        <w:top w:val="none" w:sz="0" w:space="0" w:color="auto"/>
        <w:left w:val="none" w:sz="0" w:space="0" w:color="auto"/>
        <w:bottom w:val="none" w:sz="0" w:space="0" w:color="auto"/>
        <w:right w:val="none" w:sz="0" w:space="0" w:color="auto"/>
      </w:divBdr>
    </w:div>
    <w:div w:id="338626446">
      <w:marLeft w:val="0"/>
      <w:marRight w:val="0"/>
      <w:marTop w:val="0"/>
      <w:marBottom w:val="240"/>
      <w:divBdr>
        <w:top w:val="none" w:sz="0" w:space="0" w:color="auto"/>
        <w:left w:val="none" w:sz="0" w:space="0" w:color="auto"/>
        <w:bottom w:val="none" w:sz="0" w:space="0" w:color="auto"/>
        <w:right w:val="none" w:sz="0" w:space="0" w:color="auto"/>
      </w:divBdr>
    </w:div>
    <w:div w:id="341472657">
      <w:marLeft w:val="0"/>
      <w:marRight w:val="0"/>
      <w:marTop w:val="0"/>
      <w:marBottom w:val="240"/>
      <w:divBdr>
        <w:top w:val="none" w:sz="0" w:space="0" w:color="auto"/>
        <w:left w:val="none" w:sz="0" w:space="0" w:color="auto"/>
        <w:bottom w:val="none" w:sz="0" w:space="0" w:color="auto"/>
        <w:right w:val="none" w:sz="0" w:space="0" w:color="auto"/>
      </w:divBdr>
    </w:div>
    <w:div w:id="342174464">
      <w:marLeft w:val="0"/>
      <w:marRight w:val="0"/>
      <w:marTop w:val="0"/>
      <w:marBottom w:val="240"/>
      <w:divBdr>
        <w:top w:val="none" w:sz="0" w:space="0" w:color="auto"/>
        <w:left w:val="none" w:sz="0" w:space="0" w:color="auto"/>
        <w:bottom w:val="none" w:sz="0" w:space="0" w:color="auto"/>
        <w:right w:val="none" w:sz="0" w:space="0" w:color="auto"/>
      </w:divBdr>
    </w:div>
    <w:div w:id="343702628">
      <w:marLeft w:val="0"/>
      <w:marRight w:val="0"/>
      <w:marTop w:val="0"/>
      <w:marBottom w:val="240"/>
      <w:divBdr>
        <w:top w:val="none" w:sz="0" w:space="0" w:color="auto"/>
        <w:left w:val="none" w:sz="0" w:space="0" w:color="auto"/>
        <w:bottom w:val="none" w:sz="0" w:space="0" w:color="auto"/>
        <w:right w:val="none" w:sz="0" w:space="0" w:color="auto"/>
      </w:divBdr>
    </w:div>
    <w:div w:id="344794427">
      <w:marLeft w:val="0"/>
      <w:marRight w:val="0"/>
      <w:marTop w:val="0"/>
      <w:marBottom w:val="0"/>
      <w:divBdr>
        <w:top w:val="none" w:sz="0" w:space="0" w:color="auto"/>
        <w:left w:val="none" w:sz="0" w:space="0" w:color="auto"/>
        <w:bottom w:val="none" w:sz="0" w:space="0" w:color="auto"/>
        <w:right w:val="none" w:sz="0" w:space="0" w:color="auto"/>
      </w:divBdr>
    </w:div>
    <w:div w:id="348218395">
      <w:marLeft w:val="0"/>
      <w:marRight w:val="0"/>
      <w:marTop w:val="0"/>
      <w:marBottom w:val="0"/>
      <w:divBdr>
        <w:top w:val="none" w:sz="0" w:space="0" w:color="auto"/>
        <w:left w:val="none" w:sz="0" w:space="0" w:color="auto"/>
        <w:bottom w:val="none" w:sz="0" w:space="0" w:color="auto"/>
        <w:right w:val="none" w:sz="0" w:space="0" w:color="auto"/>
      </w:divBdr>
      <w:divsChild>
        <w:div w:id="144510951">
          <w:marLeft w:val="0"/>
          <w:marRight w:val="0"/>
          <w:marTop w:val="0"/>
          <w:marBottom w:val="0"/>
          <w:divBdr>
            <w:top w:val="none" w:sz="0" w:space="0" w:color="auto"/>
            <w:left w:val="none" w:sz="0" w:space="0" w:color="auto"/>
            <w:bottom w:val="none" w:sz="0" w:space="0" w:color="auto"/>
            <w:right w:val="none" w:sz="0" w:space="0" w:color="auto"/>
          </w:divBdr>
        </w:div>
      </w:divsChild>
    </w:div>
    <w:div w:id="348336488">
      <w:marLeft w:val="0"/>
      <w:marRight w:val="0"/>
      <w:marTop w:val="120"/>
      <w:marBottom w:val="120"/>
      <w:divBdr>
        <w:top w:val="none" w:sz="0" w:space="0" w:color="auto"/>
        <w:left w:val="none" w:sz="0" w:space="0" w:color="auto"/>
        <w:bottom w:val="none" w:sz="0" w:space="0" w:color="auto"/>
        <w:right w:val="none" w:sz="0" w:space="0" w:color="auto"/>
      </w:divBdr>
    </w:div>
    <w:div w:id="348919146">
      <w:marLeft w:val="0"/>
      <w:marRight w:val="0"/>
      <w:marTop w:val="0"/>
      <w:marBottom w:val="240"/>
      <w:divBdr>
        <w:top w:val="none" w:sz="0" w:space="0" w:color="auto"/>
        <w:left w:val="none" w:sz="0" w:space="0" w:color="auto"/>
        <w:bottom w:val="none" w:sz="0" w:space="0" w:color="auto"/>
        <w:right w:val="none" w:sz="0" w:space="0" w:color="auto"/>
      </w:divBdr>
    </w:div>
    <w:div w:id="348988263">
      <w:marLeft w:val="0"/>
      <w:marRight w:val="0"/>
      <w:marTop w:val="0"/>
      <w:marBottom w:val="0"/>
      <w:divBdr>
        <w:top w:val="none" w:sz="0" w:space="0" w:color="auto"/>
        <w:left w:val="none" w:sz="0" w:space="0" w:color="auto"/>
        <w:bottom w:val="none" w:sz="0" w:space="0" w:color="auto"/>
        <w:right w:val="none" w:sz="0" w:space="0" w:color="auto"/>
      </w:divBdr>
    </w:div>
    <w:div w:id="351227347">
      <w:marLeft w:val="0"/>
      <w:marRight w:val="0"/>
      <w:marTop w:val="0"/>
      <w:marBottom w:val="0"/>
      <w:divBdr>
        <w:top w:val="none" w:sz="0" w:space="0" w:color="auto"/>
        <w:left w:val="none" w:sz="0" w:space="0" w:color="auto"/>
        <w:bottom w:val="none" w:sz="0" w:space="0" w:color="auto"/>
        <w:right w:val="none" w:sz="0" w:space="0" w:color="auto"/>
      </w:divBdr>
      <w:divsChild>
        <w:div w:id="2052413670">
          <w:marLeft w:val="0"/>
          <w:marRight w:val="0"/>
          <w:marTop w:val="0"/>
          <w:marBottom w:val="0"/>
          <w:divBdr>
            <w:top w:val="none" w:sz="0" w:space="0" w:color="auto"/>
            <w:left w:val="none" w:sz="0" w:space="0" w:color="auto"/>
            <w:bottom w:val="none" w:sz="0" w:space="0" w:color="auto"/>
            <w:right w:val="none" w:sz="0" w:space="0" w:color="auto"/>
          </w:divBdr>
        </w:div>
      </w:divsChild>
    </w:div>
    <w:div w:id="353239081">
      <w:marLeft w:val="0"/>
      <w:marRight w:val="0"/>
      <w:marTop w:val="0"/>
      <w:marBottom w:val="180"/>
      <w:divBdr>
        <w:top w:val="none" w:sz="0" w:space="0" w:color="auto"/>
        <w:left w:val="none" w:sz="0" w:space="0" w:color="auto"/>
        <w:bottom w:val="none" w:sz="0" w:space="0" w:color="auto"/>
        <w:right w:val="none" w:sz="0" w:space="0" w:color="auto"/>
      </w:divBdr>
    </w:div>
    <w:div w:id="354426115">
      <w:marLeft w:val="0"/>
      <w:marRight w:val="0"/>
      <w:marTop w:val="180"/>
      <w:marBottom w:val="180"/>
      <w:divBdr>
        <w:top w:val="none" w:sz="0" w:space="0" w:color="auto"/>
        <w:left w:val="none" w:sz="0" w:space="0" w:color="auto"/>
        <w:bottom w:val="none" w:sz="0" w:space="0" w:color="auto"/>
        <w:right w:val="none" w:sz="0" w:space="0" w:color="auto"/>
      </w:divBdr>
    </w:div>
    <w:div w:id="354500329">
      <w:marLeft w:val="0"/>
      <w:marRight w:val="0"/>
      <w:marTop w:val="0"/>
      <w:marBottom w:val="240"/>
      <w:divBdr>
        <w:top w:val="none" w:sz="0" w:space="0" w:color="auto"/>
        <w:left w:val="none" w:sz="0" w:space="0" w:color="auto"/>
        <w:bottom w:val="none" w:sz="0" w:space="0" w:color="auto"/>
        <w:right w:val="none" w:sz="0" w:space="0" w:color="auto"/>
      </w:divBdr>
    </w:div>
    <w:div w:id="354888178">
      <w:marLeft w:val="0"/>
      <w:marRight w:val="0"/>
      <w:marTop w:val="120"/>
      <w:marBottom w:val="120"/>
      <w:divBdr>
        <w:top w:val="none" w:sz="0" w:space="0" w:color="auto"/>
        <w:left w:val="none" w:sz="0" w:space="0" w:color="auto"/>
        <w:bottom w:val="none" w:sz="0" w:space="0" w:color="auto"/>
        <w:right w:val="none" w:sz="0" w:space="0" w:color="auto"/>
      </w:divBdr>
    </w:div>
    <w:div w:id="355694895">
      <w:marLeft w:val="0"/>
      <w:marRight w:val="0"/>
      <w:marTop w:val="0"/>
      <w:marBottom w:val="0"/>
      <w:divBdr>
        <w:top w:val="none" w:sz="0" w:space="0" w:color="auto"/>
        <w:left w:val="none" w:sz="0" w:space="0" w:color="auto"/>
        <w:bottom w:val="none" w:sz="0" w:space="0" w:color="auto"/>
        <w:right w:val="none" w:sz="0" w:space="0" w:color="auto"/>
      </w:divBdr>
    </w:div>
    <w:div w:id="356007097">
      <w:marLeft w:val="0"/>
      <w:marRight w:val="0"/>
      <w:marTop w:val="0"/>
      <w:marBottom w:val="240"/>
      <w:divBdr>
        <w:top w:val="none" w:sz="0" w:space="0" w:color="auto"/>
        <w:left w:val="none" w:sz="0" w:space="0" w:color="auto"/>
        <w:bottom w:val="none" w:sz="0" w:space="0" w:color="auto"/>
        <w:right w:val="none" w:sz="0" w:space="0" w:color="auto"/>
      </w:divBdr>
    </w:div>
    <w:div w:id="356465476">
      <w:marLeft w:val="0"/>
      <w:marRight w:val="0"/>
      <w:marTop w:val="0"/>
      <w:marBottom w:val="180"/>
      <w:divBdr>
        <w:top w:val="none" w:sz="0" w:space="0" w:color="auto"/>
        <w:left w:val="none" w:sz="0" w:space="0" w:color="auto"/>
        <w:bottom w:val="none" w:sz="0" w:space="0" w:color="auto"/>
        <w:right w:val="none" w:sz="0" w:space="0" w:color="auto"/>
      </w:divBdr>
    </w:div>
    <w:div w:id="356925531">
      <w:marLeft w:val="0"/>
      <w:marRight w:val="0"/>
      <w:marTop w:val="0"/>
      <w:marBottom w:val="180"/>
      <w:divBdr>
        <w:top w:val="none" w:sz="0" w:space="0" w:color="auto"/>
        <w:left w:val="none" w:sz="0" w:space="0" w:color="auto"/>
        <w:bottom w:val="none" w:sz="0" w:space="0" w:color="auto"/>
        <w:right w:val="none" w:sz="0" w:space="0" w:color="auto"/>
      </w:divBdr>
    </w:div>
    <w:div w:id="356927885">
      <w:marLeft w:val="0"/>
      <w:marRight w:val="0"/>
      <w:marTop w:val="0"/>
      <w:marBottom w:val="240"/>
      <w:divBdr>
        <w:top w:val="none" w:sz="0" w:space="0" w:color="auto"/>
        <w:left w:val="none" w:sz="0" w:space="0" w:color="auto"/>
        <w:bottom w:val="none" w:sz="0" w:space="0" w:color="auto"/>
        <w:right w:val="none" w:sz="0" w:space="0" w:color="auto"/>
      </w:divBdr>
    </w:div>
    <w:div w:id="357196371">
      <w:marLeft w:val="0"/>
      <w:marRight w:val="0"/>
      <w:marTop w:val="0"/>
      <w:marBottom w:val="240"/>
      <w:divBdr>
        <w:top w:val="none" w:sz="0" w:space="0" w:color="auto"/>
        <w:left w:val="none" w:sz="0" w:space="0" w:color="auto"/>
        <w:bottom w:val="none" w:sz="0" w:space="0" w:color="auto"/>
        <w:right w:val="none" w:sz="0" w:space="0" w:color="auto"/>
      </w:divBdr>
    </w:div>
    <w:div w:id="357586890">
      <w:marLeft w:val="0"/>
      <w:marRight w:val="0"/>
      <w:marTop w:val="0"/>
      <w:marBottom w:val="0"/>
      <w:divBdr>
        <w:top w:val="none" w:sz="0" w:space="0" w:color="auto"/>
        <w:left w:val="none" w:sz="0" w:space="0" w:color="auto"/>
        <w:bottom w:val="none" w:sz="0" w:space="0" w:color="auto"/>
        <w:right w:val="none" w:sz="0" w:space="0" w:color="auto"/>
      </w:divBdr>
    </w:div>
    <w:div w:id="357897602">
      <w:marLeft w:val="0"/>
      <w:marRight w:val="0"/>
      <w:marTop w:val="0"/>
      <w:marBottom w:val="0"/>
      <w:divBdr>
        <w:top w:val="none" w:sz="0" w:space="0" w:color="auto"/>
        <w:left w:val="none" w:sz="0" w:space="0" w:color="auto"/>
        <w:bottom w:val="none" w:sz="0" w:space="0" w:color="auto"/>
        <w:right w:val="none" w:sz="0" w:space="0" w:color="auto"/>
      </w:divBdr>
      <w:divsChild>
        <w:div w:id="1827428699">
          <w:marLeft w:val="0"/>
          <w:marRight w:val="0"/>
          <w:marTop w:val="0"/>
          <w:marBottom w:val="0"/>
          <w:divBdr>
            <w:top w:val="none" w:sz="0" w:space="0" w:color="auto"/>
            <w:left w:val="none" w:sz="0" w:space="0" w:color="auto"/>
            <w:bottom w:val="none" w:sz="0" w:space="0" w:color="auto"/>
            <w:right w:val="none" w:sz="0" w:space="0" w:color="auto"/>
          </w:divBdr>
        </w:div>
      </w:divsChild>
    </w:div>
    <w:div w:id="358363479">
      <w:marLeft w:val="0"/>
      <w:marRight w:val="0"/>
      <w:marTop w:val="120"/>
      <w:marBottom w:val="240"/>
      <w:divBdr>
        <w:top w:val="none" w:sz="0" w:space="0" w:color="auto"/>
        <w:left w:val="none" w:sz="0" w:space="0" w:color="auto"/>
        <w:bottom w:val="none" w:sz="0" w:space="0" w:color="auto"/>
        <w:right w:val="none" w:sz="0" w:space="0" w:color="auto"/>
      </w:divBdr>
    </w:div>
    <w:div w:id="358702174">
      <w:marLeft w:val="0"/>
      <w:marRight w:val="0"/>
      <w:marTop w:val="0"/>
      <w:marBottom w:val="240"/>
      <w:divBdr>
        <w:top w:val="none" w:sz="0" w:space="0" w:color="auto"/>
        <w:left w:val="none" w:sz="0" w:space="0" w:color="auto"/>
        <w:bottom w:val="none" w:sz="0" w:space="0" w:color="auto"/>
        <w:right w:val="none" w:sz="0" w:space="0" w:color="auto"/>
      </w:divBdr>
    </w:div>
    <w:div w:id="358745732">
      <w:marLeft w:val="0"/>
      <w:marRight w:val="0"/>
      <w:marTop w:val="100"/>
      <w:marBottom w:val="240"/>
      <w:divBdr>
        <w:top w:val="none" w:sz="0" w:space="0" w:color="auto"/>
        <w:left w:val="none" w:sz="0" w:space="0" w:color="auto"/>
        <w:bottom w:val="none" w:sz="0" w:space="0" w:color="auto"/>
        <w:right w:val="none" w:sz="0" w:space="0" w:color="auto"/>
      </w:divBdr>
      <w:divsChild>
        <w:div w:id="1958561857">
          <w:marLeft w:val="0"/>
          <w:marRight w:val="0"/>
          <w:marTop w:val="0"/>
          <w:marBottom w:val="0"/>
          <w:divBdr>
            <w:top w:val="none" w:sz="0" w:space="0" w:color="auto"/>
            <w:left w:val="none" w:sz="0" w:space="0" w:color="auto"/>
            <w:bottom w:val="none" w:sz="0" w:space="0" w:color="auto"/>
            <w:right w:val="none" w:sz="0" w:space="0" w:color="auto"/>
          </w:divBdr>
        </w:div>
      </w:divsChild>
    </w:div>
    <w:div w:id="358896635">
      <w:marLeft w:val="0"/>
      <w:marRight w:val="0"/>
      <w:marTop w:val="0"/>
      <w:marBottom w:val="0"/>
      <w:divBdr>
        <w:top w:val="none" w:sz="0" w:space="0" w:color="auto"/>
        <w:left w:val="none" w:sz="0" w:space="0" w:color="auto"/>
        <w:bottom w:val="none" w:sz="0" w:space="0" w:color="auto"/>
        <w:right w:val="none" w:sz="0" w:space="0" w:color="auto"/>
      </w:divBdr>
      <w:divsChild>
        <w:div w:id="1624068799">
          <w:marLeft w:val="0"/>
          <w:marRight w:val="0"/>
          <w:marTop w:val="0"/>
          <w:marBottom w:val="0"/>
          <w:divBdr>
            <w:top w:val="none" w:sz="0" w:space="0" w:color="auto"/>
            <w:left w:val="none" w:sz="0" w:space="0" w:color="auto"/>
            <w:bottom w:val="none" w:sz="0" w:space="0" w:color="auto"/>
            <w:right w:val="none" w:sz="0" w:space="0" w:color="auto"/>
          </w:divBdr>
        </w:div>
      </w:divsChild>
    </w:div>
    <w:div w:id="360478258">
      <w:marLeft w:val="0"/>
      <w:marRight w:val="0"/>
      <w:marTop w:val="0"/>
      <w:marBottom w:val="240"/>
      <w:divBdr>
        <w:top w:val="none" w:sz="0" w:space="0" w:color="auto"/>
        <w:left w:val="none" w:sz="0" w:space="0" w:color="auto"/>
        <w:bottom w:val="none" w:sz="0" w:space="0" w:color="auto"/>
        <w:right w:val="none" w:sz="0" w:space="0" w:color="auto"/>
      </w:divBdr>
    </w:div>
    <w:div w:id="360589752">
      <w:marLeft w:val="0"/>
      <w:marRight w:val="0"/>
      <w:marTop w:val="0"/>
      <w:marBottom w:val="0"/>
      <w:divBdr>
        <w:top w:val="none" w:sz="0" w:space="0" w:color="auto"/>
        <w:left w:val="none" w:sz="0" w:space="0" w:color="auto"/>
        <w:bottom w:val="none" w:sz="0" w:space="0" w:color="auto"/>
        <w:right w:val="none" w:sz="0" w:space="0" w:color="auto"/>
      </w:divBdr>
      <w:divsChild>
        <w:div w:id="1356537799">
          <w:marLeft w:val="0"/>
          <w:marRight w:val="0"/>
          <w:marTop w:val="0"/>
          <w:marBottom w:val="0"/>
          <w:divBdr>
            <w:top w:val="none" w:sz="0" w:space="0" w:color="auto"/>
            <w:left w:val="none" w:sz="0" w:space="0" w:color="auto"/>
            <w:bottom w:val="none" w:sz="0" w:space="0" w:color="auto"/>
            <w:right w:val="none" w:sz="0" w:space="0" w:color="auto"/>
          </w:divBdr>
        </w:div>
      </w:divsChild>
    </w:div>
    <w:div w:id="361980613">
      <w:marLeft w:val="0"/>
      <w:marRight w:val="0"/>
      <w:marTop w:val="0"/>
      <w:marBottom w:val="60"/>
      <w:divBdr>
        <w:top w:val="none" w:sz="0" w:space="0" w:color="auto"/>
        <w:left w:val="none" w:sz="0" w:space="0" w:color="auto"/>
        <w:bottom w:val="none" w:sz="0" w:space="0" w:color="auto"/>
        <w:right w:val="none" w:sz="0" w:space="0" w:color="auto"/>
      </w:divBdr>
    </w:div>
    <w:div w:id="362289576">
      <w:marLeft w:val="0"/>
      <w:marRight w:val="0"/>
      <w:marTop w:val="120"/>
      <w:marBottom w:val="240"/>
      <w:divBdr>
        <w:top w:val="none" w:sz="0" w:space="0" w:color="auto"/>
        <w:left w:val="none" w:sz="0" w:space="0" w:color="auto"/>
        <w:bottom w:val="none" w:sz="0" w:space="0" w:color="auto"/>
        <w:right w:val="none" w:sz="0" w:space="0" w:color="auto"/>
      </w:divBdr>
    </w:div>
    <w:div w:id="363989681">
      <w:marLeft w:val="0"/>
      <w:marRight w:val="0"/>
      <w:marTop w:val="0"/>
      <w:marBottom w:val="180"/>
      <w:divBdr>
        <w:top w:val="none" w:sz="0" w:space="0" w:color="auto"/>
        <w:left w:val="none" w:sz="0" w:space="0" w:color="auto"/>
        <w:bottom w:val="none" w:sz="0" w:space="0" w:color="auto"/>
        <w:right w:val="none" w:sz="0" w:space="0" w:color="auto"/>
      </w:divBdr>
    </w:div>
    <w:div w:id="364407654">
      <w:marLeft w:val="0"/>
      <w:marRight w:val="0"/>
      <w:marTop w:val="0"/>
      <w:marBottom w:val="180"/>
      <w:divBdr>
        <w:top w:val="none" w:sz="0" w:space="0" w:color="auto"/>
        <w:left w:val="none" w:sz="0" w:space="0" w:color="auto"/>
        <w:bottom w:val="none" w:sz="0" w:space="0" w:color="auto"/>
        <w:right w:val="none" w:sz="0" w:space="0" w:color="auto"/>
      </w:divBdr>
    </w:div>
    <w:div w:id="364790205">
      <w:marLeft w:val="0"/>
      <w:marRight w:val="0"/>
      <w:marTop w:val="0"/>
      <w:marBottom w:val="240"/>
      <w:divBdr>
        <w:top w:val="none" w:sz="0" w:space="0" w:color="auto"/>
        <w:left w:val="none" w:sz="0" w:space="0" w:color="auto"/>
        <w:bottom w:val="none" w:sz="0" w:space="0" w:color="auto"/>
        <w:right w:val="none" w:sz="0" w:space="0" w:color="auto"/>
      </w:divBdr>
    </w:div>
    <w:div w:id="365175983">
      <w:marLeft w:val="0"/>
      <w:marRight w:val="0"/>
      <w:marTop w:val="0"/>
      <w:marBottom w:val="0"/>
      <w:divBdr>
        <w:top w:val="none" w:sz="0" w:space="0" w:color="auto"/>
        <w:left w:val="none" w:sz="0" w:space="0" w:color="auto"/>
        <w:bottom w:val="none" w:sz="0" w:space="0" w:color="auto"/>
        <w:right w:val="none" w:sz="0" w:space="0" w:color="auto"/>
      </w:divBdr>
      <w:divsChild>
        <w:div w:id="530218690">
          <w:marLeft w:val="0"/>
          <w:marRight w:val="0"/>
          <w:marTop w:val="0"/>
          <w:marBottom w:val="0"/>
          <w:divBdr>
            <w:top w:val="none" w:sz="0" w:space="0" w:color="auto"/>
            <w:left w:val="none" w:sz="0" w:space="0" w:color="auto"/>
            <w:bottom w:val="none" w:sz="0" w:space="0" w:color="auto"/>
            <w:right w:val="none" w:sz="0" w:space="0" w:color="auto"/>
          </w:divBdr>
        </w:div>
      </w:divsChild>
    </w:div>
    <w:div w:id="366564749">
      <w:marLeft w:val="0"/>
      <w:marRight w:val="0"/>
      <w:marTop w:val="0"/>
      <w:marBottom w:val="240"/>
      <w:divBdr>
        <w:top w:val="none" w:sz="0" w:space="0" w:color="auto"/>
        <w:left w:val="none" w:sz="0" w:space="0" w:color="auto"/>
        <w:bottom w:val="none" w:sz="0" w:space="0" w:color="auto"/>
        <w:right w:val="none" w:sz="0" w:space="0" w:color="auto"/>
      </w:divBdr>
    </w:div>
    <w:div w:id="367028466">
      <w:marLeft w:val="0"/>
      <w:marRight w:val="0"/>
      <w:marTop w:val="0"/>
      <w:marBottom w:val="0"/>
      <w:divBdr>
        <w:top w:val="none" w:sz="0" w:space="0" w:color="auto"/>
        <w:left w:val="none" w:sz="0" w:space="0" w:color="auto"/>
        <w:bottom w:val="none" w:sz="0" w:space="0" w:color="auto"/>
        <w:right w:val="none" w:sz="0" w:space="0" w:color="auto"/>
      </w:divBdr>
    </w:div>
    <w:div w:id="367678556">
      <w:marLeft w:val="0"/>
      <w:marRight w:val="0"/>
      <w:marTop w:val="0"/>
      <w:marBottom w:val="180"/>
      <w:divBdr>
        <w:top w:val="none" w:sz="0" w:space="0" w:color="auto"/>
        <w:left w:val="none" w:sz="0" w:space="0" w:color="auto"/>
        <w:bottom w:val="none" w:sz="0" w:space="0" w:color="auto"/>
        <w:right w:val="none" w:sz="0" w:space="0" w:color="auto"/>
      </w:divBdr>
    </w:div>
    <w:div w:id="367728752">
      <w:marLeft w:val="0"/>
      <w:marRight w:val="0"/>
      <w:marTop w:val="100"/>
      <w:marBottom w:val="0"/>
      <w:divBdr>
        <w:top w:val="none" w:sz="0" w:space="0" w:color="auto"/>
        <w:left w:val="none" w:sz="0" w:space="0" w:color="auto"/>
        <w:bottom w:val="none" w:sz="0" w:space="0" w:color="auto"/>
        <w:right w:val="none" w:sz="0" w:space="0" w:color="auto"/>
      </w:divBdr>
    </w:div>
    <w:div w:id="368192368">
      <w:marLeft w:val="0"/>
      <w:marRight w:val="0"/>
      <w:marTop w:val="100"/>
      <w:marBottom w:val="180"/>
      <w:divBdr>
        <w:top w:val="none" w:sz="0" w:space="0" w:color="auto"/>
        <w:left w:val="none" w:sz="0" w:space="0" w:color="auto"/>
        <w:bottom w:val="none" w:sz="0" w:space="0" w:color="auto"/>
        <w:right w:val="none" w:sz="0" w:space="0" w:color="auto"/>
      </w:divBdr>
    </w:div>
    <w:div w:id="368652300">
      <w:marLeft w:val="0"/>
      <w:marRight w:val="0"/>
      <w:marTop w:val="0"/>
      <w:marBottom w:val="180"/>
      <w:divBdr>
        <w:top w:val="none" w:sz="0" w:space="0" w:color="auto"/>
        <w:left w:val="none" w:sz="0" w:space="0" w:color="auto"/>
        <w:bottom w:val="none" w:sz="0" w:space="0" w:color="auto"/>
        <w:right w:val="none" w:sz="0" w:space="0" w:color="auto"/>
      </w:divBdr>
    </w:div>
    <w:div w:id="369261728">
      <w:marLeft w:val="0"/>
      <w:marRight w:val="0"/>
      <w:marTop w:val="0"/>
      <w:marBottom w:val="0"/>
      <w:divBdr>
        <w:top w:val="none" w:sz="0" w:space="0" w:color="auto"/>
        <w:left w:val="none" w:sz="0" w:space="0" w:color="auto"/>
        <w:bottom w:val="none" w:sz="0" w:space="0" w:color="auto"/>
        <w:right w:val="none" w:sz="0" w:space="0" w:color="auto"/>
      </w:divBdr>
      <w:divsChild>
        <w:div w:id="1210384471">
          <w:marLeft w:val="0"/>
          <w:marRight w:val="0"/>
          <w:marTop w:val="0"/>
          <w:marBottom w:val="0"/>
          <w:divBdr>
            <w:top w:val="none" w:sz="0" w:space="0" w:color="auto"/>
            <w:left w:val="none" w:sz="0" w:space="0" w:color="auto"/>
            <w:bottom w:val="none" w:sz="0" w:space="0" w:color="auto"/>
            <w:right w:val="none" w:sz="0" w:space="0" w:color="auto"/>
          </w:divBdr>
        </w:div>
      </w:divsChild>
    </w:div>
    <w:div w:id="369917768">
      <w:marLeft w:val="0"/>
      <w:marRight w:val="0"/>
      <w:marTop w:val="180"/>
      <w:marBottom w:val="180"/>
      <w:divBdr>
        <w:top w:val="none" w:sz="0" w:space="0" w:color="auto"/>
        <w:left w:val="none" w:sz="0" w:space="0" w:color="auto"/>
        <w:bottom w:val="none" w:sz="0" w:space="0" w:color="auto"/>
        <w:right w:val="none" w:sz="0" w:space="0" w:color="auto"/>
      </w:divBdr>
    </w:div>
    <w:div w:id="370035843">
      <w:marLeft w:val="0"/>
      <w:marRight w:val="0"/>
      <w:marTop w:val="0"/>
      <w:marBottom w:val="240"/>
      <w:divBdr>
        <w:top w:val="none" w:sz="0" w:space="0" w:color="auto"/>
        <w:left w:val="none" w:sz="0" w:space="0" w:color="auto"/>
        <w:bottom w:val="none" w:sz="0" w:space="0" w:color="auto"/>
        <w:right w:val="none" w:sz="0" w:space="0" w:color="auto"/>
      </w:divBdr>
    </w:div>
    <w:div w:id="371467630">
      <w:marLeft w:val="0"/>
      <w:marRight w:val="0"/>
      <w:marTop w:val="0"/>
      <w:marBottom w:val="0"/>
      <w:divBdr>
        <w:top w:val="none" w:sz="0" w:space="0" w:color="auto"/>
        <w:left w:val="none" w:sz="0" w:space="0" w:color="auto"/>
        <w:bottom w:val="none" w:sz="0" w:space="0" w:color="auto"/>
        <w:right w:val="none" w:sz="0" w:space="0" w:color="auto"/>
      </w:divBdr>
      <w:divsChild>
        <w:div w:id="1575235868">
          <w:marLeft w:val="0"/>
          <w:marRight w:val="0"/>
          <w:marTop w:val="0"/>
          <w:marBottom w:val="0"/>
          <w:divBdr>
            <w:top w:val="none" w:sz="0" w:space="0" w:color="auto"/>
            <w:left w:val="none" w:sz="0" w:space="0" w:color="auto"/>
            <w:bottom w:val="none" w:sz="0" w:space="0" w:color="auto"/>
            <w:right w:val="none" w:sz="0" w:space="0" w:color="auto"/>
          </w:divBdr>
        </w:div>
      </w:divsChild>
    </w:div>
    <w:div w:id="372075619">
      <w:marLeft w:val="0"/>
      <w:marRight w:val="0"/>
      <w:marTop w:val="0"/>
      <w:marBottom w:val="0"/>
      <w:divBdr>
        <w:top w:val="none" w:sz="0" w:space="0" w:color="auto"/>
        <w:left w:val="none" w:sz="0" w:space="0" w:color="auto"/>
        <w:bottom w:val="none" w:sz="0" w:space="0" w:color="auto"/>
        <w:right w:val="none" w:sz="0" w:space="0" w:color="auto"/>
      </w:divBdr>
    </w:div>
    <w:div w:id="373164407">
      <w:marLeft w:val="0"/>
      <w:marRight w:val="0"/>
      <w:marTop w:val="0"/>
      <w:marBottom w:val="180"/>
      <w:divBdr>
        <w:top w:val="none" w:sz="0" w:space="0" w:color="auto"/>
        <w:left w:val="none" w:sz="0" w:space="0" w:color="auto"/>
        <w:bottom w:val="none" w:sz="0" w:space="0" w:color="auto"/>
        <w:right w:val="none" w:sz="0" w:space="0" w:color="auto"/>
      </w:divBdr>
    </w:div>
    <w:div w:id="374038415">
      <w:marLeft w:val="0"/>
      <w:marRight w:val="0"/>
      <w:marTop w:val="0"/>
      <w:marBottom w:val="180"/>
      <w:divBdr>
        <w:top w:val="none" w:sz="0" w:space="0" w:color="auto"/>
        <w:left w:val="none" w:sz="0" w:space="0" w:color="auto"/>
        <w:bottom w:val="none" w:sz="0" w:space="0" w:color="auto"/>
        <w:right w:val="none" w:sz="0" w:space="0" w:color="auto"/>
      </w:divBdr>
    </w:div>
    <w:div w:id="375276804">
      <w:marLeft w:val="0"/>
      <w:marRight w:val="0"/>
      <w:marTop w:val="0"/>
      <w:marBottom w:val="240"/>
      <w:divBdr>
        <w:top w:val="none" w:sz="0" w:space="0" w:color="auto"/>
        <w:left w:val="none" w:sz="0" w:space="0" w:color="auto"/>
        <w:bottom w:val="none" w:sz="0" w:space="0" w:color="auto"/>
        <w:right w:val="none" w:sz="0" w:space="0" w:color="auto"/>
      </w:divBdr>
    </w:div>
    <w:div w:id="375278466">
      <w:marLeft w:val="0"/>
      <w:marRight w:val="0"/>
      <w:marTop w:val="180"/>
      <w:marBottom w:val="180"/>
      <w:divBdr>
        <w:top w:val="none" w:sz="0" w:space="0" w:color="auto"/>
        <w:left w:val="none" w:sz="0" w:space="0" w:color="auto"/>
        <w:bottom w:val="none" w:sz="0" w:space="0" w:color="auto"/>
        <w:right w:val="none" w:sz="0" w:space="0" w:color="auto"/>
      </w:divBdr>
    </w:div>
    <w:div w:id="376054861">
      <w:marLeft w:val="0"/>
      <w:marRight w:val="0"/>
      <w:marTop w:val="0"/>
      <w:marBottom w:val="0"/>
      <w:divBdr>
        <w:top w:val="none" w:sz="0" w:space="0" w:color="auto"/>
        <w:left w:val="none" w:sz="0" w:space="0" w:color="auto"/>
        <w:bottom w:val="none" w:sz="0" w:space="0" w:color="auto"/>
        <w:right w:val="none" w:sz="0" w:space="0" w:color="auto"/>
      </w:divBdr>
    </w:div>
    <w:div w:id="377322149">
      <w:marLeft w:val="0"/>
      <w:marRight w:val="0"/>
      <w:marTop w:val="0"/>
      <w:marBottom w:val="0"/>
      <w:divBdr>
        <w:top w:val="none" w:sz="0" w:space="0" w:color="auto"/>
        <w:left w:val="none" w:sz="0" w:space="0" w:color="auto"/>
        <w:bottom w:val="none" w:sz="0" w:space="0" w:color="auto"/>
        <w:right w:val="none" w:sz="0" w:space="0" w:color="auto"/>
      </w:divBdr>
    </w:div>
    <w:div w:id="377364590">
      <w:marLeft w:val="0"/>
      <w:marRight w:val="0"/>
      <w:marTop w:val="0"/>
      <w:marBottom w:val="180"/>
      <w:divBdr>
        <w:top w:val="none" w:sz="0" w:space="0" w:color="auto"/>
        <w:left w:val="none" w:sz="0" w:space="0" w:color="auto"/>
        <w:bottom w:val="none" w:sz="0" w:space="0" w:color="auto"/>
        <w:right w:val="none" w:sz="0" w:space="0" w:color="auto"/>
      </w:divBdr>
    </w:div>
    <w:div w:id="377516068">
      <w:marLeft w:val="0"/>
      <w:marRight w:val="0"/>
      <w:marTop w:val="180"/>
      <w:marBottom w:val="180"/>
      <w:divBdr>
        <w:top w:val="none" w:sz="0" w:space="0" w:color="auto"/>
        <w:left w:val="none" w:sz="0" w:space="0" w:color="auto"/>
        <w:bottom w:val="none" w:sz="0" w:space="0" w:color="auto"/>
        <w:right w:val="none" w:sz="0" w:space="0" w:color="auto"/>
      </w:divBdr>
    </w:div>
    <w:div w:id="378012482">
      <w:marLeft w:val="0"/>
      <w:marRight w:val="0"/>
      <w:marTop w:val="0"/>
      <w:marBottom w:val="180"/>
      <w:divBdr>
        <w:top w:val="none" w:sz="0" w:space="0" w:color="auto"/>
        <w:left w:val="none" w:sz="0" w:space="0" w:color="auto"/>
        <w:bottom w:val="none" w:sz="0" w:space="0" w:color="auto"/>
        <w:right w:val="none" w:sz="0" w:space="0" w:color="auto"/>
      </w:divBdr>
    </w:div>
    <w:div w:id="378667933">
      <w:marLeft w:val="0"/>
      <w:marRight w:val="0"/>
      <w:marTop w:val="0"/>
      <w:marBottom w:val="240"/>
      <w:divBdr>
        <w:top w:val="none" w:sz="0" w:space="0" w:color="auto"/>
        <w:left w:val="none" w:sz="0" w:space="0" w:color="auto"/>
        <w:bottom w:val="none" w:sz="0" w:space="0" w:color="auto"/>
        <w:right w:val="none" w:sz="0" w:space="0" w:color="auto"/>
      </w:divBdr>
    </w:div>
    <w:div w:id="379328679">
      <w:marLeft w:val="0"/>
      <w:marRight w:val="0"/>
      <w:marTop w:val="0"/>
      <w:marBottom w:val="180"/>
      <w:divBdr>
        <w:top w:val="none" w:sz="0" w:space="0" w:color="auto"/>
        <w:left w:val="none" w:sz="0" w:space="0" w:color="auto"/>
        <w:bottom w:val="none" w:sz="0" w:space="0" w:color="auto"/>
        <w:right w:val="none" w:sz="0" w:space="0" w:color="auto"/>
      </w:divBdr>
    </w:div>
    <w:div w:id="379399641">
      <w:marLeft w:val="0"/>
      <w:marRight w:val="0"/>
      <w:marTop w:val="0"/>
      <w:marBottom w:val="240"/>
      <w:divBdr>
        <w:top w:val="none" w:sz="0" w:space="0" w:color="auto"/>
        <w:left w:val="none" w:sz="0" w:space="0" w:color="auto"/>
        <w:bottom w:val="none" w:sz="0" w:space="0" w:color="auto"/>
        <w:right w:val="none" w:sz="0" w:space="0" w:color="auto"/>
      </w:divBdr>
    </w:div>
    <w:div w:id="379786334">
      <w:marLeft w:val="0"/>
      <w:marRight w:val="0"/>
      <w:marTop w:val="0"/>
      <w:marBottom w:val="240"/>
      <w:divBdr>
        <w:top w:val="none" w:sz="0" w:space="0" w:color="auto"/>
        <w:left w:val="none" w:sz="0" w:space="0" w:color="auto"/>
        <w:bottom w:val="none" w:sz="0" w:space="0" w:color="auto"/>
        <w:right w:val="none" w:sz="0" w:space="0" w:color="auto"/>
      </w:divBdr>
    </w:div>
    <w:div w:id="379939798">
      <w:marLeft w:val="0"/>
      <w:marRight w:val="0"/>
      <w:marTop w:val="0"/>
      <w:marBottom w:val="180"/>
      <w:divBdr>
        <w:top w:val="none" w:sz="0" w:space="0" w:color="auto"/>
        <w:left w:val="none" w:sz="0" w:space="0" w:color="auto"/>
        <w:bottom w:val="none" w:sz="0" w:space="0" w:color="auto"/>
        <w:right w:val="none" w:sz="0" w:space="0" w:color="auto"/>
      </w:divBdr>
    </w:div>
    <w:div w:id="380717186">
      <w:marLeft w:val="0"/>
      <w:marRight w:val="0"/>
      <w:marTop w:val="0"/>
      <w:marBottom w:val="180"/>
      <w:divBdr>
        <w:top w:val="none" w:sz="0" w:space="0" w:color="auto"/>
        <w:left w:val="none" w:sz="0" w:space="0" w:color="auto"/>
        <w:bottom w:val="none" w:sz="0" w:space="0" w:color="auto"/>
        <w:right w:val="none" w:sz="0" w:space="0" w:color="auto"/>
      </w:divBdr>
    </w:div>
    <w:div w:id="381101334">
      <w:marLeft w:val="0"/>
      <w:marRight w:val="0"/>
      <w:marTop w:val="0"/>
      <w:marBottom w:val="180"/>
      <w:divBdr>
        <w:top w:val="none" w:sz="0" w:space="0" w:color="auto"/>
        <w:left w:val="none" w:sz="0" w:space="0" w:color="auto"/>
        <w:bottom w:val="none" w:sz="0" w:space="0" w:color="auto"/>
        <w:right w:val="none" w:sz="0" w:space="0" w:color="auto"/>
      </w:divBdr>
    </w:div>
    <w:div w:id="381514699">
      <w:marLeft w:val="0"/>
      <w:marRight w:val="0"/>
      <w:marTop w:val="0"/>
      <w:marBottom w:val="0"/>
      <w:divBdr>
        <w:top w:val="none" w:sz="0" w:space="0" w:color="auto"/>
        <w:left w:val="none" w:sz="0" w:space="0" w:color="auto"/>
        <w:bottom w:val="none" w:sz="0" w:space="0" w:color="auto"/>
        <w:right w:val="none" w:sz="0" w:space="0" w:color="auto"/>
      </w:divBdr>
    </w:div>
    <w:div w:id="381909031">
      <w:marLeft w:val="0"/>
      <w:marRight w:val="0"/>
      <w:marTop w:val="0"/>
      <w:marBottom w:val="240"/>
      <w:divBdr>
        <w:top w:val="none" w:sz="0" w:space="0" w:color="auto"/>
        <w:left w:val="none" w:sz="0" w:space="0" w:color="auto"/>
        <w:bottom w:val="none" w:sz="0" w:space="0" w:color="auto"/>
        <w:right w:val="none" w:sz="0" w:space="0" w:color="auto"/>
      </w:divBdr>
    </w:div>
    <w:div w:id="382289613">
      <w:marLeft w:val="0"/>
      <w:marRight w:val="0"/>
      <w:marTop w:val="0"/>
      <w:marBottom w:val="240"/>
      <w:divBdr>
        <w:top w:val="none" w:sz="0" w:space="0" w:color="auto"/>
        <w:left w:val="none" w:sz="0" w:space="0" w:color="auto"/>
        <w:bottom w:val="none" w:sz="0" w:space="0" w:color="auto"/>
        <w:right w:val="none" w:sz="0" w:space="0" w:color="auto"/>
      </w:divBdr>
    </w:div>
    <w:div w:id="382565821">
      <w:marLeft w:val="0"/>
      <w:marRight w:val="0"/>
      <w:marTop w:val="100"/>
      <w:marBottom w:val="240"/>
      <w:divBdr>
        <w:top w:val="none" w:sz="0" w:space="0" w:color="auto"/>
        <w:left w:val="none" w:sz="0" w:space="0" w:color="auto"/>
        <w:bottom w:val="none" w:sz="0" w:space="0" w:color="auto"/>
        <w:right w:val="none" w:sz="0" w:space="0" w:color="auto"/>
      </w:divBdr>
    </w:div>
    <w:div w:id="383062577">
      <w:marLeft w:val="0"/>
      <w:marRight w:val="0"/>
      <w:marTop w:val="0"/>
      <w:marBottom w:val="180"/>
      <w:divBdr>
        <w:top w:val="none" w:sz="0" w:space="0" w:color="auto"/>
        <w:left w:val="none" w:sz="0" w:space="0" w:color="auto"/>
        <w:bottom w:val="none" w:sz="0" w:space="0" w:color="auto"/>
        <w:right w:val="none" w:sz="0" w:space="0" w:color="auto"/>
      </w:divBdr>
    </w:div>
    <w:div w:id="383529039">
      <w:marLeft w:val="0"/>
      <w:marRight w:val="0"/>
      <w:marTop w:val="0"/>
      <w:marBottom w:val="180"/>
      <w:divBdr>
        <w:top w:val="none" w:sz="0" w:space="0" w:color="auto"/>
        <w:left w:val="none" w:sz="0" w:space="0" w:color="auto"/>
        <w:bottom w:val="none" w:sz="0" w:space="0" w:color="auto"/>
        <w:right w:val="none" w:sz="0" w:space="0" w:color="auto"/>
      </w:divBdr>
    </w:div>
    <w:div w:id="384137942">
      <w:marLeft w:val="0"/>
      <w:marRight w:val="0"/>
      <w:marTop w:val="0"/>
      <w:marBottom w:val="240"/>
      <w:divBdr>
        <w:top w:val="none" w:sz="0" w:space="0" w:color="auto"/>
        <w:left w:val="none" w:sz="0" w:space="0" w:color="auto"/>
        <w:bottom w:val="none" w:sz="0" w:space="0" w:color="auto"/>
        <w:right w:val="none" w:sz="0" w:space="0" w:color="auto"/>
      </w:divBdr>
    </w:div>
    <w:div w:id="386731171">
      <w:marLeft w:val="0"/>
      <w:marRight w:val="0"/>
      <w:marTop w:val="100"/>
      <w:marBottom w:val="140"/>
      <w:divBdr>
        <w:top w:val="none" w:sz="0" w:space="0" w:color="auto"/>
        <w:left w:val="none" w:sz="0" w:space="0" w:color="auto"/>
        <w:bottom w:val="none" w:sz="0" w:space="0" w:color="auto"/>
        <w:right w:val="none" w:sz="0" w:space="0" w:color="auto"/>
      </w:divBdr>
    </w:div>
    <w:div w:id="387531088">
      <w:marLeft w:val="0"/>
      <w:marRight w:val="0"/>
      <w:marTop w:val="0"/>
      <w:marBottom w:val="180"/>
      <w:divBdr>
        <w:top w:val="none" w:sz="0" w:space="0" w:color="auto"/>
        <w:left w:val="none" w:sz="0" w:space="0" w:color="auto"/>
        <w:bottom w:val="none" w:sz="0" w:space="0" w:color="auto"/>
        <w:right w:val="none" w:sz="0" w:space="0" w:color="auto"/>
      </w:divBdr>
    </w:div>
    <w:div w:id="387609325">
      <w:marLeft w:val="0"/>
      <w:marRight w:val="0"/>
      <w:marTop w:val="0"/>
      <w:marBottom w:val="240"/>
      <w:divBdr>
        <w:top w:val="none" w:sz="0" w:space="0" w:color="auto"/>
        <w:left w:val="none" w:sz="0" w:space="0" w:color="auto"/>
        <w:bottom w:val="none" w:sz="0" w:space="0" w:color="auto"/>
        <w:right w:val="none" w:sz="0" w:space="0" w:color="auto"/>
      </w:divBdr>
    </w:div>
    <w:div w:id="388455955">
      <w:marLeft w:val="0"/>
      <w:marRight w:val="0"/>
      <w:marTop w:val="0"/>
      <w:marBottom w:val="0"/>
      <w:divBdr>
        <w:top w:val="none" w:sz="0" w:space="0" w:color="auto"/>
        <w:left w:val="none" w:sz="0" w:space="0" w:color="auto"/>
        <w:bottom w:val="none" w:sz="0" w:space="0" w:color="auto"/>
        <w:right w:val="none" w:sz="0" w:space="0" w:color="auto"/>
      </w:divBdr>
      <w:divsChild>
        <w:div w:id="1625426622">
          <w:marLeft w:val="0"/>
          <w:marRight w:val="0"/>
          <w:marTop w:val="0"/>
          <w:marBottom w:val="0"/>
          <w:divBdr>
            <w:top w:val="none" w:sz="0" w:space="0" w:color="auto"/>
            <w:left w:val="none" w:sz="0" w:space="0" w:color="auto"/>
            <w:bottom w:val="none" w:sz="0" w:space="0" w:color="auto"/>
            <w:right w:val="none" w:sz="0" w:space="0" w:color="auto"/>
          </w:divBdr>
        </w:div>
      </w:divsChild>
    </w:div>
    <w:div w:id="388501047">
      <w:marLeft w:val="0"/>
      <w:marRight w:val="0"/>
      <w:marTop w:val="0"/>
      <w:marBottom w:val="0"/>
      <w:divBdr>
        <w:top w:val="none" w:sz="0" w:space="0" w:color="auto"/>
        <w:left w:val="none" w:sz="0" w:space="0" w:color="auto"/>
        <w:bottom w:val="none" w:sz="0" w:space="0" w:color="auto"/>
        <w:right w:val="none" w:sz="0" w:space="0" w:color="auto"/>
      </w:divBdr>
    </w:div>
    <w:div w:id="389035544">
      <w:marLeft w:val="0"/>
      <w:marRight w:val="0"/>
      <w:marTop w:val="0"/>
      <w:marBottom w:val="180"/>
      <w:divBdr>
        <w:top w:val="none" w:sz="0" w:space="0" w:color="auto"/>
        <w:left w:val="none" w:sz="0" w:space="0" w:color="auto"/>
        <w:bottom w:val="none" w:sz="0" w:space="0" w:color="auto"/>
        <w:right w:val="none" w:sz="0" w:space="0" w:color="auto"/>
      </w:divBdr>
    </w:div>
    <w:div w:id="389304366">
      <w:marLeft w:val="0"/>
      <w:marRight w:val="0"/>
      <w:marTop w:val="0"/>
      <w:marBottom w:val="0"/>
      <w:divBdr>
        <w:top w:val="none" w:sz="0" w:space="0" w:color="auto"/>
        <w:left w:val="none" w:sz="0" w:space="0" w:color="auto"/>
        <w:bottom w:val="none" w:sz="0" w:space="0" w:color="auto"/>
        <w:right w:val="none" w:sz="0" w:space="0" w:color="auto"/>
      </w:divBdr>
    </w:div>
    <w:div w:id="389502813">
      <w:marLeft w:val="0"/>
      <w:marRight w:val="0"/>
      <w:marTop w:val="0"/>
      <w:marBottom w:val="0"/>
      <w:divBdr>
        <w:top w:val="none" w:sz="0" w:space="0" w:color="auto"/>
        <w:left w:val="none" w:sz="0" w:space="0" w:color="auto"/>
        <w:bottom w:val="none" w:sz="0" w:space="0" w:color="auto"/>
        <w:right w:val="none" w:sz="0" w:space="0" w:color="auto"/>
      </w:divBdr>
    </w:div>
    <w:div w:id="390152378">
      <w:marLeft w:val="0"/>
      <w:marRight w:val="0"/>
      <w:marTop w:val="0"/>
      <w:marBottom w:val="0"/>
      <w:divBdr>
        <w:top w:val="none" w:sz="0" w:space="0" w:color="auto"/>
        <w:left w:val="none" w:sz="0" w:space="0" w:color="auto"/>
        <w:bottom w:val="none" w:sz="0" w:space="0" w:color="auto"/>
        <w:right w:val="none" w:sz="0" w:space="0" w:color="auto"/>
      </w:divBdr>
    </w:div>
    <w:div w:id="391075567">
      <w:marLeft w:val="0"/>
      <w:marRight w:val="0"/>
      <w:marTop w:val="0"/>
      <w:marBottom w:val="240"/>
      <w:divBdr>
        <w:top w:val="none" w:sz="0" w:space="0" w:color="auto"/>
        <w:left w:val="none" w:sz="0" w:space="0" w:color="auto"/>
        <w:bottom w:val="none" w:sz="0" w:space="0" w:color="auto"/>
        <w:right w:val="none" w:sz="0" w:space="0" w:color="auto"/>
      </w:divBdr>
    </w:div>
    <w:div w:id="391077466">
      <w:marLeft w:val="0"/>
      <w:marRight w:val="0"/>
      <w:marTop w:val="0"/>
      <w:marBottom w:val="180"/>
      <w:divBdr>
        <w:top w:val="none" w:sz="0" w:space="0" w:color="auto"/>
        <w:left w:val="none" w:sz="0" w:space="0" w:color="auto"/>
        <w:bottom w:val="none" w:sz="0" w:space="0" w:color="auto"/>
        <w:right w:val="none" w:sz="0" w:space="0" w:color="auto"/>
      </w:divBdr>
    </w:div>
    <w:div w:id="391273901">
      <w:marLeft w:val="0"/>
      <w:marRight w:val="0"/>
      <w:marTop w:val="0"/>
      <w:marBottom w:val="0"/>
      <w:divBdr>
        <w:top w:val="none" w:sz="0" w:space="0" w:color="auto"/>
        <w:left w:val="none" w:sz="0" w:space="0" w:color="auto"/>
        <w:bottom w:val="none" w:sz="0" w:space="0" w:color="auto"/>
        <w:right w:val="none" w:sz="0" w:space="0" w:color="auto"/>
      </w:divBdr>
    </w:div>
    <w:div w:id="392198778">
      <w:marLeft w:val="0"/>
      <w:marRight w:val="0"/>
      <w:marTop w:val="0"/>
      <w:marBottom w:val="0"/>
      <w:divBdr>
        <w:top w:val="none" w:sz="0" w:space="0" w:color="auto"/>
        <w:left w:val="none" w:sz="0" w:space="0" w:color="auto"/>
        <w:bottom w:val="none" w:sz="0" w:space="0" w:color="auto"/>
        <w:right w:val="none" w:sz="0" w:space="0" w:color="auto"/>
      </w:divBdr>
      <w:divsChild>
        <w:div w:id="461774674">
          <w:marLeft w:val="0"/>
          <w:marRight w:val="0"/>
          <w:marTop w:val="0"/>
          <w:marBottom w:val="0"/>
          <w:divBdr>
            <w:top w:val="none" w:sz="0" w:space="0" w:color="auto"/>
            <w:left w:val="none" w:sz="0" w:space="0" w:color="auto"/>
            <w:bottom w:val="none" w:sz="0" w:space="0" w:color="auto"/>
            <w:right w:val="none" w:sz="0" w:space="0" w:color="auto"/>
          </w:divBdr>
        </w:div>
      </w:divsChild>
    </w:div>
    <w:div w:id="393163922">
      <w:marLeft w:val="0"/>
      <w:marRight w:val="0"/>
      <w:marTop w:val="0"/>
      <w:marBottom w:val="0"/>
      <w:divBdr>
        <w:top w:val="none" w:sz="0" w:space="0" w:color="auto"/>
        <w:left w:val="none" w:sz="0" w:space="0" w:color="auto"/>
        <w:bottom w:val="none" w:sz="0" w:space="0" w:color="auto"/>
        <w:right w:val="none" w:sz="0" w:space="0" w:color="auto"/>
      </w:divBdr>
      <w:divsChild>
        <w:div w:id="1857958222">
          <w:marLeft w:val="0"/>
          <w:marRight w:val="0"/>
          <w:marTop w:val="0"/>
          <w:marBottom w:val="0"/>
          <w:divBdr>
            <w:top w:val="none" w:sz="0" w:space="0" w:color="auto"/>
            <w:left w:val="none" w:sz="0" w:space="0" w:color="auto"/>
            <w:bottom w:val="none" w:sz="0" w:space="0" w:color="auto"/>
            <w:right w:val="none" w:sz="0" w:space="0" w:color="auto"/>
          </w:divBdr>
        </w:div>
      </w:divsChild>
    </w:div>
    <w:div w:id="394353401">
      <w:marLeft w:val="0"/>
      <w:marRight w:val="0"/>
      <w:marTop w:val="0"/>
      <w:marBottom w:val="0"/>
      <w:divBdr>
        <w:top w:val="none" w:sz="0" w:space="0" w:color="auto"/>
        <w:left w:val="none" w:sz="0" w:space="0" w:color="auto"/>
        <w:bottom w:val="none" w:sz="0" w:space="0" w:color="auto"/>
        <w:right w:val="none" w:sz="0" w:space="0" w:color="auto"/>
      </w:divBdr>
    </w:div>
    <w:div w:id="394814328">
      <w:marLeft w:val="0"/>
      <w:marRight w:val="0"/>
      <w:marTop w:val="0"/>
      <w:marBottom w:val="180"/>
      <w:divBdr>
        <w:top w:val="none" w:sz="0" w:space="0" w:color="auto"/>
        <w:left w:val="none" w:sz="0" w:space="0" w:color="auto"/>
        <w:bottom w:val="none" w:sz="0" w:space="0" w:color="auto"/>
        <w:right w:val="none" w:sz="0" w:space="0" w:color="auto"/>
      </w:divBdr>
    </w:div>
    <w:div w:id="395934648">
      <w:marLeft w:val="0"/>
      <w:marRight w:val="0"/>
      <w:marTop w:val="0"/>
      <w:marBottom w:val="0"/>
      <w:divBdr>
        <w:top w:val="none" w:sz="0" w:space="0" w:color="auto"/>
        <w:left w:val="none" w:sz="0" w:space="0" w:color="auto"/>
        <w:bottom w:val="none" w:sz="0" w:space="0" w:color="auto"/>
        <w:right w:val="none" w:sz="0" w:space="0" w:color="auto"/>
      </w:divBdr>
      <w:divsChild>
        <w:div w:id="1454903621">
          <w:marLeft w:val="0"/>
          <w:marRight w:val="0"/>
          <w:marTop w:val="0"/>
          <w:marBottom w:val="0"/>
          <w:divBdr>
            <w:top w:val="none" w:sz="0" w:space="0" w:color="auto"/>
            <w:left w:val="none" w:sz="0" w:space="0" w:color="auto"/>
            <w:bottom w:val="none" w:sz="0" w:space="0" w:color="auto"/>
            <w:right w:val="none" w:sz="0" w:space="0" w:color="auto"/>
          </w:divBdr>
        </w:div>
      </w:divsChild>
    </w:div>
    <w:div w:id="397241520">
      <w:marLeft w:val="0"/>
      <w:marRight w:val="0"/>
      <w:marTop w:val="0"/>
      <w:marBottom w:val="240"/>
      <w:divBdr>
        <w:top w:val="none" w:sz="0" w:space="0" w:color="auto"/>
        <w:left w:val="none" w:sz="0" w:space="0" w:color="auto"/>
        <w:bottom w:val="none" w:sz="0" w:space="0" w:color="auto"/>
        <w:right w:val="none" w:sz="0" w:space="0" w:color="auto"/>
      </w:divBdr>
    </w:div>
    <w:div w:id="401412799">
      <w:marLeft w:val="0"/>
      <w:marRight w:val="0"/>
      <w:marTop w:val="0"/>
      <w:marBottom w:val="240"/>
      <w:divBdr>
        <w:top w:val="none" w:sz="0" w:space="0" w:color="auto"/>
        <w:left w:val="none" w:sz="0" w:space="0" w:color="auto"/>
        <w:bottom w:val="none" w:sz="0" w:space="0" w:color="auto"/>
        <w:right w:val="none" w:sz="0" w:space="0" w:color="auto"/>
      </w:divBdr>
    </w:div>
    <w:div w:id="402528566">
      <w:marLeft w:val="0"/>
      <w:marRight w:val="0"/>
      <w:marTop w:val="0"/>
      <w:marBottom w:val="0"/>
      <w:divBdr>
        <w:top w:val="none" w:sz="0" w:space="0" w:color="auto"/>
        <w:left w:val="none" w:sz="0" w:space="0" w:color="auto"/>
        <w:bottom w:val="none" w:sz="0" w:space="0" w:color="auto"/>
        <w:right w:val="none" w:sz="0" w:space="0" w:color="auto"/>
      </w:divBdr>
      <w:divsChild>
        <w:div w:id="806168239">
          <w:marLeft w:val="0"/>
          <w:marRight w:val="0"/>
          <w:marTop w:val="0"/>
          <w:marBottom w:val="0"/>
          <w:divBdr>
            <w:top w:val="none" w:sz="0" w:space="0" w:color="auto"/>
            <w:left w:val="none" w:sz="0" w:space="0" w:color="auto"/>
            <w:bottom w:val="none" w:sz="0" w:space="0" w:color="auto"/>
            <w:right w:val="none" w:sz="0" w:space="0" w:color="auto"/>
          </w:divBdr>
        </w:div>
      </w:divsChild>
    </w:div>
    <w:div w:id="402719093">
      <w:marLeft w:val="0"/>
      <w:marRight w:val="0"/>
      <w:marTop w:val="0"/>
      <w:marBottom w:val="240"/>
      <w:divBdr>
        <w:top w:val="none" w:sz="0" w:space="0" w:color="auto"/>
        <w:left w:val="none" w:sz="0" w:space="0" w:color="auto"/>
        <w:bottom w:val="none" w:sz="0" w:space="0" w:color="auto"/>
        <w:right w:val="none" w:sz="0" w:space="0" w:color="auto"/>
      </w:divBdr>
    </w:div>
    <w:div w:id="403720955">
      <w:marLeft w:val="0"/>
      <w:marRight w:val="0"/>
      <w:marTop w:val="180"/>
      <w:marBottom w:val="180"/>
      <w:divBdr>
        <w:top w:val="none" w:sz="0" w:space="0" w:color="auto"/>
        <w:left w:val="none" w:sz="0" w:space="0" w:color="auto"/>
        <w:bottom w:val="none" w:sz="0" w:space="0" w:color="auto"/>
        <w:right w:val="none" w:sz="0" w:space="0" w:color="auto"/>
      </w:divBdr>
    </w:div>
    <w:div w:id="404498225">
      <w:marLeft w:val="0"/>
      <w:marRight w:val="0"/>
      <w:marTop w:val="0"/>
      <w:marBottom w:val="0"/>
      <w:divBdr>
        <w:top w:val="none" w:sz="0" w:space="0" w:color="auto"/>
        <w:left w:val="none" w:sz="0" w:space="0" w:color="auto"/>
        <w:bottom w:val="none" w:sz="0" w:space="0" w:color="auto"/>
        <w:right w:val="none" w:sz="0" w:space="0" w:color="auto"/>
      </w:divBdr>
      <w:divsChild>
        <w:div w:id="1678263068">
          <w:marLeft w:val="0"/>
          <w:marRight w:val="0"/>
          <w:marTop w:val="0"/>
          <w:marBottom w:val="0"/>
          <w:divBdr>
            <w:top w:val="none" w:sz="0" w:space="0" w:color="auto"/>
            <w:left w:val="none" w:sz="0" w:space="0" w:color="auto"/>
            <w:bottom w:val="none" w:sz="0" w:space="0" w:color="auto"/>
            <w:right w:val="none" w:sz="0" w:space="0" w:color="auto"/>
          </w:divBdr>
        </w:div>
      </w:divsChild>
    </w:div>
    <w:div w:id="405303951">
      <w:marLeft w:val="0"/>
      <w:marRight w:val="0"/>
      <w:marTop w:val="0"/>
      <w:marBottom w:val="180"/>
      <w:divBdr>
        <w:top w:val="none" w:sz="0" w:space="0" w:color="auto"/>
        <w:left w:val="none" w:sz="0" w:space="0" w:color="auto"/>
        <w:bottom w:val="none" w:sz="0" w:space="0" w:color="auto"/>
        <w:right w:val="none" w:sz="0" w:space="0" w:color="auto"/>
      </w:divBdr>
    </w:div>
    <w:div w:id="405685097">
      <w:marLeft w:val="0"/>
      <w:marRight w:val="0"/>
      <w:marTop w:val="0"/>
      <w:marBottom w:val="0"/>
      <w:divBdr>
        <w:top w:val="none" w:sz="0" w:space="0" w:color="auto"/>
        <w:left w:val="none" w:sz="0" w:space="0" w:color="auto"/>
        <w:bottom w:val="none" w:sz="0" w:space="0" w:color="auto"/>
        <w:right w:val="none" w:sz="0" w:space="0" w:color="auto"/>
      </w:divBdr>
    </w:div>
    <w:div w:id="407968450">
      <w:marLeft w:val="0"/>
      <w:marRight w:val="0"/>
      <w:marTop w:val="0"/>
      <w:marBottom w:val="0"/>
      <w:divBdr>
        <w:top w:val="none" w:sz="0" w:space="0" w:color="auto"/>
        <w:left w:val="none" w:sz="0" w:space="0" w:color="auto"/>
        <w:bottom w:val="none" w:sz="0" w:space="0" w:color="auto"/>
        <w:right w:val="none" w:sz="0" w:space="0" w:color="auto"/>
      </w:divBdr>
    </w:div>
    <w:div w:id="410129707">
      <w:marLeft w:val="0"/>
      <w:marRight w:val="0"/>
      <w:marTop w:val="0"/>
      <w:marBottom w:val="0"/>
      <w:divBdr>
        <w:top w:val="none" w:sz="0" w:space="0" w:color="auto"/>
        <w:left w:val="none" w:sz="0" w:space="0" w:color="auto"/>
        <w:bottom w:val="none" w:sz="0" w:space="0" w:color="auto"/>
        <w:right w:val="none" w:sz="0" w:space="0" w:color="auto"/>
      </w:divBdr>
    </w:div>
    <w:div w:id="410591859">
      <w:marLeft w:val="0"/>
      <w:marRight w:val="0"/>
      <w:marTop w:val="0"/>
      <w:marBottom w:val="240"/>
      <w:divBdr>
        <w:top w:val="none" w:sz="0" w:space="0" w:color="auto"/>
        <w:left w:val="none" w:sz="0" w:space="0" w:color="auto"/>
        <w:bottom w:val="none" w:sz="0" w:space="0" w:color="auto"/>
        <w:right w:val="none" w:sz="0" w:space="0" w:color="auto"/>
      </w:divBdr>
    </w:div>
    <w:div w:id="411388892">
      <w:marLeft w:val="0"/>
      <w:marRight w:val="0"/>
      <w:marTop w:val="0"/>
      <w:marBottom w:val="180"/>
      <w:divBdr>
        <w:top w:val="none" w:sz="0" w:space="0" w:color="auto"/>
        <w:left w:val="none" w:sz="0" w:space="0" w:color="auto"/>
        <w:bottom w:val="none" w:sz="0" w:space="0" w:color="auto"/>
        <w:right w:val="none" w:sz="0" w:space="0" w:color="auto"/>
      </w:divBdr>
    </w:div>
    <w:div w:id="411466026">
      <w:marLeft w:val="0"/>
      <w:marRight w:val="0"/>
      <w:marTop w:val="0"/>
      <w:marBottom w:val="240"/>
      <w:divBdr>
        <w:top w:val="none" w:sz="0" w:space="0" w:color="auto"/>
        <w:left w:val="none" w:sz="0" w:space="0" w:color="auto"/>
        <w:bottom w:val="none" w:sz="0" w:space="0" w:color="auto"/>
        <w:right w:val="none" w:sz="0" w:space="0" w:color="auto"/>
      </w:divBdr>
    </w:div>
    <w:div w:id="411466230">
      <w:marLeft w:val="0"/>
      <w:marRight w:val="0"/>
      <w:marTop w:val="180"/>
      <w:marBottom w:val="180"/>
      <w:divBdr>
        <w:top w:val="none" w:sz="0" w:space="0" w:color="auto"/>
        <w:left w:val="none" w:sz="0" w:space="0" w:color="auto"/>
        <w:bottom w:val="none" w:sz="0" w:space="0" w:color="auto"/>
        <w:right w:val="none" w:sz="0" w:space="0" w:color="auto"/>
      </w:divBdr>
    </w:div>
    <w:div w:id="412433728">
      <w:marLeft w:val="0"/>
      <w:marRight w:val="0"/>
      <w:marTop w:val="0"/>
      <w:marBottom w:val="180"/>
      <w:divBdr>
        <w:top w:val="none" w:sz="0" w:space="0" w:color="auto"/>
        <w:left w:val="none" w:sz="0" w:space="0" w:color="auto"/>
        <w:bottom w:val="none" w:sz="0" w:space="0" w:color="auto"/>
        <w:right w:val="none" w:sz="0" w:space="0" w:color="auto"/>
      </w:divBdr>
    </w:div>
    <w:div w:id="413089957">
      <w:marLeft w:val="0"/>
      <w:marRight w:val="0"/>
      <w:marTop w:val="0"/>
      <w:marBottom w:val="0"/>
      <w:divBdr>
        <w:top w:val="none" w:sz="0" w:space="0" w:color="auto"/>
        <w:left w:val="none" w:sz="0" w:space="0" w:color="auto"/>
        <w:bottom w:val="none" w:sz="0" w:space="0" w:color="auto"/>
        <w:right w:val="none" w:sz="0" w:space="0" w:color="auto"/>
      </w:divBdr>
    </w:div>
    <w:div w:id="413473774">
      <w:marLeft w:val="0"/>
      <w:marRight w:val="0"/>
      <w:marTop w:val="120"/>
      <w:marBottom w:val="120"/>
      <w:divBdr>
        <w:top w:val="none" w:sz="0" w:space="0" w:color="auto"/>
        <w:left w:val="none" w:sz="0" w:space="0" w:color="auto"/>
        <w:bottom w:val="none" w:sz="0" w:space="0" w:color="auto"/>
        <w:right w:val="none" w:sz="0" w:space="0" w:color="auto"/>
      </w:divBdr>
    </w:div>
    <w:div w:id="414018716">
      <w:marLeft w:val="0"/>
      <w:marRight w:val="0"/>
      <w:marTop w:val="0"/>
      <w:marBottom w:val="0"/>
      <w:divBdr>
        <w:top w:val="none" w:sz="0" w:space="0" w:color="auto"/>
        <w:left w:val="none" w:sz="0" w:space="0" w:color="auto"/>
        <w:bottom w:val="none" w:sz="0" w:space="0" w:color="auto"/>
        <w:right w:val="none" w:sz="0" w:space="0" w:color="auto"/>
      </w:divBdr>
      <w:divsChild>
        <w:div w:id="984969922">
          <w:marLeft w:val="0"/>
          <w:marRight w:val="0"/>
          <w:marTop w:val="0"/>
          <w:marBottom w:val="0"/>
          <w:divBdr>
            <w:top w:val="none" w:sz="0" w:space="0" w:color="auto"/>
            <w:left w:val="none" w:sz="0" w:space="0" w:color="auto"/>
            <w:bottom w:val="none" w:sz="0" w:space="0" w:color="auto"/>
            <w:right w:val="none" w:sz="0" w:space="0" w:color="auto"/>
          </w:divBdr>
        </w:div>
      </w:divsChild>
    </w:div>
    <w:div w:id="415053932">
      <w:marLeft w:val="0"/>
      <w:marRight w:val="0"/>
      <w:marTop w:val="0"/>
      <w:marBottom w:val="240"/>
      <w:divBdr>
        <w:top w:val="none" w:sz="0" w:space="0" w:color="auto"/>
        <w:left w:val="none" w:sz="0" w:space="0" w:color="auto"/>
        <w:bottom w:val="none" w:sz="0" w:space="0" w:color="auto"/>
        <w:right w:val="none" w:sz="0" w:space="0" w:color="auto"/>
      </w:divBdr>
    </w:div>
    <w:div w:id="415902605">
      <w:marLeft w:val="0"/>
      <w:marRight w:val="0"/>
      <w:marTop w:val="0"/>
      <w:marBottom w:val="180"/>
      <w:divBdr>
        <w:top w:val="none" w:sz="0" w:space="0" w:color="auto"/>
        <w:left w:val="none" w:sz="0" w:space="0" w:color="auto"/>
        <w:bottom w:val="none" w:sz="0" w:space="0" w:color="auto"/>
        <w:right w:val="none" w:sz="0" w:space="0" w:color="auto"/>
      </w:divBdr>
    </w:div>
    <w:div w:id="416290046">
      <w:marLeft w:val="0"/>
      <w:marRight w:val="0"/>
      <w:marTop w:val="100"/>
      <w:marBottom w:val="0"/>
      <w:divBdr>
        <w:top w:val="none" w:sz="0" w:space="0" w:color="auto"/>
        <w:left w:val="none" w:sz="0" w:space="0" w:color="auto"/>
        <w:bottom w:val="none" w:sz="0" w:space="0" w:color="auto"/>
        <w:right w:val="none" w:sz="0" w:space="0" w:color="auto"/>
      </w:divBdr>
    </w:div>
    <w:div w:id="417215028">
      <w:marLeft w:val="0"/>
      <w:marRight w:val="0"/>
      <w:marTop w:val="0"/>
      <w:marBottom w:val="0"/>
      <w:divBdr>
        <w:top w:val="none" w:sz="0" w:space="0" w:color="auto"/>
        <w:left w:val="none" w:sz="0" w:space="0" w:color="auto"/>
        <w:bottom w:val="none" w:sz="0" w:space="0" w:color="auto"/>
        <w:right w:val="none" w:sz="0" w:space="0" w:color="auto"/>
      </w:divBdr>
    </w:div>
    <w:div w:id="417484772">
      <w:marLeft w:val="0"/>
      <w:marRight w:val="0"/>
      <w:marTop w:val="0"/>
      <w:marBottom w:val="240"/>
      <w:divBdr>
        <w:top w:val="none" w:sz="0" w:space="0" w:color="auto"/>
        <w:left w:val="none" w:sz="0" w:space="0" w:color="auto"/>
        <w:bottom w:val="none" w:sz="0" w:space="0" w:color="auto"/>
        <w:right w:val="none" w:sz="0" w:space="0" w:color="auto"/>
      </w:divBdr>
    </w:div>
    <w:div w:id="417797000">
      <w:marLeft w:val="0"/>
      <w:marRight w:val="0"/>
      <w:marTop w:val="180"/>
      <w:marBottom w:val="180"/>
      <w:divBdr>
        <w:top w:val="none" w:sz="0" w:space="0" w:color="auto"/>
        <w:left w:val="none" w:sz="0" w:space="0" w:color="auto"/>
        <w:bottom w:val="none" w:sz="0" w:space="0" w:color="auto"/>
        <w:right w:val="none" w:sz="0" w:space="0" w:color="auto"/>
      </w:divBdr>
    </w:div>
    <w:div w:id="417949218">
      <w:marLeft w:val="0"/>
      <w:marRight w:val="0"/>
      <w:marTop w:val="0"/>
      <w:marBottom w:val="240"/>
      <w:divBdr>
        <w:top w:val="none" w:sz="0" w:space="0" w:color="auto"/>
        <w:left w:val="none" w:sz="0" w:space="0" w:color="auto"/>
        <w:bottom w:val="none" w:sz="0" w:space="0" w:color="auto"/>
        <w:right w:val="none" w:sz="0" w:space="0" w:color="auto"/>
      </w:divBdr>
    </w:div>
    <w:div w:id="418068090">
      <w:marLeft w:val="0"/>
      <w:marRight w:val="0"/>
      <w:marTop w:val="180"/>
      <w:marBottom w:val="180"/>
      <w:divBdr>
        <w:top w:val="none" w:sz="0" w:space="0" w:color="auto"/>
        <w:left w:val="none" w:sz="0" w:space="0" w:color="auto"/>
        <w:bottom w:val="none" w:sz="0" w:space="0" w:color="auto"/>
        <w:right w:val="none" w:sz="0" w:space="0" w:color="auto"/>
      </w:divBdr>
    </w:div>
    <w:div w:id="418134418">
      <w:marLeft w:val="0"/>
      <w:marRight w:val="0"/>
      <w:marTop w:val="0"/>
      <w:marBottom w:val="240"/>
      <w:divBdr>
        <w:top w:val="none" w:sz="0" w:space="0" w:color="auto"/>
        <w:left w:val="none" w:sz="0" w:space="0" w:color="auto"/>
        <w:bottom w:val="none" w:sz="0" w:space="0" w:color="auto"/>
        <w:right w:val="none" w:sz="0" w:space="0" w:color="auto"/>
      </w:divBdr>
    </w:div>
    <w:div w:id="418985430">
      <w:marLeft w:val="0"/>
      <w:marRight w:val="0"/>
      <w:marTop w:val="0"/>
      <w:marBottom w:val="0"/>
      <w:divBdr>
        <w:top w:val="none" w:sz="0" w:space="0" w:color="auto"/>
        <w:left w:val="none" w:sz="0" w:space="0" w:color="auto"/>
        <w:bottom w:val="none" w:sz="0" w:space="0" w:color="auto"/>
        <w:right w:val="none" w:sz="0" w:space="0" w:color="auto"/>
      </w:divBdr>
    </w:div>
    <w:div w:id="419179658">
      <w:marLeft w:val="0"/>
      <w:marRight w:val="0"/>
      <w:marTop w:val="0"/>
      <w:marBottom w:val="240"/>
      <w:divBdr>
        <w:top w:val="none" w:sz="0" w:space="0" w:color="auto"/>
        <w:left w:val="none" w:sz="0" w:space="0" w:color="auto"/>
        <w:bottom w:val="none" w:sz="0" w:space="0" w:color="auto"/>
        <w:right w:val="none" w:sz="0" w:space="0" w:color="auto"/>
      </w:divBdr>
    </w:div>
    <w:div w:id="419449175">
      <w:marLeft w:val="0"/>
      <w:marRight w:val="0"/>
      <w:marTop w:val="0"/>
      <w:marBottom w:val="0"/>
      <w:divBdr>
        <w:top w:val="none" w:sz="0" w:space="0" w:color="auto"/>
        <w:left w:val="none" w:sz="0" w:space="0" w:color="auto"/>
        <w:bottom w:val="none" w:sz="0" w:space="0" w:color="auto"/>
        <w:right w:val="none" w:sz="0" w:space="0" w:color="auto"/>
      </w:divBdr>
    </w:div>
    <w:div w:id="419987438">
      <w:marLeft w:val="0"/>
      <w:marRight w:val="0"/>
      <w:marTop w:val="0"/>
      <w:marBottom w:val="180"/>
      <w:divBdr>
        <w:top w:val="none" w:sz="0" w:space="0" w:color="auto"/>
        <w:left w:val="none" w:sz="0" w:space="0" w:color="auto"/>
        <w:bottom w:val="none" w:sz="0" w:space="0" w:color="auto"/>
        <w:right w:val="none" w:sz="0" w:space="0" w:color="auto"/>
      </w:divBdr>
    </w:div>
    <w:div w:id="420225346">
      <w:marLeft w:val="0"/>
      <w:marRight w:val="0"/>
      <w:marTop w:val="0"/>
      <w:marBottom w:val="0"/>
      <w:divBdr>
        <w:top w:val="none" w:sz="0" w:space="0" w:color="auto"/>
        <w:left w:val="none" w:sz="0" w:space="0" w:color="auto"/>
        <w:bottom w:val="none" w:sz="0" w:space="0" w:color="auto"/>
        <w:right w:val="none" w:sz="0" w:space="0" w:color="auto"/>
      </w:divBdr>
      <w:divsChild>
        <w:div w:id="1007559029">
          <w:marLeft w:val="0"/>
          <w:marRight w:val="0"/>
          <w:marTop w:val="0"/>
          <w:marBottom w:val="0"/>
          <w:divBdr>
            <w:top w:val="none" w:sz="0" w:space="0" w:color="auto"/>
            <w:left w:val="none" w:sz="0" w:space="0" w:color="auto"/>
            <w:bottom w:val="none" w:sz="0" w:space="0" w:color="auto"/>
            <w:right w:val="none" w:sz="0" w:space="0" w:color="auto"/>
          </w:divBdr>
        </w:div>
      </w:divsChild>
    </w:div>
    <w:div w:id="420688159">
      <w:marLeft w:val="0"/>
      <w:marRight w:val="0"/>
      <w:marTop w:val="0"/>
      <w:marBottom w:val="0"/>
      <w:divBdr>
        <w:top w:val="none" w:sz="0" w:space="0" w:color="auto"/>
        <w:left w:val="none" w:sz="0" w:space="0" w:color="auto"/>
        <w:bottom w:val="none" w:sz="0" w:space="0" w:color="auto"/>
        <w:right w:val="none" w:sz="0" w:space="0" w:color="auto"/>
      </w:divBdr>
    </w:div>
    <w:div w:id="420830818">
      <w:marLeft w:val="0"/>
      <w:marRight w:val="0"/>
      <w:marTop w:val="0"/>
      <w:marBottom w:val="0"/>
      <w:divBdr>
        <w:top w:val="none" w:sz="0" w:space="0" w:color="auto"/>
        <w:left w:val="none" w:sz="0" w:space="0" w:color="auto"/>
        <w:bottom w:val="none" w:sz="0" w:space="0" w:color="auto"/>
        <w:right w:val="none" w:sz="0" w:space="0" w:color="auto"/>
      </w:divBdr>
    </w:div>
    <w:div w:id="423260540">
      <w:marLeft w:val="0"/>
      <w:marRight w:val="0"/>
      <w:marTop w:val="0"/>
      <w:marBottom w:val="180"/>
      <w:divBdr>
        <w:top w:val="none" w:sz="0" w:space="0" w:color="auto"/>
        <w:left w:val="none" w:sz="0" w:space="0" w:color="auto"/>
        <w:bottom w:val="none" w:sz="0" w:space="0" w:color="auto"/>
        <w:right w:val="none" w:sz="0" w:space="0" w:color="auto"/>
      </w:divBdr>
    </w:div>
    <w:div w:id="423654427">
      <w:marLeft w:val="0"/>
      <w:marRight w:val="0"/>
      <w:marTop w:val="180"/>
      <w:marBottom w:val="180"/>
      <w:divBdr>
        <w:top w:val="none" w:sz="0" w:space="0" w:color="auto"/>
        <w:left w:val="none" w:sz="0" w:space="0" w:color="auto"/>
        <w:bottom w:val="none" w:sz="0" w:space="0" w:color="auto"/>
        <w:right w:val="none" w:sz="0" w:space="0" w:color="auto"/>
      </w:divBdr>
    </w:div>
    <w:div w:id="424426631">
      <w:marLeft w:val="0"/>
      <w:marRight w:val="0"/>
      <w:marTop w:val="0"/>
      <w:marBottom w:val="0"/>
      <w:divBdr>
        <w:top w:val="none" w:sz="0" w:space="0" w:color="auto"/>
        <w:left w:val="none" w:sz="0" w:space="0" w:color="auto"/>
        <w:bottom w:val="none" w:sz="0" w:space="0" w:color="auto"/>
        <w:right w:val="none" w:sz="0" w:space="0" w:color="auto"/>
      </w:divBdr>
    </w:div>
    <w:div w:id="426121542">
      <w:marLeft w:val="0"/>
      <w:marRight w:val="0"/>
      <w:marTop w:val="0"/>
      <w:marBottom w:val="0"/>
      <w:divBdr>
        <w:top w:val="none" w:sz="0" w:space="0" w:color="auto"/>
        <w:left w:val="none" w:sz="0" w:space="0" w:color="auto"/>
        <w:bottom w:val="none" w:sz="0" w:space="0" w:color="auto"/>
        <w:right w:val="none" w:sz="0" w:space="0" w:color="auto"/>
      </w:divBdr>
      <w:divsChild>
        <w:div w:id="1777823739">
          <w:marLeft w:val="0"/>
          <w:marRight w:val="0"/>
          <w:marTop w:val="0"/>
          <w:marBottom w:val="0"/>
          <w:divBdr>
            <w:top w:val="none" w:sz="0" w:space="0" w:color="auto"/>
            <w:left w:val="none" w:sz="0" w:space="0" w:color="auto"/>
            <w:bottom w:val="none" w:sz="0" w:space="0" w:color="auto"/>
            <w:right w:val="none" w:sz="0" w:space="0" w:color="auto"/>
          </w:divBdr>
        </w:div>
      </w:divsChild>
    </w:div>
    <w:div w:id="426969354">
      <w:marLeft w:val="0"/>
      <w:marRight w:val="0"/>
      <w:marTop w:val="100"/>
      <w:marBottom w:val="0"/>
      <w:divBdr>
        <w:top w:val="none" w:sz="0" w:space="0" w:color="auto"/>
        <w:left w:val="none" w:sz="0" w:space="0" w:color="auto"/>
        <w:bottom w:val="none" w:sz="0" w:space="0" w:color="auto"/>
        <w:right w:val="none" w:sz="0" w:space="0" w:color="auto"/>
      </w:divBdr>
    </w:div>
    <w:div w:id="427425906">
      <w:marLeft w:val="0"/>
      <w:marRight w:val="0"/>
      <w:marTop w:val="0"/>
      <w:marBottom w:val="240"/>
      <w:divBdr>
        <w:top w:val="none" w:sz="0" w:space="0" w:color="auto"/>
        <w:left w:val="none" w:sz="0" w:space="0" w:color="auto"/>
        <w:bottom w:val="none" w:sz="0" w:space="0" w:color="auto"/>
        <w:right w:val="none" w:sz="0" w:space="0" w:color="auto"/>
      </w:divBdr>
    </w:div>
    <w:div w:id="428084688">
      <w:marLeft w:val="0"/>
      <w:marRight w:val="0"/>
      <w:marTop w:val="0"/>
      <w:marBottom w:val="240"/>
      <w:divBdr>
        <w:top w:val="none" w:sz="0" w:space="0" w:color="auto"/>
        <w:left w:val="none" w:sz="0" w:space="0" w:color="auto"/>
        <w:bottom w:val="none" w:sz="0" w:space="0" w:color="auto"/>
        <w:right w:val="none" w:sz="0" w:space="0" w:color="auto"/>
      </w:divBdr>
    </w:div>
    <w:div w:id="428504530">
      <w:marLeft w:val="0"/>
      <w:marRight w:val="0"/>
      <w:marTop w:val="0"/>
      <w:marBottom w:val="0"/>
      <w:divBdr>
        <w:top w:val="none" w:sz="0" w:space="0" w:color="auto"/>
        <w:left w:val="none" w:sz="0" w:space="0" w:color="auto"/>
        <w:bottom w:val="none" w:sz="0" w:space="0" w:color="auto"/>
        <w:right w:val="none" w:sz="0" w:space="0" w:color="auto"/>
      </w:divBdr>
      <w:divsChild>
        <w:div w:id="1524660810">
          <w:marLeft w:val="0"/>
          <w:marRight w:val="0"/>
          <w:marTop w:val="0"/>
          <w:marBottom w:val="0"/>
          <w:divBdr>
            <w:top w:val="none" w:sz="0" w:space="0" w:color="auto"/>
            <w:left w:val="none" w:sz="0" w:space="0" w:color="auto"/>
            <w:bottom w:val="none" w:sz="0" w:space="0" w:color="auto"/>
            <w:right w:val="none" w:sz="0" w:space="0" w:color="auto"/>
          </w:divBdr>
        </w:div>
      </w:divsChild>
    </w:div>
    <w:div w:id="429084724">
      <w:marLeft w:val="0"/>
      <w:marRight w:val="0"/>
      <w:marTop w:val="180"/>
      <w:marBottom w:val="180"/>
      <w:divBdr>
        <w:top w:val="none" w:sz="0" w:space="0" w:color="auto"/>
        <w:left w:val="none" w:sz="0" w:space="0" w:color="auto"/>
        <w:bottom w:val="none" w:sz="0" w:space="0" w:color="auto"/>
        <w:right w:val="none" w:sz="0" w:space="0" w:color="auto"/>
      </w:divBdr>
    </w:div>
    <w:div w:id="430198412">
      <w:marLeft w:val="0"/>
      <w:marRight w:val="0"/>
      <w:marTop w:val="0"/>
      <w:marBottom w:val="0"/>
      <w:divBdr>
        <w:top w:val="none" w:sz="0" w:space="0" w:color="auto"/>
        <w:left w:val="none" w:sz="0" w:space="0" w:color="auto"/>
        <w:bottom w:val="none" w:sz="0" w:space="0" w:color="auto"/>
        <w:right w:val="none" w:sz="0" w:space="0" w:color="auto"/>
      </w:divBdr>
      <w:divsChild>
        <w:div w:id="1411123742">
          <w:marLeft w:val="0"/>
          <w:marRight w:val="0"/>
          <w:marTop w:val="0"/>
          <w:marBottom w:val="0"/>
          <w:divBdr>
            <w:top w:val="none" w:sz="0" w:space="0" w:color="auto"/>
            <w:left w:val="none" w:sz="0" w:space="0" w:color="auto"/>
            <w:bottom w:val="none" w:sz="0" w:space="0" w:color="auto"/>
            <w:right w:val="none" w:sz="0" w:space="0" w:color="auto"/>
          </w:divBdr>
        </w:div>
      </w:divsChild>
    </w:div>
    <w:div w:id="431127814">
      <w:marLeft w:val="0"/>
      <w:marRight w:val="0"/>
      <w:marTop w:val="0"/>
      <w:marBottom w:val="180"/>
      <w:divBdr>
        <w:top w:val="none" w:sz="0" w:space="0" w:color="auto"/>
        <w:left w:val="none" w:sz="0" w:space="0" w:color="auto"/>
        <w:bottom w:val="none" w:sz="0" w:space="0" w:color="auto"/>
        <w:right w:val="none" w:sz="0" w:space="0" w:color="auto"/>
      </w:divBdr>
    </w:div>
    <w:div w:id="431515921">
      <w:marLeft w:val="0"/>
      <w:marRight w:val="0"/>
      <w:marTop w:val="0"/>
      <w:marBottom w:val="180"/>
      <w:divBdr>
        <w:top w:val="none" w:sz="0" w:space="0" w:color="auto"/>
        <w:left w:val="none" w:sz="0" w:space="0" w:color="auto"/>
        <w:bottom w:val="none" w:sz="0" w:space="0" w:color="auto"/>
        <w:right w:val="none" w:sz="0" w:space="0" w:color="auto"/>
      </w:divBdr>
    </w:div>
    <w:div w:id="433407935">
      <w:marLeft w:val="0"/>
      <w:marRight w:val="0"/>
      <w:marTop w:val="0"/>
      <w:marBottom w:val="180"/>
      <w:divBdr>
        <w:top w:val="none" w:sz="0" w:space="0" w:color="auto"/>
        <w:left w:val="none" w:sz="0" w:space="0" w:color="auto"/>
        <w:bottom w:val="none" w:sz="0" w:space="0" w:color="auto"/>
        <w:right w:val="none" w:sz="0" w:space="0" w:color="auto"/>
      </w:divBdr>
    </w:div>
    <w:div w:id="433937983">
      <w:marLeft w:val="0"/>
      <w:marRight w:val="0"/>
      <w:marTop w:val="0"/>
      <w:marBottom w:val="240"/>
      <w:divBdr>
        <w:top w:val="none" w:sz="0" w:space="0" w:color="auto"/>
        <w:left w:val="none" w:sz="0" w:space="0" w:color="auto"/>
        <w:bottom w:val="none" w:sz="0" w:space="0" w:color="auto"/>
        <w:right w:val="none" w:sz="0" w:space="0" w:color="auto"/>
      </w:divBdr>
    </w:div>
    <w:div w:id="434328596">
      <w:marLeft w:val="0"/>
      <w:marRight w:val="0"/>
      <w:marTop w:val="0"/>
      <w:marBottom w:val="240"/>
      <w:divBdr>
        <w:top w:val="none" w:sz="0" w:space="0" w:color="auto"/>
        <w:left w:val="none" w:sz="0" w:space="0" w:color="auto"/>
        <w:bottom w:val="none" w:sz="0" w:space="0" w:color="auto"/>
        <w:right w:val="none" w:sz="0" w:space="0" w:color="auto"/>
      </w:divBdr>
    </w:div>
    <w:div w:id="434637740">
      <w:marLeft w:val="0"/>
      <w:marRight w:val="0"/>
      <w:marTop w:val="0"/>
      <w:marBottom w:val="0"/>
      <w:divBdr>
        <w:top w:val="none" w:sz="0" w:space="0" w:color="auto"/>
        <w:left w:val="none" w:sz="0" w:space="0" w:color="auto"/>
        <w:bottom w:val="none" w:sz="0" w:space="0" w:color="auto"/>
        <w:right w:val="none" w:sz="0" w:space="0" w:color="auto"/>
      </w:divBdr>
      <w:divsChild>
        <w:div w:id="136385488">
          <w:marLeft w:val="0"/>
          <w:marRight w:val="0"/>
          <w:marTop w:val="0"/>
          <w:marBottom w:val="0"/>
          <w:divBdr>
            <w:top w:val="none" w:sz="0" w:space="0" w:color="auto"/>
            <w:left w:val="none" w:sz="0" w:space="0" w:color="auto"/>
            <w:bottom w:val="none" w:sz="0" w:space="0" w:color="auto"/>
            <w:right w:val="none" w:sz="0" w:space="0" w:color="auto"/>
          </w:divBdr>
        </w:div>
      </w:divsChild>
    </w:div>
    <w:div w:id="434860418">
      <w:marLeft w:val="0"/>
      <w:marRight w:val="0"/>
      <w:marTop w:val="180"/>
      <w:marBottom w:val="180"/>
      <w:divBdr>
        <w:top w:val="none" w:sz="0" w:space="0" w:color="auto"/>
        <w:left w:val="none" w:sz="0" w:space="0" w:color="auto"/>
        <w:bottom w:val="none" w:sz="0" w:space="0" w:color="auto"/>
        <w:right w:val="none" w:sz="0" w:space="0" w:color="auto"/>
      </w:divBdr>
    </w:div>
    <w:div w:id="434908598">
      <w:marLeft w:val="0"/>
      <w:marRight w:val="0"/>
      <w:marTop w:val="180"/>
      <w:marBottom w:val="180"/>
      <w:divBdr>
        <w:top w:val="none" w:sz="0" w:space="0" w:color="auto"/>
        <w:left w:val="none" w:sz="0" w:space="0" w:color="auto"/>
        <w:bottom w:val="none" w:sz="0" w:space="0" w:color="auto"/>
        <w:right w:val="none" w:sz="0" w:space="0" w:color="auto"/>
      </w:divBdr>
    </w:div>
    <w:div w:id="435518187">
      <w:marLeft w:val="0"/>
      <w:marRight w:val="0"/>
      <w:marTop w:val="0"/>
      <w:marBottom w:val="180"/>
      <w:divBdr>
        <w:top w:val="none" w:sz="0" w:space="0" w:color="auto"/>
        <w:left w:val="none" w:sz="0" w:space="0" w:color="auto"/>
        <w:bottom w:val="none" w:sz="0" w:space="0" w:color="auto"/>
        <w:right w:val="none" w:sz="0" w:space="0" w:color="auto"/>
      </w:divBdr>
    </w:div>
    <w:div w:id="436800393">
      <w:marLeft w:val="0"/>
      <w:marRight w:val="0"/>
      <w:marTop w:val="0"/>
      <w:marBottom w:val="0"/>
      <w:divBdr>
        <w:top w:val="none" w:sz="0" w:space="0" w:color="auto"/>
        <w:left w:val="none" w:sz="0" w:space="0" w:color="auto"/>
        <w:bottom w:val="none" w:sz="0" w:space="0" w:color="auto"/>
        <w:right w:val="none" w:sz="0" w:space="0" w:color="auto"/>
      </w:divBdr>
      <w:divsChild>
        <w:div w:id="1741440446">
          <w:marLeft w:val="0"/>
          <w:marRight w:val="0"/>
          <w:marTop w:val="0"/>
          <w:marBottom w:val="0"/>
          <w:divBdr>
            <w:top w:val="none" w:sz="0" w:space="0" w:color="auto"/>
            <w:left w:val="none" w:sz="0" w:space="0" w:color="auto"/>
            <w:bottom w:val="none" w:sz="0" w:space="0" w:color="auto"/>
            <w:right w:val="none" w:sz="0" w:space="0" w:color="auto"/>
          </w:divBdr>
        </w:div>
      </w:divsChild>
    </w:div>
    <w:div w:id="439103920">
      <w:marLeft w:val="0"/>
      <w:marRight w:val="0"/>
      <w:marTop w:val="120"/>
      <w:marBottom w:val="240"/>
      <w:divBdr>
        <w:top w:val="none" w:sz="0" w:space="0" w:color="auto"/>
        <w:left w:val="none" w:sz="0" w:space="0" w:color="auto"/>
        <w:bottom w:val="none" w:sz="0" w:space="0" w:color="auto"/>
        <w:right w:val="none" w:sz="0" w:space="0" w:color="auto"/>
      </w:divBdr>
    </w:div>
    <w:div w:id="439647604">
      <w:marLeft w:val="0"/>
      <w:marRight w:val="0"/>
      <w:marTop w:val="100"/>
      <w:marBottom w:val="0"/>
      <w:divBdr>
        <w:top w:val="none" w:sz="0" w:space="0" w:color="auto"/>
        <w:left w:val="none" w:sz="0" w:space="0" w:color="auto"/>
        <w:bottom w:val="none" w:sz="0" w:space="0" w:color="auto"/>
        <w:right w:val="none" w:sz="0" w:space="0" w:color="auto"/>
      </w:divBdr>
    </w:div>
    <w:div w:id="439909987">
      <w:marLeft w:val="0"/>
      <w:marRight w:val="0"/>
      <w:marTop w:val="0"/>
      <w:marBottom w:val="0"/>
      <w:divBdr>
        <w:top w:val="none" w:sz="0" w:space="0" w:color="auto"/>
        <w:left w:val="none" w:sz="0" w:space="0" w:color="auto"/>
        <w:bottom w:val="none" w:sz="0" w:space="0" w:color="auto"/>
        <w:right w:val="none" w:sz="0" w:space="0" w:color="auto"/>
      </w:divBdr>
    </w:div>
    <w:div w:id="440494219">
      <w:marLeft w:val="0"/>
      <w:marRight w:val="0"/>
      <w:marTop w:val="0"/>
      <w:marBottom w:val="180"/>
      <w:divBdr>
        <w:top w:val="none" w:sz="0" w:space="0" w:color="auto"/>
        <w:left w:val="none" w:sz="0" w:space="0" w:color="auto"/>
        <w:bottom w:val="none" w:sz="0" w:space="0" w:color="auto"/>
        <w:right w:val="none" w:sz="0" w:space="0" w:color="auto"/>
      </w:divBdr>
    </w:div>
    <w:div w:id="440876044">
      <w:marLeft w:val="0"/>
      <w:marRight w:val="0"/>
      <w:marTop w:val="0"/>
      <w:marBottom w:val="240"/>
      <w:divBdr>
        <w:top w:val="none" w:sz="0" w:space="0" w:color="auto"/>
        <w:left w:val="none" w:sz="0" w:space="0" w:color="auto"/>
        <w:bottom w:val="none" w:sz="0" w:space="0" w:color="auto"/>
        <w:right w:val="none" w:sz="0" w:space="0" w:color="auto"/>
      </w:divBdr>
    </w:div>
    <w:div w:id="440997929">
      <w:marLeft w:val="0"/>
      <w:marRight w:val="0"/>
      <w:marTop w:val="180"/>
      <w:marBottom w:val="180"/>
      <w:divBdr>
        <w:top w:val="none" w:sz="0" w:space="0" w:color="auto"/>
        <w:left w:val="none" w:sz="0" w:space="0" w:color="auto"/>
        <w:bottom w:val="none" w:sz="0" w:space="0" w:color="auto"/>
        <w:right w:val="none" w:sz="0" w:space="0" w:color="auto"/>
      </w:divBdr>
    </w:div>
    <w:div w:id="441077147">
      <w:marLeft w:val="0"/>
      <w:marRight w:val="0"/>
      <w:marTop w:val="0"/>
      <w:marBottom w:val="240"/>
      <w:divBdr>
        <w:top w:val="none" w:sz="0" w:space="0" w:color="auto"/>
        <w:left w:val="none" w:sz="0" w:space="0" w:color="auto"/>
        <w:bottom w:val="none" w:sz="0" w:space="0" w:color="auto"/>
        <w:right w:val="none" w:sz="0" w:space="0" w:color="auto"/>
      </w:divBdr>
    </w:div>
    <w:div w:id="441729087">
      <w:marLeft w:val="0"/>
      <w:marRight w:val="0"/>
      <w:marTop w:val="180"/>
      <w:marBottom w:val="180"/>
      <w:divBdr>
        <w:top w:val="none" w:sz="0" w:space="0" w:color="auto"/>
        <w:left w:val="none" w:sz="0" w:space="0" w:color="auto"/>
        <w:bottom w:val="none" w:sz="0" w:space="0" w:color="auto"/>
        <w:right w:val="none" w:sz="0" w:space="0" w:color="auto"/>
      </w:divBdr>
    </w:div>
    <w:div w:id="442308815">
      <w:marLeft w:val="0"/>
      <w:marRight w:val="0"/>
      <w:marTop w:val="0"/>
      <w:marBottom w:val="0"/>
      <w:divBdr>
        <w:top w:val="none" w:sz="0" w:space="0" w:color="auto"/>
        <w:left w:val="none" w:sz="0" w:space="0" w:color="auto"/>
        <w:bottom w:val="none" w:sz="0" w:space="0" w:color="auto"/>
        <w:right w:val="none" w:sz="0" w:space="0" w:color="auto"/>
      </w:divBdr>
      <w:divsChild>
        <w:div w:id="1964070395">
          <w:marLeft w:val="0"/>
          <w:marRight w:val="0"/>
          <w:marTop w:val="0"/>
          <w:marBottom w:val="0"/>
          <w:divBdr>
            <w:top w:val="none" w:sz="0" w:space="0" w:color="auto"/>
            <w:left w:val="none" w:sz="0" w:space="0" w:color="auto"/>
            <w:bottom w:val="none" w:sz="0" w:space="0" w:color="auto"/>
            <w:right w:val="none" w:sz="0" w:space="0" w:color="auto"/>
          </w:divBdr>
        </w:div>
      </w:divsChild>
    </w:div>
    <w:div w:id="442576350">
      <w:marLeft w:val="0"/>
      <w:marRight w:val="0"/>
      <w:marTop w:val="0"/>
      <w:marBottom w:val="0"/>
      <w:divBdr>
        <w:top w:val="none" w:sz="0" w:space="0" w:color="auto"/>
        <w:left w:val="none" w:sz="0" w:space="0" w:color="auto"/>
        <w:bottom w:val="none" w:sz="0" w:space="0" w:color="auto"/>
        <w:right w:val="none" w:sz="0" w:space="0" w:color="auto"/>
      </w:divBdr>
    </w:div>
    <w:div w:id="442657216">
      <w:marLeft w:val="0"/>
      <w:marRight w:val="0"/>
      <w:marTop w:val="0"/>
      <w:marBottom w:val="180"/>
      <w:divBdr>
        <w:top w:val="none" w:sz="0" w:space="0" w:color="auto"/>
        <w:left w:val="none" w:sz="0" w:space="0" w:color="auto"/>
        <w:bottom w:val="none" w:sz="0" w:space="0" w:color="auto"/>
        <w:right w:val="none" w:sz="0" w:space="0" w:color="auto"/>
      </w:divBdr>
    </w:div>
    <w:div w:id="445471625">
      <w:marLeft w:val="0"/>
      <w:marRight w:val="0"/>
      <w:marTop w:val="0"/>
      <w:marBottom w:val="180"/>
      <w:divBdr>
        <w:top w:val="none" w:sz="0" w:space="0" w:color="auto"/>
        <w:left w:val="none" w:sz="0" w:space="0" w:color="auto"/>
        <w:bottom w:val="none" w:sz="0" w:space="0" w:color="auto"/>
        <w:right w:val="none" w:sz="0" w:space="0" w:color="auto"/>
      </w:divBdr>
    </w:div>
    <w:div w:id="445583927">
      <w:marLeft w:val="0"/>
      <w:marRight w:val="0"/>
      <w:marTop w:val="0"/>
      <w:marBottom w:val="180"/>
      <w:divBdr>
        <w:top w:val="none" w:sz="0" w:space="0" w:color="auto"/>
        <w:left w:val="none" w:sz="0" w:space="0" w:color="auto"/>
        <w:bottom w:val="none" w:sz="0" w:space="0" w:color="auto"/>
        <w:right w:val="none" w:sz="0" w:space="0" w:color="auto"/>
      </w:divBdr>
    </w:div>
    <w:div w:id="445782882">
      <w:marLeft w:val="0"/>
      <w:marRight w:val="0"/>
      <w:marTop w:val="0"/>
      <w:marBottom w:val="0"/>
      <w:divBdr>
        <w:top w:val="none" w:sz="0" w:space="0" w:color="auto"/>
        <w:left w:val="none" w:sz="0" w:space="0" w:color="auto"/>
        <w:bottom w:val="none" w:sz="0" w:space="0" w:color="auto"/>
        <w:right w:val="none" w:sz="0" w:space="0" w:color="auto"/>
      </w:divBdr>
    </w:div>
    <w:div w:id="446660175">
      <w:marLeft w:val="0"/>
      <w:marRight w:val="0"/>
      <w:marTop w:val="120"/>
      <w:marBottom w:val="120"/>
      <w:divBdr>
        <w:top w:val="none" w:sz="0" w:space="0" w:color="auto"/>
        <w:left w:val="none" w:sz="0" w:space="0" w:color="auto"/>
        <w:bottom w:val="none" w:sz="0" w:space="0" w:color="auto"/>
        <w:right w:val="none" w:sz="0" w:space="0" w:color="auto"/>
      </w:divBdr>
    </w:div>
    <w:div w:id="446700037">
      <w:marLeft w:val="0"/>
      <w:marRight w:val="0"/>
      <w:marTop w:val="0"/>
      <w:marBottom w:val="180"/>
      <w:divBdr>
        <w:top w:val="none" w:sz="0" w:space="0" w:color="auto"/>
        <w:left w:val="none" w:sz="0" w:space="0" w:color="auto"/>
        <w:bottom w:val="none" w:sz="0" w:space="0" w:color="auto"/>
        <w:right w:val="none" w:sz="0" w:space="0" w:color="auto"/>
      </w:divBdr>
    </w:div>
    <w:div w:id="446705205">
      <w:marLeft w:val="0"/>
      <w:marRight w:val="0"/>
      <w:marTop w:val="0"/>
      <w:marBottom w:val="180"/>
      <w:divBdr>
        <w:top w:val="none" w:sz="0" w:space="0" w:color="auto"/>
        <w:left w:val="none" w:sz="0" w:space="0" w:color="auto"/>
        <w:bottom w:val="none" w:sz="0" w:space="0" w:color="auto"/>
        <w:right w:val="none" w:sz="0" w:space="0" w:color="auto"/>
      </w:divBdr>
    </w:div>
    <w:div w:id="446972037">
      <w:marLeft w:val="0"/>
      <w:marRight w:val="0"/>
      <w:marTop w:val="0"/>
      <w:marBottom w:val="240"/>
      <w:divBdr>
        <w:top w:val="none" w:sz="0" w:space="0" w:color="auto"/>
        <w:left w:val="none" w:sz="0" w:space="0" w:color="auto"/>
        <w:bottom w:val="none" w:sz="0" w:space="0" w:color="auto"/>
        <w:right w:val="none" w:sz="0" w:space="0" w:color="auto"/>
      </w:divBdr>
    </w:div>
    <w:div w:id="447897235">
      <w:marLeft w:val="0"/>
      <w:marRight w:val="0"/>
      <w:marTop w:val="100"/>
      <w:marBottom w:val="0"/>
      <w:divBdr>
        <w:top w:val="none" w:sz="0" w:space="0" w:color="auto"/>
        <w:left w:val="none" w:sz="0" w:space="0" w:color="auto"/>
        <w:bottom w:val="none" w:sz="0" w:space="0" w:color="auto"/>
        <w:right w:val="none" w:sz="0" w:space="0" w:color="auto"/>
      </w:divBdr>
    </w:div>
    <w:div w:id="448402419">
      <w:marLeft w:val="0"/>
      <w:marRight w:val="0"/>
      <w:marTop w:val="0"/>
      <w:marBottom w:val="180"/>
      <w:divBdr>
        <w:top w:val="none" w:sz="0" w:space="0" w:color="auto"/>
        <w:left w:val="none" w:sz="0" w:space="0" w:color="auto"/>
        <w:bottom w:val="none" w:sz="0" w:space="0" w:color="auto"/>
        <w:right w:val="none" w:sz="0" w:space="0" w:color="auto"/>
      </w:divBdr>
    </w:div>
    <w:div w:id="448594968">
      <w:marLeft w:val="0"/>
      <w:marRight w:val="0"/>
      <w:marTop w:val="0"/>
      <w:marBottom w:val="180"/>
      <w:divBdr>
        <w:top w:val="none" w:sz="0" w:space="0" w:color="auto"/>
        <w:left w:val="none" w:sz="0" w:space="0" w:color="auto"/>
        <w:bottom w:val="none" w:sz="0" w:space="0" w:color="auto"/>
        <w:right w:val="none" w:sz="0" w:space="0" w:color="auto"/>
      </w:divBdr>
    </w:div>
    <w:div w:id="450053340">
      <w:marLeft w:val="0"/>
      <w:marRight w:val="0"/>
      <w:marTop w:val="0"/>
      <w:marBottom w:val="0"/>
      <w:divBdr>
        <w:top w:val="none" w:sz="0" w:space="0" w:color="auto"/>
        <w:left w:val="none" w:sz="0" w:space="0" w:color="auto"/>
        <w:bottom w:val="none" w:sz="0" w:space="0" w:color="auto"/>
        <w:right w:val="none" w:sz="0" w:space="0" w:color="auto"/>
      </w:divBdr>
      <w:divsChild>
        <w:div w:id="1032924397">
          <w:marLeft w:val="0"/>
          <w:marRight w:val="0"/>
          <w:marTop w:val="0"/>
          <w:marBottom w:val="0"/>
          <w:divBdr>
            <w:top w:val="none" w:sz="0" w:space="0" w:color="auto"/>
            <w:left w:val="none" w:sz="0" w:space="0" w:color="auto"/>
            <w:bottom w:val="none" w:sz="0" w:space="0" w:color="auto"/>
            <w:right w:val="none" w:sz="0" w:space="0" w:color="auto"/>
          </w:divBdr>
        </w:div>
      </w:divsChild>
    </w:div>
    <w:div w:id="450056650">
      <w:marLeft w:val="0"/>
      <w:marRight w:val="0"/>
      <w:marTop w:val="0"/>
      <w:marBottom w:val="240"/>
      <w:divBdr>
        <w:top w:val="none" w:sz="0" w:space="0" w:color="auto"/>
        <w:left w:val="none" w:sz="0" w:space="0" w:color="auto"/>
        <w:bottom w:val="none" w:sz="0" w:space="0" w:color="auto"/>
        <w:right w:val="none" w:sz="0" w:space="0" w:color="auto"/>
      </w:divBdr>
    </w:div>
    <w:div w:id="450710927">
      <w:marLeft w:val="0"/>
      <w:marRight w:val="0"/>
      <w:marTop w:val="0"/>
      <w:marBottom w:val="240"/>
      <w:divBdr>
        <w:top w:val="none" w:sz="0" w:space="0" w:color="auto"/>
        <w:left w:val="none" w:sz="0" w:space="0" w:color="auto"/>
        <w:bottom w:val="none" w:sz="0" w:space="0" w:color="auto"/>
        <w:right w:val="none" w:sz="0" w:space="0" w:color="auto"/>
      </w:divBdr>
    </w:div>
    <w:div w:id="452483157">
      <w:marLeft w:val="0"/>
      <w:marRight w:val="0"/>
      <w:marTop w:val="0"/>
      <w:marBottom w:val="240"/>
      <w:divBdr>
        <w:top w:val="none" w:sz="0" w:space="0" w:color="auto"/>
        <w:left w:val="none" w:sz="0" w:space="0" w:color="auto"/>
        <w:bottom w:val="none" w:sz="0" w:space="0" w:color="auto"/>
        <w:right w:val="none" w:sz="0" w:space="0" w:color="auto"/>
      </w:divBdr>
    </w:div>
    <w:div w:id="452677447">
      <w:marLeft w:val="0"/>
      <w:marRight w:val="0"/>
      <w:marTop w:val="0"/>
      <w:marBottom w:val="0"/>
      <w:divBdr>
        <w:top w:val="none" w:sz="0" w:space="0" w:color="auto"/>
        <w:left w:val="none" w:sz="0" w:space="0" w:color="auto"/>
        <w:bottom w:val="none" w:sz="0" w:space="0" w:color="auto"/>
        <w:right w:val="none" w:sz="0" w:space="0" w:color="auto"/>
      </w:divBdr>
      <w:divsChild>
        <w:div w:id="1320188457">
          <w:marLeft w:val="0"/>
          <w:marRight w:val="0"/>
          <w:marTop w:val="0"/>
          <w:marBottom w:val="0"/>
          <w:divBdr>
            <w:top w:val="none" w:sz="0" w:space="0" w:color="auto"/>
            <w:left w:val="none" w:sz="0" w:space="0" w:color="auto"/>
            <w:bottom w:val="none" w:sz="0" w:space="0" w:color="auto"/>
            <w:right w:val="none" w:sz="0" w:space="0" w:color="auto"/>
          </w:divBdr>
        </w:div>
      </w:divsChild>
    </w:div>
    <w:div w:id="453136571">
      <w:marLeft w:val="0"/>
      <w:marRight w:val="0"/>
      <w:marTop w:val="0"/>
      <w:marBottom w:val="240"/>
      <w:divBdr>
        <w:top w:val="none" w:sz="0" w:space="0" w:color="auto"/>
        <w:left w:val="none" w:sz="0" w:space="0" w:color="auto"/>
        <w:bottom w:val="none" w:sz="0" w:space="0" w:color="auto"/>
        <w:right w:val="none" w:sz="0" w:space="0" w:color="auto"/>
      </w:divBdr>
    </w:div>
    <w:div w:id="453183116">
      <w:marLeft w:val="0"/>
      <w:marRight w:val="0"/>
      <w:marTop w:val="120"/>
      <w:marBottom w:val="120"/>
      <w:divBdr>
        <w:top w:val="none" w:sz="0" w:space="0" w:color="auto"/>
        <w:left w:val="none" w:sz="0" w:space="0" w:color="auto"/>
        <w:bottom w:val="none" w:sz="0" w:space="0" w:color="auto"/>
        <w:right w:val="none" w:sz="0" w:space="0" w:color="auto"/>
      </w:divBdr>
    </w:div>
    <w:div w:id="453332178">
      <w:marLeft w:val="0"/>
      <w:marRight w:val="0"/>
      <w:marTop w:val="0"/>
      <w:marBottom w:val="240"/>
      <w:divBdr>
        <w:top w:val="none" w:sz="0" w:space="0" w:color="auto"/>
        <w:left w:val="none" w:sz="0" w:space="0" w:color="auto"/>
        <w:bottom w:val="none" w:sz="0" w:space="0" w:color="auto"/>
        <w:right w:val="none" w:sz="0" w:space="0" w:color="auto"/>
      </w:divBdr>
    </w:div>
    <w:div w:id="453644492">
      <w:marLeft w:val="0"/>
      <w:marRight w:val="0"/>
      <w:marTop w:val="180"/>
      <w:marBottom w:val="180"/>
      <w:divBdr>
        <w:top w:val="none" w:sz="0" w:space="0" w:color="auto"/>
        <w:left w:val="none" w:sz="0" w:space="0" w:color="auto"/>
        <w:bottom w:val="none" w:sz="0" w:space="0" w:color="auto"/>
        <w:right w:val="none" w:sz="0" w:space="0" w:color="auto"/>
      </w:divBdr>
    </w:div>
    <w:div w:id="455292340">
      <w:marLeft w:val="0"/>
      <w:marRight w:val="0"/>
      <w:marTop w:val="0"/>
      <w:marBottom w:val="240"/>
      <w:divBdr>
        <w:top w:val="none" w:sz="0" w:space="0" w:color="auto"/>
        <w:left w:val="none" w:sz="0" w:space="0" w:color="auto"/>
        <w:bottom w:val="none" w:sz="0" w:space="0" w:color="auto"/>
        <w:right w:val="none" w:sz="0" w:space="0" w:color="auto"/>
      </w:divBdr>
    </w:div>
    <w:div w:id="455293758">
      <w:marLeft w:val="0"/>
      <w:marRight w:val="0"/>
      <w:marTop w:val="0"/>
      <w:marBottom w:val="240"/>
      <w:divBdr>
        <w:top w:val="none" w:sz="0" w:space="0" w:color="auto"/>
        <w:left w:val="none" w:sz="0" w:space="0" w:color="auto"/>
        <w:bottom w:val="none" w:sz="0" w:space="0" w:color="auto"/>
        <w:right w:val="none" w:sz="0" w:space="0" w:color="auto"/>
      </w:divBdr>
    </w:div>
    <w:div w:id="455491119">
      <w:marLeft w:val="0"/>
      <w:marRight w:val="0"/>
      <w:marTop w:val="0"/>
      <w:marBottom w:val="0"/>
      <w:divBdr>
        <w:top w:val="none" w:sz="0" w:space="0" w:color="auto"/>
        <w:left w:val="none" w:sz="0" w:space="0" w:color="auto"/>
        <w:bottom w:val="none" w:sz="0" w:space="0" w:color="auto"/>
        <w:right w:val="none" w:sz="0" w:space="0" w:color="auto"/>
      </w:divBdr>
    </w:div>
    <w:div w:id="455492517">
      <w:marLeft w:val="0"/>
      <w:marRight w:val="0"/>
      <w:marTop w:val="0"/>
      <w:marBottom w:val="180"/>
      <w:divBdr>
        <w:top w:val="none" w:sz="0" w:space="0" w:color="auto"/>
        <w:left w:val="none" w:sz="0" w:space="0" w:color="auto"/>
        <w:bottom w:val="none" w:sz="0" w:space="0" w:color="auto"/>
        <w:right w:val="none" w:sz="0" w:space="0" w:color="auto"/>
      </w:divBdr>
    </w:div>
    <w:div w:id="455876746">
      <w:marLeft w:val="0"/>
      <w:marRight w:val="0"/>
      <w:marTop w:val="100"/>
      <w:marBottom w:val="0"/>
      <w:divBdr>
        <w:top w:val="none" w:sz="0" w:space="0" w:color="auto"/>
        <w:left w:val="none" w:sz="0" w:space="0" w:color="auto"/>
        <w:bottom w:val="none" w:sz="0" w:space="0" w:color="auto"/>
        <w:right w:val="none" w:sz="0" w:space="0" w:color="auto"/>
      </w:divBdr>
    </w:div>
    <w:div w:id="456606777">
      <w:marLeft w:val="0"/>
      <w:marRight w:val="0"/>
      <w:marTop w:val="0"/>
      <w:marBottom w:val="60"/>
      <w:divBdr>
        <w:top w:val="none" w:sz="0" w:space="0" w:color="auto"/>
        <w:left w:val="none" w:sz="0" w:space="0" w:color="auto"/>
        <w:bottom w:val="none" w:sz="0" w:space="0" w:color="auto"/>
        <w:right w:val="none" w:sz="0" w:space="0" w:color="auto"/>
      </w:divBdr>
    </w:div>
    <w:div w:id="456804137">
      <w:marLeft w:val="0"/>
      <w:marRight w:val="0"/>
      <w:marTop w:val="180"/>
      <w:marBottom w:val="180"/>
      <w:divBdr>
        <w:top w:val="none" w:sz="0" w:space="0" w:color="auto"/>
        <w:left w:val="none" w:sz="0" w:space="0" w:color="auto"/>
        <w:bottom w:val="none" w:sz="0" w:space="0" w:color="auto"/>
        <w:right w:val="none" w:sz="0" w:space="0" w:color="auto"/>
      </w:divBdr>
    </w:div>
    <w:div w:id="457528829">
      <w:marLeft w:val="0"/>
      <w:marRight w:val="0"/>
      <w:marTop w:val="100"/>
      <w:marBottom w:val="0"/>
      <w:divBdr>
        <w:top w:val="none" w:sz="0" w:space="0" w:color="auto"/>
        <w:left w:val="none" w:sz="0" w:space="0" w:color="auto"/>
        <w:bottom w:val="none" w:sz="0" w:space="0" w:color="auto"/>
        <w:right w:val="none" w:sz="0" w:space="0" w:color="auto"/>
      </w:divBdr>
    </w:div>
    <w:div w:id="457575864">
      <w:marLeft w:val="0"/>
      <w:marRight w:val="0"/>
      <w:marTop w:val="0"/>
      <w:marBottom w:val="180"/>
      <w:divBdr>
        <w:top w:val="none" w:sz="0" w:space="0" w:color="auto"/>
        <w:left w:val="none" w:sz="0" w:space="0" w:color="auto"/>
        <w:bottom w:val="none" w:sz="0" w:space="0" w:color="auto"/>
        <w:right w:val="none" w:sz="0" w:space="0" w:color="auto"/>
      </w:divBdr>
    </w:div>
    <w:div w:id="458885490">
      <w:marLeft w:val="0"/>
      <w:marRight w:val="0"/>
      <w:marTop w:val="0"/>
      <w:marBottom w:val="0"/>
      <w:divBdr>
        <w:top w:val="none" w:sz="0" w:space="0" w:color="auto"/>
        <w:left w:val="none" w:sz="0" w:space="0" w:color="auto"/>
        <w:bottom w:val="none" w:sz="0" w:space="0" w:color="auto"/>
        <w:right w:val="none" w:sz="0" w:space="0" w:color="auto"/>
      </w:divBdr>
    </w:div>
    <w:div w:id="459419134">
      <w:marLeft w:val="0"/>
      <w:marRight w:val="0"/>
      <w:marTop w:val="180"/>
      <w:marBottom w:val="240"/>
      <w:divBdr>
        <w:top w:val="none" w:sz="0" w:space="0" w:color="auto"/>
        <w:left w:val="none" w:sz="0" w:space="0" w:color="auto"/>
        <w:bottom w:val="none" w:sz="0" w:space="0" w:color="auto"/>
        <w:right w:val="none" w:sz="0" w:space="0" w:color="auto"/>
      </w:divBdr>
    </w:div>
    <w:div w:id="461922710">
      <w:marLeft w:val="0"/>
      <w:marRight w:val="0"/>
      <w:marTop w:val="0"/>
      <w:marBottom w:val="0"/>
      <w:divBdr>
        <w:top w:val="none" w:sz="0" w:space="0" w:color="auto"/>
        <w:left w:val="none" w:sz="0" w:space="0" w:color="auto"/>
        <w:bottom w:val="none" w:sz="0" w:space="0" w:color="auto"/>
        <w:right w:val="none" w:sz="0" w:space="0" w:color="auto"/>
      </w:divBdr>
      <w:divsChild>
        <w:div w:id="670912368">
          <w:marLeft w:val="0"/>
          <w:marRight w:val="0"/>
          <w:marTop w:val="0"/>
          <w:marBottom w:val="0"/>
          <w:divBdr>
            <w:top w:val="none" w:sz="0" w:space="0" w:color="auto"/>
            <w:left w:val="none" w:sz="0" w:space="0" w:color="auto"/>
            <w:bottom w:val="none" w:sz="0" w:space="0" w:color="auto"/>
            <w:right w:val="none" w:sz="0" w:space="0" w:color="auto"/>
          </w:divBdr>
        </w:div>
      </w:divsChild>
    </w:div>
    <w:div w:id="462315224">
      <w:marLeft w:val="0"/>
      <w:marRight w:val="0"/>
      <w:marTop w:val="0"/>
      <w:marBottom w:val="0"/>
      <w:divBdr>
        <w:top w:val="none" w:sz="0" w:space="0" w:color="auto"/>
        <w:left w:val="none" w:sz="0" w:space="0" w:color="auto"/>
        <w:bottom w:val="none" w:sz="0" w:space="0" w:color="auto"/>
        <w:right w:val="none" w:sz="0" w:space="0" w:color="auto"/>
      </w:divBdr>
      <w:divsChild>
        <w:div w:id="446393399">
          <w:marLeft w:val="0"/>
          <w:marRight w:val="0"/>
          <w:marTop w:val="0"/>
          <w:marBottom w:val="0"/>
          <w:divBdr>
            <w:top w:val="none" w:sz="0" w:space="0" w:color="auto"/>
            <w:left w:val="none" w:sz="0" w:space="0" w:color="auto"/>
            <w:bottom w:val="none" w:sz="0" w:space="0" w:color="auto"/>
            <w:right w:val="none" w:sz="0" w:space="0" w:color="auto"/>
          </w:divBdr>
        </w:div>
      </w:divsChild>
    </w:div>
    <w:div w:id="462431240">
      <w:marLeft w:val="0"/>
      <w:marRight w:val="0"/>
      <w:marTop w:val="0"/>
      <w:marBottom w:val="240"/>
      <w:divBdr>
        <w:top w:val="none" w:sz="0" w:space="0" w:color="auto"/>
        <w:left w:val="none" w:sz="0" w:space="0" w:color="auto"/>
        <w:bottom w:val="none" w:sz="0" w:space="0" w:color="auto"/>
        <w:right w:val="none" w:sz="0" w:space="0" w:color="auto"/>
      </w:divBdr>
    </w:div>
    <w:div w:id="462891249">
      <w:marLeft w:val="0"/>
      <w:marRight w:val="0"/>
      <w:marTop w:val="0"/>
      <w:marBottom w:val="180"/>
      <w:divBdr>
        <w:top w:val="none" w:sz="0" w:space="0" w:color="auto"/>
        <w:left w:val="none" w:sz="0" w:space="0" w:color="auto"/>
        <w:bottom w:val="none" w:sz="0" w:space="0" w:color="auto"/>
        <w:right w:val="none" w:sz="0" w:space="0" w:color="auto"/>
      </w:divBdr>
    </w:div>
    <w:div w:id="464399051">
      <w:marLeft w:val="0"/>
      <w:marRight w:val="0"/>
      <w:marTop w:val="0"/>
      <w:marBottom w:val="240"/>
      <w:divBdr>
        <w:top w:val="none" w:sz="0" w:space="0" w:color="auto"/>
        <w:left w:val="none" w:sz="0" w:space="0" w:color="auto"/>
        <w:bottom w:val="none" w:sz="0" w:space="0" w:color="auto"/>
        <w:right w:val="none" w:sz="0" w:space="0" w:color="auto"/>
      </w:divBdr>
    </w:div>
    <w:div w:id="464471189">
      <w:marLeft w:val="0"/>
      <w:marRight w:val="0"/>
      <w:marTop w:val="0"/>
      <w:marBottom w:val="180"/>
      <w:divBdr>
        <w:top w:val="none" w:sz="0" w:space="0" w:color="auto"/>
        <w:left w:val="none" w:sz="0" w:space="0" w:color="auto"/>
        <w:bottom w:val="none" w:sz="0" w:space="0" w:color="auto"/>
        <w:right w:val="none" w:sz="0" w:space="0" w:color="auto"/>
      </w:divBdr>
    </w:div>
    <w:div w:id="466513649">
      <w:marLeft w:val="0"/>
      <w:marRight w:val="0"/>
      <w:marTop w:val="0"/>
      <w:marBottom w:val="0"/>
      <w:divBdr>
        <w:top w:val="none" w:sz="0" w:space="0" w:color="auto"/>
        <w:left w:val="none" w:sz="0" w:space="0" w:color="auto"/>
        <w:bottom w:val="none" w:sz="0" w:space="0" w:color="auto"/>
        <w:right w:val="none" w:sz="0" w:space="0" w:color="auto"/>
      </w:divBdr>
      <w:divsChild>
        <w:div w:id="1703703330">
          <w:marLeft w:val="0"/>
          <w:marRight w:val="0"/>
          <w:marTop w:val="0"/>
          <w:marBottom w:val="0"/>
          <w:divBdr>
            <w:top w:val="none" w:sz="0" w:space="0" w:color="auto"/>
            <w:left w:val="none" w:sz="0" w:space="0" w:color="auto"/>
            <w:bottom w:val="none" w:sz="0" w:space="0" w:color="auto"/>
            <w:right w:val="none" w:sz="0" w:space="0" w:color="auto"/>
          </w:divBdr>
        </w:div>
      </w:divsChild>
    </w:div>
    <w:div w:id="466699948">
      <w:marLeft w:val="0"/>
      <w:marRight w:val="0"/>
      <w:marTop w:val="180"/>
      <w:marBottom w:val="180"/>
      <w:divBdr>
        <w:top w:val="none" w:sz="0" w:space="0" w:color="auto"/>
        <w:left w:val="none" w:sz="0" w:space="0" w:color="auto"/>
        <w:bottom w:val="none" w:sz="0" w:space="0" w:color="auto"/>
        <w:right w:val="none" w:sz="0" w:space="0" w:color="auto"/>
      </w:divBdr>
    </w:div>
    <w:div w:id="467167091">
      <w:marLeft w:val="0"/>
      <w:marRight w:val="0"/>
      <w:marTop w:val="0"/>
      <w:marBottom w:val="0"/>
      <w:divBdr>
        <w:top w:val="none" w:sz="0" w:space="0" w:color="auto"/>
        <w:left w:val="none" w:sz="0" w:space="0" w:color="auto"/>
        <w:bottom w:val="none" w:sz="0" w:space="0" w:color="auto"/>
        <w:right w:val="none" w:sz="0" w:space="0" w:color="auto"/>
      </w:divBdr>
    </w:div>
    <w:div w:id="469401091">
      <w:marLeft w:val="0"/>
      <w:marRight w:val="0"/>
      <w:marTop w:val="0"/>
      <w:marBottom w:val="240"/>
      <w:divBdr>
        <w:top w:val="none" w:sz="0" w:space="0" w:color="auto"/>
        <w:left w:val="none" w:sz="0" w:space="0" w:color="auto"/>
        <w:bottom w:val="none" w:sz="0" w:space="0" w:color="auto"/>
        <w:right w:val="none" w:sz="0" w:space="0" w:color="auto"/>
      </w:divBdr>
    </w:div>
    <w:div w:id="469636494">
      <w:marLeft w:val="0"/>
      <w:marRight w:val="0"/>
      <w:marTop w:val="0"/>
      <w:marBottom w:val="180"/>
      <w:divBdr>
        <w:top w:val="none" w:sz="0" w:space="0" w:color="auto"/>
        <w:left w:val="none" w:sz="0" w:space="0" w:color="auto"/>
        <w:bottom w:val="none" w:sz="0" w:space="0" w:color="auto"/>
        <w:right w:val="none" w:sz="0" w:space="0" w:color="auto"/>
      </w:divBdr>
    </w:div>
    <w:div w:id="469827654">
      <w:marLeft w:val="0"/>
      <w:marRight w:val="0"/>
      <w:marTop w:val="180"/>
      <w:marBottom w:val="180"/>
      <w:divBdr>
        <w:top w:val="none" w:sz="0" w:space="0" w:color="auto"/>
        <w:left w:val="none" w:sz="0" w:space="0" w:color="auto"/>
        <w:bottom w:val="none" w:sz="0" w:space="0" w:color="auto"/>
        <w:right w:val="none" w:sz="0" w:space="0" w:color="auto"/>
      </w:divBdr>
    </w:div>
    <w:div w:id="469829254">
      <w:marLeft w:val="0"/>
      <w:marRight w:val="0"/>
      <w:marTop w:val="0"/>
      <w:marBottom w:val="180"/>
      <w:divBdr>
        <w:top w:val="none" w:sz="0" w:space="0" w:color="auto"/>
        <w:left w:val="none" w:sz="0" w:space="0" w:color="auto"/>
        <w:bottom w:val="none" w:sz="0" w:space="0" w:color="auto"/>
        <w:right w:val="none" w:sz="0" w:space="0" w:color="auto"/>
      </w:divBdr>
    </w:div>
    <w:div w:id="470563911">
      <w:marLeft w:val="0"/>
      <w:marRight w:val="0"/>
      <w:marTop w:val="0"/>
      <w:marBottom w:val="0"/>
      <w:divBdr>
        <w:top w:val="none" w:sz="0" w:space="0" w:color="auto"/>
        <w:left w:val="none" w:sz="0" w:space="0" w:color="auto"/>
        <w:bottom w:val="none" w:sz="0" w:space="0" w:color="auto"/>
        <w:right w:val="none" w:sz="0" w:space="0" w:color="auto"/>
      </w:divBdr>
      <w:divsChild>
        <w:div w:id="1875147088">
          <w:marLeft w:val="0"/>
          <w:marRight w:val="0"/>
          <w:marTop w:val="0"/>
          <w:marBottom w:val="0"/>
          <w:divBdr>
            <w:top w:val="none" w:sz="0" w:space="0" w:color="auto"/>
            <w:left w:val="none" w:sz="0" w:space="0" w:color="auto"/>
            <w:bottom w:val="none" w:sz="0" w:space="0" w:color="auto"/>
            <w:right w:val="none" w:sz="0" w:space="0" w:color="auto"/>
          </w:divBdr>
        </w:div>
      </w:divsChild>
    </w:div>
    <w:div w:id="470903418">
      <w:marLeft w:val="0"/>
      <w:marRight w:val="0"/>
      <w:marTop w:val="0"/>
      <w:marBottom w:val="180"/>
      <w:divBdr>
        <w:top w:val="none" w:sz="0" w:space="0" w:color="auto"/>
        <w:left w:val="none" w:sz="0" w:space="0" w:color="auto"/>
        <w:bottom w:val="none" w:sz="0" w:space="0" w:color="auto"/>
        <w:right w:val="none" w:sz="0" w:space="0" w:color="auto"/>
      </w:divBdr>
    </w:div>
    <w:div w:id="471099889">
      <w:marLeft w:val="0"/>
      <w:marRight w:val="0"/>
      <w:marTop w:val="0"/>
      <w:marBottom w:val="0"/>
      <w:divBdr>
        <w:top w:val="none" w:sz="0" w:space="0" w:color="auto"/>
        <w:left w:val="none" w:sz="0" w:space="0" w:color="auto"/>
        <w:bottom w:val="none" w:sz="0" w:space="0" w:color="auto"/>
        <w:right w:val="none" w:sz="0" w:space="0" w:color="auto"/>
      </w:divBdr>
    </w:div>
    <w:div w:id="471871572">
      <w:marLeft w:val="0"/>
      <w:marRight w:val="0"/>
      <w:marTop w:val="0"/>
      <w:marBottom w:val="180"/>
      <w:divBdr>
        <w:top w:val="none" w:sz="0" w:space="0" w:color="auto"/>
        <w:left w:val="none" w:sz="0" w:space="0" w:color="auto"/>
        <w:bottom w:val="none" w:sz="0" w:space="0" w:color="auto"/>
        <w:right w:val="none" w:sz="0" w:space="0" w:color="auto"/>
      </w:divBdr>
    </w:div>
    <w:div w:id="472067351">
      <w:marLeft w:val="0"/>
      <w:marRight w:val="0"/>
      <w:marTop w:val="0"/>
      <w:marBottom w:val="0"/>
      <w:divBdr>
        <w:top w:val="none" w:sz="0" w:space="0" w:color="auto"/>
        <w:left w:val="none" w:sz="0" w:space="0" w:color="auto"/>
        <w:bottom w:val="none" w:sz="0" w:space="0" w:color="auto"/>
        <w:right w:val="none" w:sz="0" w:space="0" w:color="auto"/>
      </w:divBdr>
    </w:div>
    <w:div w:id="472406053">
      <w:marLeft w:val="0"/>
      <w:marRight w:val="0"/>
      <w:marTop w:val="0"/>
      <w:marBottom w:val="0"/>
      <w:divBdr>
        <w:top w:val="none" w:sz="0" w:space="0" w:color="auto"/>
        <w:left w:val="none" w:sz="0" w:space="0" w:color="auto"/>
        <w:bottom w:val="none" w:sz="0" w:space="0" w:color="auto"/>
        <w:right w:val="none" w:sz="0" w:space="0" w:color="auto"/>
      </w:divBdr>
    </w:div>
    <w:div w:id="472451716">
      <w:marLeft w:val="0"/>
      <w:marRight w:val="0"/>
      <w:marTop w:val="0"/>
      <w:marBottom w:val="0"/>
      <w:divBdr>
        <w:top w:val="none" w:sz="0" w:space="0" w:color="auto"/>
        <w:left w:val="none" w:sz="0" w:space="0" w:color="auto"/>
        <w:bottom w:val="none" w:sz="0" w:space="0" w:color="auto"/>
        <w:right w:val="none" w:sz="0" w:space="0" w:color="auto"/>
      </w:divBdr>
    </w:div>
    <w:div w:id="473717205">
      <w:marLeft w:val="0"/>
      <w:marRight w:val="0"/>
      <w:marTop w:val="0"/>
      <w:marBottom w:val="180"/>
      <w:divBdr>
        <w:top w:val="none" w:sz="0" w:space="0" w:color="auto"/>
        <w:left w:val="none" w:sz="0" w:space="0" w:color="auto"/>
        <w:bottom w:val="none" w:sz="0" w:space="0" w:color="auto"/>
        <w:right w:val="none" w:sz="0" w:space="0" w:color="auto"/>
      </w:divBdr>
    </w:div>
    <w:div w:id="473791556">
      <w:marLeft w:val="0"/>
      <w:marRight w:val="0"/>
      <w:marTop w:val="0"/>
      <w:marBottom w:val="0"/>
      <w:divBdr>
        <w:top w:val="none" w:sz="0" w:space="0" w:color="auto"/>
        <w:left w:val="none" w:sz="0" w:space="0" w:color="auto"/>
        <w:bottom w:val="none" w:sz="0" w:space="0" w:color="auto"/>
        <w:right w:val="none" w:sz="0" w:space="0" w:color="auto"/>
      </w:divBdr>
      <w:divsChild>
        <w:div w:id="728653664">
          <w:marLeft w:val="0"/>
          <w:marRight w:val="0"/>
          <w:marTop w:val="0"/>
          <w:marBottom w:val="0"/>
          <w:divBdr>
            <w:top w:val="none" w:sz="0" w:space="0" w:color="auto"/>
            <w:left w:val="none" w:sz="0" w:space="0" w:color="auto"/>
            <w:bottom w:val="none" w:sz="0" w:space="0" w:color="auto"/>
            <w:right w:val="none" w:sz="0" w:space="0" w:color="auto"/>
          </w:divBdr>
        </w:div>
      </w:divsChild>
    </w:div>
    <w:div w:id="474950453">
      <w:marLeft w:val="0"/>
      <w:marRight w:val="0"/>
      <w:marTop w:val="0"/>
      <w:marBottom w:val="0"/>
      <w:divBdr>
        <w:top w:val="none" w:sz="0" w:space="0" w:color="auto"/>
        <w:left w:val="none" w:sz="0" w:space="0" w:color="auto"/>
        <w:bottom w:val="none" w:sz="0" w:space="0" w:color="auto"/>
        <w:right w:val="none" w:sz="0" w:space="0" w:color="auto"/>
      </w:divBdr>
    </w:div>
    <w:div w:id="475032364">
      <w:marLeft w:val="0"/>
      <w:marRight w:val="0"/>
      <w:marTop w:val="0"/>
      <w:marBottom w:val="180"/>
      <w:divBdr>
        <w:top w:val="none" w:sz="0" w:space="0" w:color="auto"/>
        <w:left w:val="none" w:sz="0" w:space="0" w:color="auto"/>
        <w:bottom w:val="none" w:sz="0" w:space="0" w:color="auto"/>
        <w:right w:val="none" w:sz="0" w:space="0" w:color="auto"/>
      </w:divBdr>
    </w:div>
    <w:div w:id="475725841">
      <w:marLeft w:val="0"/>
      <w:marRight w:val="0"/>
      <w:marTop w:val="0"/>
      <w:marBottom w:val="0"/>
      <w:divBdr>
        <w:top w:val="none" w:sz="0" w:space="0" w:color="auto"/>
        <w:left w:val="none" w:sz="0" w:space="0" w:color="auto"/>
        <w:bottom w:val="none" w:sz="0" w:space="0" w:color="auto"/>
        <w:right w:val="none" w:sz="0" w:space="0" w:color="auto"/>
      </w:divBdr>
      <w:divsChild>
        <w:div w:id="1575429644">
          <w:marLeft w:val="0"/>
          <w:marRight w:val="0"/>
          <w:marTop w:val="0"/>
          <w:marBottom w:val="0"/>
          <w:divBdr>
            <w:top w:val="none" w:sz="0" w:space="0" w:color="auto"/>
            <w:left w:val="none" w:sz="0" w:space="0" w:color="auto"/>
            <w:bottom w:val="none" w:sz="0" w:space="0" w:color="auto"/>
            <w:right w:val="none" w:sz="0" w:space="0" w:color="auto"/>
          </w:divBdr>
        </w:div>
      </w:divsChild>
    </w:div>
    <w:div w:id="475732191">
      <w:marLeft w:val="0"/>
      <w:marRight w:val="0"/>
      <w:marTop w:val="0"/>
      <w:marBottom w:val="240"/>
      <w:divBdr>
        <w:top w:val="none" w:sz="0" w:space="0" w:color="auto"/>
        <w:left w:val="none" w:sz="0" w:space="0" w:color="auto"/>
        <w:bottom w:val="none" w:sz="0" w:space="0" w:color="auto"/>
        <w:right w:val="none" w:sz="0" w:space="0" w:color="auto"/>
      </w:divBdr>
    </w:div>
    <w:div w:id="476262354">
      <w:marLeft w:val="0"/>
      <w:marRight w:val="0"/>
      <w:marTop w:val="120"/>
      <w:marBottom w:val="240"/>
      <w:divBdr>
        <w:top w:val="none" w:sz="0" w:space="0" w:color="auto"/>
        <w:left w:val="none" w:sz="0" w:space="0" w:color="auto"/>
        <w:bottom w:val="none" w:sz="0" w:space="0" w:color="auto"/>
        <w:right w:val="none" w:sz="0" w:space="0" w:color="auto"/>
      </w:divBdr>
    </w:div>
    <w:div w:id="477264883">
      <w:marLeft w:val="0"/>
      <w:marRight w:val="0"/>
      <w:marTop w:val="0"/>
      <w:marBottom w:val="240"/>
      <w:divBdr>
        <w:top w:val="none" w:sz="0" w:space="0" w:color="auto"/>
        <w:left w:val="none" w:sz="0" w:space="0" w:color="auto"/>
        <w:bottom w:val="none" w:sz="0" w:space="0" w:color="auto"/>
        <w:right w:val="none" w:sz="0" w:space="0" w:color="auto"/>
      </w:divBdr>
    </w:div>
    <w:div w:id="477386252">
      <w:marLeft w:val="0"/>
      <w:marRight w:val="0"/>
      <w:marTop w:val="0"/>
      <w:marBottom w:val="180"/>
      <w:divBdr>
        <w:top w:val="none" w:sz="0" w:space="0" w:color="auto"/>
        <w:left w:val="none" w:sz="0" w:space="0" w:color="auto"/>
        <w:bottom w:val="none" w:sz="0" w:space="0" w:color="auto"/>
        <w:right w:val="none" w:sz="0" w:space="0" w:color="auto"/>
      </w:divBdr>
    </w:div>
    <w:div w:id="478303701">
      <w:marLeft w:val="0"/>
      <w:marRight w:val="0"/>
      <w:marTop w:val="0"/>
      <w:marBottom w:val="240"/>
      <w:divBdr>
        <w:top w:val="none" w:sz="0" w:space="0" w:color="auto"/>
        <w:left w:val="none" w:sz="0" w:space="0" w:color="auto"/>
        <w:bottom w:val="none" w:sz="0" w:space="0" w:color="auto"/>
        <w:right w:val="none" w:sz="0" w:space="0" w:color="auto"/>
      </w:divBdr>
    </w:div>
    <w:div w:id="478888498">
      <w:marLeft w:val="0"/>
      <w:marRight w:val="0"/>
      <w:marTop w:val="0"/>
      <w:marBottom w:val="240"/>
      <w:divBdr>
        <w:top w:val="none" w:sz="0" w:space="0" w:color="auto"/>
        <w:left w:val="none" w:sz="0" w:space="0" w:color="auto"/>
        <w:bottom w:val="none" w:sz="0" w:space="0" w:color="auto"/>
        <w:right w:val="none" w:sz="0" w:space="0" w:color="auto"/>
      </w:divBdr>
    </w:div>
    <w:div w:id="479662984">
      <w:marLeft w:val="0"/>
      <w:marRight w:val="0"/>
      <w:marTop w:val="120"/>
      <w:marBottom w:val="120"/>
      <w:divBdr>
        <w:top w:val="none" w:sz="0" w:space="0" w:color="auto"/>
        <w:left w:val="none" w:sz="0" w:space="0" w:color="auto"/>
        <w:bottom w:val="none" w:sz="0" w:space="0" w:color="auto"/>
        <w:right w:val="none" w:sz="0" w:space="0" w:color="auto"/>
      </w:divBdr>
    </w:div>
    <w:div w:id="479687308">
      <w:marLeft w:val="0"/>
      <w:marRight w:val="0"/>
      <w:marTop w:val="0"/>
      <w:marBottom w:val="240"/>
      <w:divBdr>
        <w:top w:val="none" w:sz="0" w:space="0" w:color="auto"/>
        <w:left w:val="none" w:sz="0" w:space="0" w:color="auto"/>
        <w:bottom w:val="none" w:sz="0" w:space="0" w:color="auto"/>
        <w:right w:val="none" w:sz="0" w:space="0" w:color="auto"/>
      </w:divBdr>
    </w:div>
    <w:div w:id="480386674">
      <w:marLeft w:val="0"/>
      <w:marRight w:val="0"/>
      <w:marTop w:val="0"/>
      <w:marBottom w:val="0"/>
      <w:divBdr>
        <w:top w:val="none" w:sz="0" w:space="0" w:color="auto"/>
        <w:left w:val="none" w:sz="0" w:space="0" w:color="auto"/>
        <w:bottom w:val="none" w:sz="0" w:space="0" w:color="auto"/>
        <w:right w:val="none" w:sz="0" w:space="0" w:color="auto"/>
      </w:divBdr>
    </w:div>
    <w:div w:id="480582782">
      <w:marLeft w:val="0"/>
      <w:marRight w:val="0"/>
      <w:marTop w:val="0"/>
      <w:marBottom w:val="0"/>
      <w:divBdr>
        <w:top w:val="none" w:sz="0" w:space="0" w:color="auto"/>
        <w:left w:val="none" w:sz="0" w:space="0" w:color="auto"/>
        <w:bottom w:val="none" w:sz="0" w:space="0" w:color="auto"/>
        <w:right w:val="none" w:sz="0" w:space="0" w:color="auto"/>
      </w:divBdr>
      <w:divsChild>
        <w:div w:id="480199922">
          <w:marLeft w:val="0"/>
          <w:marRight w:val="0"/>
          <w:marTop w:val="0"/>
          <w:marBottom w:val="0"/>
          <w:divBdr>
            <w:top w:val="none" w:sz="0" w:space="0" w:color="auto"/>
            <w:left w:val="none" w:sz="0" w:space="0" w:color="auto"/>
            <w:bottom w:val="none" w:sz="0" w:space="0" w:color="auto"/>
            <w:right w:val="none" w:sz="0" w:space="0" w:color="auto"/>
          </w:divBdr>
        </w:div>
      </w:divsChild>
    </w:div>
    <w:div w:id="480583690">
      <w:marLeft w:val="0"/>
      <w:marRight w:val="0"/>
      <w:marTop w:val="0"/>
      <w:marBottom w:val="240"/>
      <w:divBdr>
        <w:top w:val="none" w:sz="0" w:space="0" w:color="auto"/>
        <w:left w:val="none" w:sz="0" w:space="0" w:color="auto"/>
        <w:bottom w:val="none" w:sz="0" w:space="0" w:color="auto"/>
        <w:right w:val="none" w:sz="0" w:space="0" w:color="auto"/>
      </w:divBdr>
    </w:div>
    <w:div w:id="481241754">
      <w:marLeft w:val="0"/>
      <w:marRight w:val="0"/>
      <w:marTop w:val="100"/>
      <w:marBottom w:val="0"/>
      <w:divBdr>
        <w:top w:val="none" w:sz="0" w:space="0" w:color="auto"/>
        <w:left w:val="none" w:sz="0" w:space="0" w:color="auto"/>
        <w:bottom w:val="none" w:sz="0" w:space="0" w:color="auto"/>
        <w:right w:val="none" w:sz="0" w:space="0" w:color="auto"/>
      </w:divBdr>
      <w:divsChild>
        <w:div w:id="640890878">
          <w:marLeft w:val="0"/>
          <w:marRight w:val="0"/>
          <w:marTop w:val="0"/>
          <w:marBottom w:val="0"/>
          <w:divBdr>
            <w:top w:val="none" w:sz="0" w:space="0" w:color="auto"/>
            <w:left w:val="none" w:sz="0" w:space="0" w:color="auto"/>
            <w:bottom w:val="none" w:sz="0" w:space="0" w:color="auto"/>
            <w:right w:val="none" w:sz="0" w:space="0" w:color="auto"/>
          </w:divBdr>
        </w:div>
      </w:divsChild>
    </w:div>
    <w:div w:id="481317195">
      <w:marLeft w:val="0"/>
      <w:marRight w:val="0"/>
      <w:marTop w:val="0"/>
      <w:marBottom w:val="180"/>
      <w:divBdr>
        <w:top w:val="none" w:sz="0" w:space="0" w:color="auto"/>
        <w:left w:val="none" w:sz="0" w:space="0" w:color="auto"/>
        <w:bottom w:val="none" w:sz="0" w:space="0" w:color="auto"/>
        <w:right w:val="none" w:sz="0" w:space="0" w:color="auto"/>
      </w:divBdr>
    </w:div>
    <w:div w:id="482628767">
      <w:marLeft w:val="0"/>
      <w:marRight w:val="0"/>
      <w:marTop w:val="0"/>
      <w:marBottom w:val="180"/>
      <w:divBdr>
        <w:top w:val="none" w:sz="0" w:space="0" w:color="auto"/>
        <w:left w:val="none" w:sz="0" w:space="0" w:color="auto"/>
        <w:bottom w:val="none" w:sz="0" w:space="0" w:color="auto"/>
        <w:right w:val="none" w:sz="0" w:space="0" w:color="auto"/>
      </w:divBdr>
    </w:div>
    <w:div w:id="483084957">
      <w:marLeft w:val="0"/>
      <w:marRight w:val="0"/>
      <w:marTop w:val="0"/>
      <w:marBottom w:val="0"/>
      <w:divBdr>
        <w:top w:val="none" w:sz="0" w:space="0" w:color="auto"/>
        <w:left w:val="none" w:sz="0" w:space="0" w:color="auto"/>
        <w:bottom w:val="none" w:sz="0" w:space="0" w:color="auto"/>
        <w:right w:val="none" w:sz="0" w:space="0" w:color="auto"/>
      </w:divBdr>
      <w:divsChild>
        <w:div w:id="1762676432">
          <w:marLeft w:val="0"/>
          <w:marRight w:val="0"/>
          <w:marTop w:val="0"/>
          <w:marBottom w:val="0"/>
          <w:divBdr>
            <w:top w:val="none" w:sz="0" w:space="0" w:color="auto"/>
            <w:left w:val="none" w:sz="0" w:space="0" w:color="auto"/>
            <w:bottom w:val="none" w:sz="0" w:space="0" w:color="auto"/>
            <w:right w:val="none" w:sz="0" w:space="0" w:color="auto"/>
          </w:divBdr>
        </w:div>
      </w:divsChild>
    </w:div>
    <w:div w:id="484974977">
      <w:marLeft w:val="0"/>
      <w:marRight w:val="0"/>
      <w:marTop w:val="0"/>
      <w:marBottom w:val="0"/>
      <w:divBdr>
        <w:top w:val="none" w:sz="0" w:space="0" w:color="auto"/>
        <w:left w:val="none" w:sz="0" w:space="0" w:color="auto"/>
        <w:bottom w:val="none" w:sz="0" w:space="0" w:color="auto"/>
        <w:right w:val="none" w:sz="0" w:space="0" w:color="auto"/>
      </w:divBdr>
      <w:divsChild>
        <w:div w:id="1152255871">
          <w:marLeft w:val="0"/>
          <w:marRight w:val="0"/>
          <w:marTop w:val="0"/>
          <w:marBottom w:val="0"/>
          <w:divBdr>
            <w:top w:val="none" w:sz="0" w:space="0" w:color="auto"/>
            <w:left w:val="none" w:sz="0" w:space="0" w:color="auto"/>
            <w:bottom w:val="none" w:sz="0" w:space="0" w:color="auto"/>
            <w:right w:val="none" w:sz="0" w:space="0" w:color="auto"/>
          </w:divBdr>
        </w:div>
      </w:divsChild>
    </w:div>
    <w:div w:id="485585941">
      <w:marLeft w:val="0"/>
      <w:marRight w:val="0"/>
      <w:marTop w:val="0"/>
      <w:marBottom w:val="0"/>
      <w:divBdr>
        <w:top w:val="none" w:sz="0" w:space="0" w:color="auto"/>
        <w:left w:val="none" w:sz="0" w:space="0" w:color="auto"/>
        <w:bottom w:val="none" w:sz="0" w:space="0" w:color="auto"/>
        <w:right w:val="none" w:sz="0" w:space="0" w:color="auto"/>
      </w:divBdr>
      <w:divsChild>
        <w:div w:id="216014160">
          <w:marLeft w:val="0"/>
          <w:marRight w:val="0"/>
          <w:marTop w:val="0"/>
          <w:marBottom w:val="0"/>
          <w:divBdr>
            <w:top w:val="none" w:sz="0" w:space="0" w:color="auto"/>
            <w:left w:val="none" w:sz="0" w:space="0" w:color="auto"/>
            <w:bottom w:val="none" w:sz="0" w:space="0" w:color="auto"/>
            <w:right w:val="none" w:sz="0" w:space="0" w:color="auto"/>
          </w:divBdr>
        </w:div>
      </w:divsChild>
    </w:div>
    <w:div w:id="485898636">
      <w:marLeft w:val="0"/>
      <w:marRight w:val="0"/>
      <w:marTop w:val="0"/>
      <w:marBottom w:val="180"/>
      <w:divBdr>
        <w:top w:val="none" w:sz="0" w:space="0" w:color="auto"/>
        <w:left w:val="none" w:sz="0" w:space="0" w:color="auto"/>
        <w:bottom w:val="none" w:sz="0" w:space="0" w:color="auto"/>
        <w:right w:val="none" w:sz="0" w:space="0" w:color="auto"/>
      </w:divBdr>
    </w:div>
    <w:div w:id="486553350">
      <w:marLeft w:val="0"/>
      <w:marRight w:val="0"/>
      <w:marTop w:val="180"/>
      <w:marBottom w:val="180"/>
      <w:divBdr>
        <w:top w:val="none" w:sz="0" w:space="0" w:color="auto"/>
        <w:left w:val="none" w:sz="0" w:space="0" w:color="auto"/>
        <w:bottom w:val="none" w:sz="0" w:space="0" w:color="auto"/>
        <w:right w:val="none" w:sz="0" w:space="0" w:color="auto"/>
      </w:divBdr>
    </w:div>
    <w:div w:id="487281975">
      <w:marLeft w:val="0"/>
      <w:marRight w:val="0"/>
      <w:marTop w:val="0"/>
      <w:marBottom w:val="0"/>
      <w:divBdr>
        <w:top w:val="none" w:sz="0" w:space="0" w:color="auto"/>
        <w:left w:val="none" w:sz="0" w:space="0" w:color="auto"/>
        <w:bottom w:val="none" w:sz="0" w:space="0" w:color="auto"/>
        <w:right w:val="none" w:sz="0" w:space="0" w:color="auto"/>
      </w:divBdr>
      <w:divsChild>
        <w:div w:id="730006122">
          <w:marLeft w:val="0"/>
          <w:marRight w:val="0"/>
          <w:marTop w:val="0"/>
          <w:marBottom w:val="0"/>
          <w:divBdr>
            <w:top w:val="none" w:sz="0" w:space="0" w:color="auto"/>
            <w:left w:val="none" w:sz="0" w:space="0" w:color="auto"/>
            <w:bottom w:val="none" w:sz="0" w:space="0" w:color="auto"/>
            <w:right w:val="none" w:sz="0" w:space="0" w:color="auto"/>
          </w:divBdr>
        </w:div>
      </w:divsChild>
    </w:div>
    <w:div w:id="487669106">
      <w:marLeft w:val="0"/>
      <w:marRight w:val="0"/>
      <w:marTop w:val="0"/>
      <w:marBottom w:val="0"/>
      <w:divBdr>
        <w:top w:val="none" w:sz="0" w:space="0" w:color="auto"/>
        <w:left w:val="none" w:sz="0" w:space="0" w:color="auto"/>
        <w:bottom w:val="none" w:sz="0" w:space="0" w:color="auto"/>
        <w:right w:val="none" w:sz="0" w:space="0" w:color="auto"/>
      </w:divBdr>
      <w:divsChild>
        <w:div w:id="1314411526">
          <w:marLeft w:val="0"/>
          <w:marRight w:val="0"/>
          <w:marTop w:val="0"/>
          <w:marBottom w:val="0"/>
          <w:divBdr>
            <w:top w:val="none" w:sz="0" w:space="0" w:color="auto"/>
            <w:left w:val="none" w:sz="0" w:space="0" w:color="auto"/>
            <w:bottom w:val="none" w:sz="0" w:space="0" w:color="auto"/>
            <w:right w:val="none" w:sz="0" w:space="0" w:color="auto"/>
          </w:divBdr>
        </w:div>
      </w:divsChild>
    </w:div>
    <w:div w:id="487673363">
      <w:marLeft w:val="0"/>
      <w:marRight w:val="0"/>
      <w:marTop w:val="0"/>
      <w:marBottom w:val="0"/>
      <w:divBdr>
        <w:top w:val="none" w:sz="0" w:space="0" w:color="auto"/>
        <w:left w:val="none" w:sz="0" w:space="0" w:color="auto"/>
        <w:bottom w:val="none" w:sz="0" w:space="0" w:color="auto"/>
        <w:right w:val="none" w:sz="0" w:space="0" w:color="auto"/>
      </w:divBdr>
    </w:div>
    <w:div w:id="488012639">
      <w:marLeft w:val="0"/>
      <w:marRight w:val="0"/>
      <w:marTop w:val="0"/>
      <w:marBottom w:val="180"/>
      <w:divBdr>
        <w:top w:val="none" w:sz="0" w:space="0" w:color="auto"/>
        <w:left w:val="none" w:sz="0" w:space="0" w:color="auto"/>
        <w:bottom w:val="none" w:sz="0" w:space="0" w:color="auto"/>
        <w:right w:val="none" w:sz="0" w:space="0" w:color="auto"/>
      </w:divBdr>
    </w:div>
    <w:div w:id="488406563">
      <w:marLeft w:val="0"/>
      <w:marRight w:val="0"/>
      <w:marTop w:val="0"/>
      <w:marBottom w:val="240"/>
      <w:divBdr>
        <w:top w:val="none" w:sz="0" w:space="0" w:color="auto"/>
        <w:left w:val="none" w:sz="0" w:space="0" w:color="auto"/>
        <w:bottom w:val="none" w:sz="0" w:space="0" w:color="auto"/>
        <w:right w:val="none" w:sz="0" w:space="0" w:color="auto"/>
      </w:divBdr>
      <w:divsChild>
        <w:div w:id="205261271">
          <w:marLeft w:val="0"/>
          <w:marRight w:val="0"/>
          <w:marTop w:val="0"/>
          <w:marBottom w:val="0"/>
          <w:divBdr>
            <w:top w:val="none" w:sz="0" w:space="0" w:color="auto"/>
            <w:left w:val="none" w:sz="0" w:space="0" w:color="auto"/>
            <w:bottom w:val="none" w:sz="0" w:space="0" w:color="auto"/>
            <w:right w:val="none" w:sz="0" w:space="0" w:color="auto"/>
          </w:divBdr>
        </w:div>
        <w:div w:id="161968370">
          <w:marLeft w:val="0"/>
          <w:marRight w:val="0"/>
          <w:marTop w:val="0"/>
          <w:marBottom w:val="0"/>
          <w:divBdr>
            <w:top w:val="none" w:sz="0" w:space="0" w:color="auto"/>
            <w:left w:val="none" w:sz="0" w:space="0" w:color="auto"/>
            <w:bottom w:val="none" w:sz="0" w:space="0" w:color="auto"/>
            <w:right w:val="none" w:sz="0" w:space="0" w:color="auto"/>
          </w:divBdr>
        </w:div>
      </w:divsChild>
    </w:div>
    <w:div w:id="488717564">
      <w:marLeft w:val="0"/>
      <w:marRight w:val="0"/>
      <w:marTop w:val="180"/>
      <w:marBottom w:val="180"/>
      <w:divBdr>
        <w:top w:val="none" w:sz="0" w:space="0" w:color="auto"/>
        <w:left w:val="none" w:sz="0" w:space="0" w:color="auto"/>
        <w:bottom w:val="none" w:sz="0" w:space="0" w:color="auto"/>
        <w:right w:val="none" w:sz="0" w:space="0" w:color="auto"/>
      </w:divBdr>
    </w:div>
    <w:div w:id="488983359">
      <w:marLeft w:val="0"/>
      <w:marRight w:val="0"/>
      <w:marTop w:val="0"/>
      <w:marBottom w:val="240"/>
      <w:divBdr>
        <w:top w:val="none" w:sz="0" w:space="0" w:color="auto"/>
        <w:left w:val="none" w:sz="0" w:space="0" w:color="auto"/>
        <w:bottom w:val="none" w:sz="0" w:space="0" w:color="auto"/>
        <w:right w:val="none" w:sz="0" w:space="0" w:color="auto"/>
      </w:divBdr>
    </w:div>
    <w:div w:id="489372922">
      <w:marLeft w:val="0"/>
      <w:marRight w:val="0"/>
      <w:marTop w:val="100"/>
      <w:marBottom w:val="0"/>
      <w:divBdr>
        <w:top w:val="none" w:sz="0" w:space="0" w:color="auto"/>
        <w:left w:val="none" w:sz="0" w:space="0" w:color="auto"/>
        <w:bottom w:val="none" w:sz="0" w:space="0" w:color="auto"/>
        <w:right w:val="none" w:sz="0" w:space="0" w:color="auto"/>
      </w:divBdr>
    </w:div>
    <w:div w:id="490217884">
      <w:marLeft w:val="0"/>
      <w:marRight w:val="0"/>
      <w:marTop w:val="100"/>
      <w:marBottom w:val="240"/>
      <w:divBdr>
        <w:top w:val="none" w:sz="0" w:space="0" w:color="auto"/>
        <w:left w:val="none" w:sz="0" w:space="0" w:color="auto"/>
        <w:bottom w:val="none" w:sz="0" w:space="0" w:color="auto"/>
        <w:right w:val="none" w:sz="0" w:space="0" w:color="auto"/>
      </w:divBdr>
    </w:div>
    <w:div w:id="491796075">
      <w:marLeft w:val="0"/>
      <w:marRight w:val="0"/>
      <w:marTop w:val="0"/>
      <w:marBottom w:val="0"/>
      <w:divBdr>
        <w:top w:val="none" w:sz="0" w:space="0" w:color="auto"/>
        <w:left w:val="none" w:sz="0" w:space="0" w:color="auto"/>
        <w:bottom w:val="none" w:sz="0" w:space="0" w:color="auto"/>
        <w:right w:val="none" w:sz="0" w:space="0" w:color="auto"/>
      </w:divBdr>
    </w:div>
    <w:div w:id="493380471">
      <w:marLeft w:val="0"/>
      <w:marRight w:val="0"/>
      <w:marTop w:val="100"/>
      <w:marBottom w:val="180"/>
      <w:divBdr>
        <w:top w:val="none" w:sz="0" w:space="0" w:color="auto"/>
        <w:left w:val="none" w:sz="0" w:space="0" w:color="auto"/>
        <w:bottom w:val="none" w:sz="0" w:space="0" w:color="auto"/>
        <w:right w:val="none" w:sz="0" w:space="0" w:color="auto"/>
      </w:divBdr>
    </w:div>
    <w:div w:id="493840957">
      <w:marLeft w:val="0"/>
      <w:marRight w:val="0"/>
      <w:marTop w:val="0"/>
      <w:marBottom w:val="0"/>
      <w:divBdr>
        <w:top w:val="none" w:sz="0" w:space="0" w:color="auto"/>
        <w:left w:val="none" w:sz="0" w:space="0" w:color="auto"/>
        <w:bottom w:val="none" w:sz="0" w:space="0" w:color="auto"/>
        <w:right w:val="none" w:sz="0" w:space="0" w:color="auto"/>
      </w:divBdr>
    </w:div>
    <w:div w:id="494303409">
      <w:marLeft w:val="0"/>
      <w:marRight w:val="0"/>
      <w:marTop w:val="180"/>
      <w:marBottom w:val="240"/>
      <w:divBdr>
        <w:top w:val="none" w:sz="0" w:space="0" w:color="auto"/>
        <w:left w:val="none" w:sz="0" w:space="0" w:color="auto"/>
        <w:bottom w:val="none" w:sz="0" w:space="0" w:color="auto"/>
        <w:right w:val="none" w:sz="0" w:space="0" w:color="auto"/>
      </w:divBdr>
    </w:div>
    <w:div w:id="494951777">
      <w:marLeft w:val="0"/>
      <w:marRight w:val="0"/>
      <w:marTop w:val="0"/>
      <w:marBottom w:val="240"/>
      <w:divBdr>
        <w:top w:val="none" w:sz="0" w:space="0" w:color="auto"/>
        <w:left w:val="none" w:sz="0" w:space="0" w:color="auto"/>
        <w:bottom w:val="none" w:sz="0" w:space="0" w:color="auto"/>
        <w:right w:val="none" w:sz="0" w:space="0" w:color="auto"/>
      </w:divBdr>
    </w:div>
    <w:div w:id="496269817">
      <w:marLeft w:val="0"/>
      <w:marRight w:val="0"/>
      <w:marTop w:val="0"/>
      <w:marBottom w:val="0"/>
      <w:divBdr>
        <w:top w:val="none" w:sz="0" w:space="0" w:color="auto"/>
        <w:left w:val="none" w:sz="0" w:space="0" w:color="auto"/>
        <w:bottom w:val="none" w:sz="0" w:space="0" w:color="auto"/>
        <w:right w:val="none" w:sz="0" w:space="0" w:color="auto"/>
      </w:divBdr>
      <w:divsChild>
        <w:div w:id="1168207313">
          <w:marLeft w:val="0"/>
          <w:marRight w:val="0"/>
          <w:marTop w:val="0"/>
          <w:marBottom w:val="0"/>
          <w:divBdr>
            <w:top w:val="none" w:sz="0" w:space="0" w:color="auto"/>
            <w:left w:val="none" w:sz="0" w:space="0" w:color="auto"/>
            <w:bottom w:val="none" w:sz="0" w:space="0" w:color="auto"/>
            <w:right w:val="none" w:sz="0" w:space="0" w:color="auto"/>
          </w:divBdr>
        </w:div>
      </w:divsChild>
    </w:div>
    <w:div w:id="496654601">
      <w:marLeft w:val="0"/>
      <w:marRight w:val="0"/>
      <w:marTop w:val="100"/>
      <w:marBottom w:val="0"/>
      <w:divBdr>
        <w:top w:val="none" w:sz="0" w:space="0" w:color="auto"/>
        <w:left w:val="none" w:sz="0" w:space="0" w:color="auto"/>
        <w:bottom w:val="none" w:sz="0" w:space="0" w:color="auto"/>
        <w:right w:val="none" w:sz="0" w:space="0" w:color="auto"/>
      </w:divBdr>
    </w:div>
    <w:div w:id="497119651">
      <w:marLeft w:val="0"/>
      <w:marRight w:val="0"/>
      <w:marTop w:val="0"/>
      <w:marBottom w:val="0"/>
      <w:divBdr>
        <w:top w:val="none" w:sz="0" w:space="0" w:color="auto"/>
        <w:left w:val="none" w:sz="0" w:space="0" w:color="auto"/>
        <w:bottom w:val="none" w:sz="0" w:space="0" w:color="auto"/>
        <w:right w:val="none" w:sz="0" w:space="0" w:color="auto"/>
      </w:divBdr>
    </w:div>
    <w:div w:id="498355357">
      <w:marLeft w:val="0"/>
      <w:marRight w:val="0"/>
      <w:marTop w:val="0"/>
      <w:marBottom w:val="0"/>
      <w:divBdr>
        <w:top w:val="none" w:sz="0" w:space="0" w:color="auto"/>
        <w:left w:val="none" w:sz="0" w:space="0" w:color="auto"/>
        <w:bottom w:val="none" w:sz="0" w:space="0" w:color="auto"/>
        <w:right w:val="none" w:sz="0" w:space="0" w:color="auto"/>
      </w:divBdr>
    </w:div>
    <w:div w:id="500511792">
      <w:marLeft w:val="0"/>
      <w:marRight w:val="0"/>
      <w:marTop w:val="0"/>
      <w:marBottom w:val="240"/>
      <w:divBdr>
        <w:top w:val="none" w:sz="0" w:space="0" w:color="auto"/>
        <w:left w:val="none" w:sz="0" w:space="0" w:color="auto"/>
        <w:bottom w:val="none" w:sz="0" w:space="0" w:color="auto"/>
        <w:right w:val="none" w:sz="0" w:space="0" w:color="auto"/>
      </w:divBdr>
    </w:div>
    <w:div w:id="500581213">
      <w:marLeft w:val="0"/>
      <w:marRight w:val="0"/>
      <w:marTop w:val="0"/>
      <w:marBottom w:val="0"/>
      <w:divBdr>
        <w:top w:val="none" w:sz="0" w:space="0" w:color="auto"/>
        <w:left w:val="none" w:sz="0" w:space="0" w:color="auto"/>
        <w:bottom w:val="none" w:sz="0" w:space="0" w:color="auto"/>
        <w:right w:val="none" w:sz="0" w:space="0" w:color="auto"/>
      </w:divBdr>
    </w:div>
    <w:div w:id="501045911">
      <w:marLeft w:val="0"/>
      <w:marRight w:val="0"/>
      <w:marTop w:val="100"/>
      <w:marBottom w:val="240"/>
      <w:divBdr>
        <w:top w:val="none" w:sz="0" w:space="0" w:color="auto"/>
        <w:left w:val="none" w:sz="0" w:space="0" w:color="auto"/>
        <w:bottom w:val="none" w:sz="0" w:space="0" w:color="auto"/>
        <w:right w:val="none" w:sz="0" w:space="0" w:color="auto"/>
      </w:divBdr>
    </w:div>
    <w:div w:id="501507128">
      <w:marLeft w:val="0"/>
      <w:marRight w:val="0"/>
      <w:marTop w:val="0"/>
      <w:marBottom w:val="240"/>
      <w:divBdr>
        <w:top w:val="none" w:sz="0" w:space="0" w:color="auto"/>
        <w:left w:val="none" w:sz="0" w:space="0" w:color="auto"/>
        <w:bottom w:val="none" w:sz="0" w:space="0" w:color="auto"/>
        <w:right w:val="none" w:sz="0" w:space="0" w:color="auto"/>
      </w:divBdr>
    </w:div>
    <w:div w:id="502088318">
      <w:marLeft w:val="0"/>
      <w:marRight w:val="0"/>
      <w:marTop w:val="180"/>
      <w:marBottom w:val="180"/>
      <w:divBdr>
        <w:top w:val="none" w:sz="0" w:space="0" w:color="auto"/>
        <w:left w:val="none" w:sz="0" w:space="0" w:color="auto"/>
        <w:bottom w:val="none" w:sz="0" w:space="0" w:color="auto"/>
        <w:right w:val="none" w:sz="0" w:space="0" w:color="auto"/>
      </w:divBdr>
    </w:div>
    <w:div w:id="502665849">
      <w:marLeft w:val="0"/>
      <w:marRight w:val="0"/>
      <w:marTop w:val="180"/>
      <w:marBottom w:val="180"/>
      <w:divBdr>
        <w:top w:val="none" w:sz="0" w:space="0" w:color="auto"/>
        <w:left w:val="none" w:sz="0" w:space="0" w:color="auto"/>
        <w:bottom w:val="none" w:sz="0" w:space="0" w:color="auto"/>
        <w:right w:val="none" w:sz="0" w:space="0" w:color="auto"/>
      </w:divBdr>
    </w:div>
    <w:div w:id="503328276">
      <w:marLeft w:val="0"/>
      <w:marRight w:val="0"/>
      <w:marTop w:val="0"/>
      <w:marBottom w:val="0"/>
      <w:divBdr>
        <w:top w:val="none" w:sz="0" w:space="0" w:color="auto"/>
        <w:left w:val="none" w:sz="0" w:space="0" w:color="auto"/>
        <w:bottom w:val="none" w:sz="0" w:space="0" w:color="auto"/>
        <w:right w:val="none" w:sz="0" w:space="0" w:color="auto"/>
      </w:divBdr>
    </w:div>
    <w:div w:id="503785106">
      <w:marLeft w:val="0"/>
      <w:marRight w:val="0"/>
      <w:marTop w:val="120"/>
      <w:marBottom w:val="120"/>
      <w:divBdr>
        <w:top w:val="none" w:sz="0" w:space="0" w:color="auto"/>
        <w:left w:val="none" w:sz="0" w:space="0" w:color="auto"/>
        <w:bottom w:val="none" w:sz="0" w:space="0" w:color="auto"/>
        <w:right w:val="none" w:sz="0" w:space="0" w:color="auto"/>
      </w:divBdr>
    </w:div>
    <w:div w:id="503907671">
      <w:marLeft w:val="0"/>
      <w:marRight w:val="0"/>
      <w:marTop w:val="0"/>
      <w:marBottom w:val="0"/>
      <w:divBdr>
        <w:top w:val="none" w:sz="0" w:space="0" w:color="auto"/>
        <w:left w:val="none" w:sz="0" w:space="0" w:color="auto"/>
        <w:bottom w:val="none" w:sz="0" w:space="0" w:color="auto"/>
        <w:right w:val="none" w:sz="0" w:space="0" w:color="auto"/>
      </w:divBdr>
      <w:divsChild>
        <w:div w:id="1273437280">
          <w:marLeft w:val="0"/>
          <w:marRight w:val="0"/>
          <w:marTop w:val="0"/>
          <w:marBottom w:val="0"/>
          <w:divBdr>
            <w:top w:val="none" w:sz="0" w:space="0" w:color="auto"/>
            <w:left w:val="none" w:sz="0" w:space="0" w:color="auto"/>
            <w:bottom w:val="none" w:sz="0" w:space="0" w:color="auto"/>
            <w:right w:val="none" w:sz="0" w:space="0" w:color="auto"/>
          </w:divBdr>
        </w:div>
      </w:divsChild>
    </w:div>
    <w:div w:id="504589636">
      <w:marLeft w:val="0"/>
      <w:marRight w:val="0"/>
      <w:marTop w:val="0"/>
      <w:marBottom w:val="0"/>
      <w:divBdr>
        <w:top w:val="none" w:sz="0" w:space="0" w:color="auto"/>
        <w:left w:val="none" w:sz="0" w:space="0" w:color="auto"/>
        <w:bottom w:val="none" w:sz="0" w:space="0" w:color="auto"/>
        <w:right w:val="none" w:sz="0" w:space="0" w:color="auto"/>
      </w:divBdr>
    </w:div>
    <w:div w:id="505291906">
      <w:marLeft w:val="0"/>
      <w:marRight w:val="0"/>
      <w:marTop w:val="0"/>
      <w:marBottom w:val="240"/>
      <w:divBdr>
        <w:top w:val="none" w:sz="0" w:space="0" w:color="auto"/>
        <w:left w:val="none" w:sz="0" w:space="0" w:color="auto"/>
        <w:bottom w:val="none" w:sz="0" w:space="0" w:color="auto"/>
        <w:right w:val="none" w:sz="0" w:space="0" w:color="auto"/>
      </w:divBdr>
    </w:div>
    <w:div w:id="505511797">
      <w:marLeft w:val="0"/>
      <w:marRight w:val="0"/>
      <w:marTop w:val="180"/>
      <w:marBottom w:val="180"/>
      <w:divBdr>
        <w:top w:val="none" w:sz="0" w:space="0" w:color="auto"/>
        <w:left w:val="none" w:sz="0" w:space="0" w:color="auto"/>
        <w:bottom w:val="none" w:sz="0" w:space="0" w:color="auto"/>
        <w:right w:val="none" w:sz="0" w:space="0" w:color="auto"/>
      </w:divBdr>
    </w:div>
    <w:div w:id="505561061">
      <w:marLeft w:val="0"/>
      <w:marRight w:val="0"/>
      <w:marTop w:val="0"/>
      <w:marBottom w:val="0"/>
      <w:divBdr>
        <w:top w:val="none" w:sz="0" w:space="0" w:color="auto"/>
        <w:left w:val="none" w:sz="0" w:space="0" w:color="auto"/>
        <w:bottom w:val="none" w:sz="0" w:space="0" w:color="auto"/>
        <w:right w:val="none" w:sz="0" w:space="0" w:color="auto"/>
      </w:divBdr>
      <w:divsChild>
        <w:div w:id="1620181473">
          <w:marLeft w:val="0"/>
          <w:marRight w:val="0"/>
          <w:marTop w:val="0"/>
          <w:marBottom w:val="0"/>
          <w:divBdr>
            <w:top w:val="none" w:sz="0" w:space="0" w:color="auto"/>
            <w:left w:val="none" w:sz="0" w:space="0" w:color="auto"/>
            <w:bottom w:val="none" w:sz="0" w:space="0" w:color="auto"/>
            <w:right w:val="none" w:sz="0" w:space="0" w:color="auto"/>
          </w:divBdr>
        </w:div>
      </w:divsChild>
    </w:div>
    <w:div w:id="505902192">
      <w:marLeft w:val="0"/>
      <w:marRight w:val="0"/>
      <w:marTop w:val="180"/>
      <w:marBottom w:val="180"/>
      <w:divBdr>
        <w:top w:val="none" w:sz="0" w:space="0" w:color="auto"/>
        <w:left w:val="none" w:sz="0" w:space="0" w:color="auto"/>
        <w:bottom w:val="none" w:sz="0" w:space="0" w:color="auto"/>
        <w:right w:val="none" w:sz="0" w:space="0" w:color="auto"/>
      </w:divBdr>
    </w:div>
    <w:div w:id="507209878">
      <w:marLeft w:val="0"/>
      <w:marRight w:val="0"/>
      <w:marTop w:val="0"/>
      <w:marBottom w:val="0"/>
      <w:divBdr>
        <w:top w:val="none" w:sz="0" w:space="0" w:color="auto"/>
        <w:left w:val="none" w:sz="0" w:space="0" w:color="auto"/>
        <w:bottom w:val="none" w:sz="0" w:space="0" w:color="auto"/>
        <w:right w:val="none" w:sz="0" w:space="0" w:color="auto"/>
      </w:divBdr>
    </w:div>
    <w:div w:id="507403695">
      <w:marLeft w:val="0"/>
      <w:marRight w:val="0"/>
      <w:marTop w:val="0"/>
      <w:marBottom w:val="240"/>
      <w:divBdr>
        <w:top w:val="none" w:sz="0" w:space="0" w:color="auto"/>
        <w:left w:val="none" w:sz="0" w:space="0" w:color="auto"/>
        <w:bottom w:val="none" w:sz="0" w:space="0" w:color="auto"/>
        <w:right w:val="none" w:sz="0" w:space="0" w:color="auto"/>
      </w:divBdr>
    </w:div>
    <w:div w:id="509561936">
      <w:marLeft w:val="0"/>
      <w:marRight w:val="0"/>
      <w:marTop w:val="0"/>
      <w:marBottom w:val="0"/>
      <w:divBdr>
        <w:top w:val="none" w:sz="0" w:space="0" w:color="auto"/>
        <w:left w:val="none" w:sz="0" w:space="0" w:color="auto"/>
        <w:bottom w:val="none" w:sz="0" w:space="0" w:color="auto"/>
        <w:right w:val="none" w:sz="0" w:space="0" w:color="auto"/>
      </w:divBdr>
    </w:div>
    <w:div w:id="509952395">
      <w:marLeft w:val="0"/>
      <w:marRight w:val="0"/>
      <w:marTop w:val="0"/>
      <w:marBottom w:val="0"/>
      <w:divBdr>
        <w:top w:val="none" w:sz="0" w:space="0" w:color="auto"/>
        <w:left w:val="none" w:sz="0" w:space="0" w:color="auto"/>
        <w:bottom w:val="none" w:sz="0" w:space="0" w:color="auto"/>
        <w:right w:val="none" w:sz="0" w:space="0" w:color="auto"/>
      </w:divBdr>
    </w:div>
    <w:div w:id="510142947">
      <w:marLeft w:val="0"/>
      <w:marRight w:val="0"/>
      <w:marTop w:val="120"/>
      <w:marBottom w:val="120"/>
      <w:divBdr>
        <w:top w:val="none" w:sz="0" w:space="0" w:color="auto"/>
        <w:left w:val="none" w:sz="0" w:space="0" w:color="auto"/>
        <w:bottom w:val="none" w:sz="0" w:space="0" w:color="auto"/>
        <w:right w:val="none" w:sz="0" w:space="0" w:color="auto"/>
      </w:divBdr>
    </w:div>
    <w:div w:id="510216760">
      <w:marLeft w:val="0"/>
      <w:marRight w:val="0"/>
      <w:marTop w:val="0"/>
      <w:marBottom w:val="0"/>
      <w:divBdr>
        <w:top w:val="none" w:sz="0" w:space="0" w:color="auto"/>
        <w:left w:val="none" w:sz="0" w:space="0" w:color="auto"/>
        <w:bottom w:val="none" w:sz="0" w:space="0" w:color="auto"/>
        <w:right w:val="none" w:sz="0" w:space="0" w:color="auto"/>
      </w:divBdr>
      <w:divsChild>
        <w:div w:id="997227793">
          <w:marLeft w:val="0"/>
          <w:marRight w:val="0"/>
          <w:marTop w:val="0"/>
          <w:marBottom w:val="0"/>
          <w:divBdr>
            <w:top w:val="none" w:sz="0" w:space="0" w:color="auto"/>
            <w:left w:val="none" w:sz="0" w:space="0" w:color="auto"/>
            <w:bottom w:val="none" w:sz="0" w:space="0" w:color="auto"/>
            <w:right w:val="none" w:sz="0" w:space="0" w:color="auto"/>
          </w:divBdr>
        </w:div>
      </w:divsChild>
    </w:div>
    <w:div w:id="510727110">
      <w:marLeft w:val="0"/>
      <w:marRight w:val="0"/>
      <w:marTop w:val="0"/>
      <w:marBottom w:val="240"/>
      <w:divBdr>
        <w:top w:val="none" w:sz="0" w:space="0" w:color="auto"/>
        <w:left w:val="none" w:sz="0" w:space="0" w:color="auto"/>
        <w:bottom w:val="none" w:sz="0" w:space="0" w:color="auto"/>
        <w:right w:val="none" w:sz="0" w:space="0" w:color="auto"/>
      </w:divBdr>
    </w:div>
    <w:div w:id="511070398">
      <w:marLeft w:val="0"/>
      <w:marRight w:val="0"/>
      <w:marTop w:val="0"/>
      <w:marBottom w:val="180"/>
      <w:divBdr>
        <w:top w:val="none" w:sz="0" w:space="0" w:color="auto"/>
        <w:left w:val="none" w:sz="0" w:space="0" w:color="auto"/>
        <w:bottom w:val="none" w:sz="0" w:space="0" w:color="auto"/>
        <w:right w:val="none" w:sz="0" w:space="0" w:color="auto"/>
      </w:divBdr>
    </w:div>
    <w:div w:id="511263883">
      <w:marLeft w:val="0"/>
      <w:marRight w:val="0"/>
      <w:marTop w:val="0"/>
      <w:marBottom w:val="180"/>
      <w:divBdr>
        <w:top w:val="none" w:sz="0" w:space="0" w:color="auto"/>
        <w:left w:val="none" w:sz="0" w:space="0" w:color="auto"/>
        <w:bottom w:val="none" w:sz="0" w:space="0" w:color="auto"/>
        <w:right w:val="none" w:sz="0" w:space="0" w:color="auto"/>
      </w:divBdr>
    </w:div>
    <w:div w:id="511798113">
      <w:marLeft w:val="0"/>
      <w:marRight w:val="0"/>
      <w:marTop w:val="180"/>
      <w:marBottom w:val="180"/>
      <w:divBdr>
        <w:top w:val="none" w:sz="0" w:space="0" w:color="auto"/>
        <w:left w:val="none" w:sz="0" w:space="0" w:color="auto"/>
        <w:bottom w:val="none" w:sz="0" w:space="0" w:color="auto"/>
        <w:right w:val="none" w:sz="0" w:space="0" w:color="auto"/>
      </w:divBdr>
    </w:div>
    <w:div w:id="512376908">
      <w:marLeft w:val="0"/>
      <w:marRight w:val="0"/>
      <w:marTop w:val="0"/>
      <w:marBottom w:val="180"/>
      <w:divBdr>
        <w:top w:val="none" w:sz="0" w:space="0" w:color="auto"/>
        <w:left w:val="none" w:sz="0" w:space="0" w:color="auto"/>
        <w:bottom w:val="none" w:sz="0" w:space="0" w:color="auto"/>
        <w:right w:val="none" w:sz="0" w:space="0" w:color="auto"/>
      </w:divBdr>
    </w:div>
    <w:div w:id="512691109">
      <w:marLeft w:val="0"/>
      <w:marRight w:val="0"/>
      <w:marTop w:val="120"/>
      <w:marBottom w:val="120"/>
      <w:divBdr>
        <w:top w:val="none" w:sz="0" w:space="0" w:color="auto"/>
        <w:left w:val="none" w:sz="0" w:space="0" w:color="auto"/>
        <w:bottom w:val="none" w:sz="0" w:space="0" w:color="auto"/>
        <w:right w:val="none" w:sz="0" w:space="0" w:color="auto"/>
      </w:divBdr>
    </w:div>
    <w:div w:id="513962399">
      <w:marLeft w:val="0"/>
      <w:marRight w:val="0"/>
      <w:marTop w:val="0"/>
      <w:marBottom w:val="180"/>
      <w:divBdr>
        <w:top w:val="none" w:sz="0" w:space="0" w:color="auto"/>
        <w:left w:val="none" w:sz="0" w:space="0" w:color="auto"/>
        <w:bottom w:val="none" w:sz="0" w:space="0" w:color="auto"/>
        <w:right w:val="none" w:sz="0" w:space="0" w:color="auto"/>
      </w:divBdr>
    </w:div>
    <w:div w:id="514078035">
      <w:marLeft w:val="0"/>
      <w:marRight w:val="0"/>
      <w:marTop w:val="0"/>
      <w:marBottom w:val="0"/>
      <w:divBdr>
        <w:top w:val="none" w:sz="0" w:space="0" w:color="auto"/>
        <w:left w:val="none" w:sz="0" w:space="0" w:color="auto"/>
        <w:bottom w:val="none" w:sz="0" w:space="0" w:color="auto"/>
        <w:right w:val="none" w:sz="0" w:space="0" w:color="auto"/>
      </w:divBdr>
      <w:divsChild>
        <w:div w:id="2021001044">
          <w:marLeft w:val="0"/>
          <w:marRight w:val="0"/>
          <w:marTop w:val="0"/>
          <w:marBottom w:val="0"/>
          <w:divBdr>
            <w:top w:val="none" w:sz="0" w:space="0" w:color="auto"/>
            <w:left w:val="none" w:sz="0" w:space="0" w:color="auto"/>
            <w:bottom w:val="none" w:sz="0" w:space="0" w:color="auto"/>
            <w:right w:val="none" w:sz="0" w:space="0" w:color="auto"/>
          </w:divBdr>
        </w:div>
      </w:divsChild>
    </w:div>
    <w:div w:id="514153302">
      <w:marLeft w:val="0"/>
      <w:marRight w:val="0"/>
      <w:marTop w:val="0"/>
      <w:marBottom w:val="120"/>
      <w:divBdr>
        <w:top w:val="none" w:sz="0" w:space="0" w:color="auto"/>
        <w:left w:val="none" w:sz="0" w:space="0" w:color="auto"/>
        <w:bottom w:val="none" w:sz="0" w:space="0" w:color="auto"/>
        <w:right w:val="none" w:sz="0" w:space="0" w:color="auto"/>
      </w:divBdr>
    </w:div>
    <w:div w:id="515074093">
      <w:marLeft w:val="0"/>
      <w:marRight w:val="0"/>
      <w:marTop w:val="0"/>
      <w:marBottom w:val="0"/>
      <w:divBdr>
        <w:top w:val="none" w:sz="0" w:space="0" w:color="auto"/>
        <w:left w:val="none" w:sz="0" w:space="0" w:color="auto"/>
        <w:bottom w:val="none" w:sz="0" w:space="0" w:color="auto"/>
        <w:right w:val="none" w:sz="0" w:space="0" w:color="auto"/>
      </w:divBdr>
    </w:div>
    <w:div w:id="515538344">
      <w:marLeft w:val="0"/>
      <w:marRight w:val="0"/>
      <w:marTop w:val="0"/>
      <w:marBottom w:val="0"/>
      <w:divBdr>
        <w:top w:val="none" w:sz="0" w:space="0" w:color="auto"/>
        <w:left w:val="none" w:sz="0" w:space="0" w:color="auto"/>
        <w:bottom w:val="none" w:sz="0" w:space="0" w:color="auto"/>
        <w:right w:val="none" w:sz="0" w:space="0" w:color="auto"/>
      </w:divBdr>
    </w:div>
    <w:div w:id="516771757">
      <w:marLeft w:val="0"/>
      <w:marRight w:val="0"/>
      <w:marTop w:val="0"/>
      <w:marBottom w:val="240"/>
      <w:divBdr>
        <w:top w:val="none" w:sz="0" w:space="0" w:color="auto"/>
        <w:left w:val="none" w:sz="0" w:space="0" w:color="auto"/>
        <w:bottom w:val="none" w:sz="0" w:space="0" w:color="auto"/>
        <w:right w:val="none" w:sz="0" w:space="0" w:color="auto"/>
      </w:divBdr>
    </w:div>
    <w:div w:id="517743226">
      <w:marLeft w:val="0"/>
      <w:marRight w:val="0"/>
      <w:marTop w:val="0"/>
      <w:marBottom w:val="0"/>
      <w:divBdr>
        <w:top w:val="none" w:sz="0" w:space="0" w:color="auto"/>
        <w:left w:val="none" w:sz="0" w:space="0" w:color="auto"/>
        <w:bottom w:val="none" w:sz="0" w:space="0" w:color="auto"/>
        <w:right w:val="none" w:sz="0" w:space="0" w:color="auto"/>
      </w:divBdr>
    </w:div>
    <w:div w:id="518471243">
      <w:marLeft w:val="0"/>
      <w:marRight w:val="0"/>
      <w:marTop w:val="0"/>
      <w:marBottom w:val="0"/>
      <w:divBdr>
        <w:top w:val="none" w:sz="0" w:space="0" w:color="auto"/>
        <w:left w:val="none" w:sz="0" w:space="0" w:color="auto"/>
        <w:bottom w:val="none" w:sz="0" w:space="0" w:color="auto"/>
        <w:right w:val="none" w:sz="0" w:space="0" w:color="auto"/>
      </w:divBdr>
      <w:divsChild>
        <w:div w:id="373695621">
          <w:marLeft w:val="0"/>
          <w:marRight w:val="0"/>
          <w:marTop w:val="0"/>
          <w:marBottom w:val="0"/>
          <w:divBdr>
            <w:top w:val="none" w:sz="0" w:space="0" w:color="auto"/>
            <w:left w:val="none" w:sz="0" w:space="0" w:color="auto"/>
            <w:bottom w:val="none" w:sz="0" w:space="0" w:color="auto"/>
            <w:right w:val="none" w:sz="0" w:space="0" w:color="auto"/>
          </w:divBdr>
        </w:div>
      </w:divsChild>
    </w:div>
    <w:div w:id="519928302">
      <w:marLeft w:val="0"/>
      <w:marRight w:val="0"/>
      <w:marTop w:val="100"/>
      <w:marBottom w:val="240"/>
      <w:divBdr>
        <w:top w:val="none" w:sz="0" w:space="0" w:color="auto"/>
        <w:left w:val="none" w:sz="0" w:space="0" w:color="auto"/>
        <w:bottom w:val="none" w:sz="0" w:space="0" w:color="auto"/>
        <w:right w:val="none" w:sz="0" w:space="0" w:color="auto"/>
      </w:divBdr>
    </w:div>
    <w:div w:id="520360896">
      <w:marLeft w:val="0"/>
      <w:marRight w:val="0"/>
      <w:marTop w:val="0"/>
      <w:marBottom w:val="240"/>
      <w:divBdr>
        <w:top w:val="none" w:sz="0" w:space="0" w:color="auto"/>
        <w:left w:val="none" w:sz="0" w:space="0" w:color="auto"/>
        <w:bottom w:val="none" w:sz="0" w:space="0" w:color="auto"/>
        <w:right w:val="none" w:sz="0" w:space="0" w:color="auto"/>
      </w:divBdr>
    </w:div>
    <w:div w:id="520514822">
      <w:marLeft w:val="0"/>
      <w:marRight w:val="0"/>
      <w:marTop w:val="0"/>
      <w:marBottom w:val="180"/>
      <w:divBdr>
        <w:top w:val="none" w:sz="0" w:space="0" w:color="auto"/>
        <w:left w:val="none" w:sz="0" w:space="0" w:color="auto"/>
        <w:bottom w:val="none" w:sz="0" w:space="0" w:color="auto"/>
        <w:right w:val="none" w:sz="0" w:space="0" w:color="auto"/>
      </w:divBdr>
    </w:div>
    <w:div w:id="520825308">
      <w:marLeft w:val="0"/>
      <w:marRight w:val="0"/>
      <w:marTop w:val="0"/>
      <w:marBottom w:val="180"/>
      <w:divBdr>
        <w:top w:val="none" w:sz="0" w:space="0" w:color="auto"/>
        <w:left w:val="none" w:sz="0" w:space="0" w:color="auto"/>
        <w:bottom w:val="none" w:sz="0" w:space="0" w:color="auto"/>
        <w:right w:val="none" w:sz="0" w:space="0" w:color="auto"/>
      </w:divBdr>
    </w:div>
    <w:div w:id="521211179">
      <w:marLeft w:val="0"/>
      <w:marRight w:val="0"/>
      <w:marTop w:val="180"/>
      <w:marBottom w:val="180"/>
      <w:divBdr>
        <w:top w:val="none" w:sz="0" w:space="0" w:color="auto"/>
        <w:left w:val="none" w:sz="0" w:space="0" w:color="auto"/>
        <w:bottom w:val="none" w:sz="0" w:space="0" w:color="auto"/>
        <w:right w:val="none" w:sz="0" w:space="0" w:color="auto"/>
      </w:divBdr>
    </w:div>
    <w:div w:id="521477263">
      <w:marLeft w:val="0"/>
      <w:marRight w:val="0"/>
      <w:marTop w:val="120"/>
      <w:marBottom w:val="180"/>
      <w:divBdr>
        <w:top w:val="none" w:sz="0" w:space="0" w:color="auto"/>
        <w:left w:val="none" w:sz="0" w:space="0" w:color="auto"/>
        <w:bottom w:val="none" w:sz="0" w:space="0" w:color="auto"/>
        <w:right w:val="none" w:sz="0" w:space="0" w:color="auto"/>
      </w:divBdr>
    </w:div>
    <w:div w:id="521481002">
      <w:marLeft w:val="0"/>
      <w:marRight w:val="0"/>
      <w:marTop w:val="120"/>
      <w:marBottom w:val="120"/>
      <w:divBdr>
        <w:top w:val="none" w:sz="0" w:space="0" w:color="auto"/>
        <w:left w:val="none" w:sz="0" w:space="0" w:color="auto"/>
        <w:bottom w:val="none" w:sz="0" w:space="0" w:color="auto"/>
        <w:right w:val="none" w:sz="0" w:space="0" w:color="auto"/>
      </w:divBdr>
    </w:div>
    <w:div w:id="521817524">
      <w:marLeft w:val="0"/>
      <w:marRight w:val="0"/>
      <w:marTop w:val="0"/>
      <w:marBottom w:val="180"/>
      <w:divBdr>
        <w:top w:val="none" w:sz="0" w:space="0" w:color="auto"/>
        <w:left w:val="none" w:sz="0" w:space="0" w:color="auto"/>
        <w:bottom w:val="none" w:sz="0" w:space="0" w:color="auto"/>
        <w:right w:val="none" w:sz="0" w:space="0" w:color="auto"/>
      </w:divBdr>
    </w:div>
    <w:div w:id="522595790">
      <w:marLeft w:val="0"/>
      <w:marRight w:val="0"/>
      <w:marTop w:val="0"/>
      <w:marBottom w:val="0"/>
      <w:divBdr>
        <w:top w:val="none" w:sz="0" w:space="0" w:color="auto"/>
        <w:left w:val="none" w:sz="0" w:space="0" w:color="auto"/>
        <w:bottom w:val="none" w:sz="0" w:space="0" w:color="auto"/>
        <w:right w:val="none" w:sz="0" w:space="0" w:color="auto"/>
      </w:divBdr>
    </w:div>
    <w:div w:id="522793522">
      <w:marLeft w:val="0"/>
      <w:marRight w:val="0"/>
      <w:marTop w:val="0"/>
      <w:marBottom w:val="240"/>
      <w:divBdr>
        <w:top w:val="none" w:sz="0" w:space="0" w:color="auto"/>
        <w:left w:val="none" w:sz="0" w:space="0" w:color="auto"/>
        <w:bottom w:val="none" w:sz="0" w:space="0" w:color="auto"/>
        <w:right w:val="none" w:sz="0" w:space="0" w:color="auto"/>
      </w:divBdr>
    </w:div>
    <w:div w:id="523252034">
      <w:marLeft w:val="0"/>
      <w:marRight w:val="0"/>
      <w:marTop w:val="0"/>
      <w:marBottom w:val="0"/>
      <w:divBdr>
        <w:top w:val="none" w:sz="0" w:space="0" w:color="auto"/>
        <w:left w:val="none" w:sz="0" w:space="0" w:color="auto"/>
        <w:bottom w:val="none" w:sz="0" w:space="0" w:color="auto"/>
        <w:right w:val="none" w:sz="0" w:space="0" w:color="auto"/>
      </w:divBdr>
    </w:div>
    <w:div w:id="523523397">
      <w:marLeft w:val="0"/>
      <w:marRight w:val="0"/>
      <w:marTop w:val="0"/>
      <w:marBottom w:val="180"/>
      <w:divBdr>
        <w:top w:val="none" w:sz="0" w:space="0" w:color="auto"/>
        <w:left w:val="none" w:sz="0" w:space="0" w:color="auto"/>
        <w:bottom w:val="none" w:sz="0" w:space="0" w:color="auto"/>
        <w:right w:val="none" w:sz="0" w:space="0" w:color="auto"/>
      </w:divBdr>
    </w:div>
    <w:div w:id="525101056">
      <w:marLeft w:val="0"/>
      <w:marRight w:val="0"/>
      <w:marTop w:val="0"/>
      <w:marBottom w:val="240"/>
      <w:divBdr>
        <w:top w:val="none" w:sz="0" w:space="0" w:color="auto"/>
        <w:left w:val="none" w:sz="0" w:space="0" w:color="auto"/>
        <w:bottom w:val="none" w:sz="0" w:space="0" w:color="auto"/>
        <w:right w:val="none" w:sz="0" w:space="0" w:color="auto"/>
      </w:divBdr>
    </w:div>
    <w:div w:id="527648138">
      <w:marLeft w:val="0"/>
      <w:marRight w:val="0"/>
      <w:marTop w:val="180"/>
      <w:marBottom w:val="180"/>
      <w:divBdr>
        <w:top w:val="none" w:sz="0" w:space="0" w:color="auto"/>
        <w:left w:val="none" w:sz="0" w:space="0" w:color="auto"/>
        <w:bottom w:val="none" w:sz="0" w:space="0" w:color="auto"/>
        <w:right w:val="none" w:sz="0" w:space="0" w:color="auto"/>
      </w:divBdr>
    </w:div>
    <w:div w:id="528564247">
      <w:marLeft w:val="0"/>
      <w:marRight w:val="0"/>
      <w:marTop w:val="0"/>
      <w:marBottom w:val="180"/>
      <w:divBdr>
        <w:top w:val="none" w:sz="0" w:space="0" w:color="auto"/>
        <w:left w:val="none" w:sz="0" w:space="0" w:color="auto"/>
        <w:bottom w:val="none" w:sz="0" w:space="0" w:color="auto"/>
        <w:right w:val="none" w:sz="0" w:space="0" w:color="auto"/>
      </w:divBdr>
    </w:div>
    <w:div w:id="528640380">
      <w:marLeft w:val="0"/>
      <w:marRight w:val="0"/>
      <w:marTop w:val="0"/>
      <w:marBottom w:val="180"/>
      <w:divBdr>
        <w:top w:val="none" w:sz="0" w:space="0" w:color="auto"/>
        <w:left w:val="none" w:sz="0" w:space="0" w:color="auto"/>
        <w:bottom w:val="none" w:sz="0" w:space="0" w:color="auto"/>
        <w:right w:val="none" w:sz="0" w:space="0" w:color="auto"/>
      </w:divBdr>
    </w:div>
    <w:div w:id="528765169">
      <w:marLeft w:val="0"/>
      <w:marRight w:val="0"/>
      <w:marTop w:val="180"/>
      <w:marBottom w:val="180"/>
      <w:divBdr>
        <w:top w:val="none" w:sz="0" w:space="0" w:color="auto"/>
        <w:left w:val="none" w:sz="0" w:space="0" w:color="auto"/>
        <w:bottom w:val="none" w:sz="0" w:space="0" w:color="auto"/>
        <w:right w:val="none" w:sz="0" w:space="0" w:color="auto"/>
      </w:divBdr>
    </w:div>
    <w:div w:id="528951690">
      <w:marLeft w:val="0"/>
      <w:marRight w:val="0"/>
      <w:marTop w:val="0"/>
      <w:marBottom w:val="180"/>
      <w:divBdr>
        <w:top w:val="none" w:sz="0" w:space="0" w:color="auto"/>
        <w:left w:val="none" w:sz="0" w:space="0" w:color="auto"/>
        <w:bottom w:val="none" w:sz="0" w:space="0" w:color="auto"/>
        <w:right w:val="none" w:sz="0" w:space="0" w:color="auto"/>
      </w:divBdr>
    </w:div>
    <w:div w:id="529101731">
      <w:marLeft w:val="0"/>
      <w:marRight w:val="0"/>
      <w:marTop w:val="120"/>
      <w:marBottom w:val="180"/>
      <w:divBdr>
        <w:top w:val="none" w:sz="0" w:space="0" w:color="auto"/>
        <w:left w:val="none" w:sz="0" w:space="0" w:color="auto"/>
        <w:bottom w:val="none" w:sz="0" w:space="0" w:color="auto"/>
        <w:right w:val="none" w:sz="0" w:space="0" w:color="auto"/>
      </w:divBdr>
    </w:div>
    <w:div w:id="529415807">
      <w:marLeft w:val="0"/>
      <w:marRight w:val="0"/>
      <w:marTop w:val="0"/>
      <w:marBottom w:val="0"/>
      <w:divBdr>
        <w:top w:val="none" w:sz="0" w:space="0" w:color="auto"/>
        <w:left w:val="none" w:sz="0" w:space="0" w:color="auto"/>
        <w:bottom w:val="none" w:sz="0" w:space="0" w:color="auto"/>
        <w:right w:val="none" w:sz="0" w:space="0" w:color="auto"/>
      </w:divBdr>
    </w:div>
    <w:div w:id="530147058">
      <w:marLeft w:val="0"/>
      <w:marRight w:val="0"/>
      <w:marTop w:val="0"/>
      <w:marBottom w:val="180"/>
      <w:divBdr>
        <w:top w:val="none" w:sz="0" w:space="0" w:color="auto"/>
        <w:left w:val="none" w:sz="0" w:space="0" w:color="auto"/>
        <w:bottom w:val="none" w:sz="0" w:space="0" w:color="auto"/>
        <w:right w:val="none" w:sz="0" w:space="0" w:color="auto"/>
      </w:divBdr>
    </w:div>
    <w:div w:id="530190156">
      <w:marLeft w:val="0"/>
      <w:marRight w:val="0"/>
      <w:marTop w:val="120"/>
      <w:marBottom w:val="240"/>
      <w:divBdr>
        <w:top w:val="none" w:sz="0" w:space="0" w:color="auto"/>
        <w:left w:val="none" w:sz="0" w:space="0" w:color="auto"/>
        <w:bottom w:val="none" w:sz="0" w:space="0" w:color="auto"/>
        <w:right w:val="none" w:sz="0" w:space="0" w:color="auto"/>
      </w:divBdr>
    </w:div>
    <w:div w:id="530261661">
      <w:marLeft w:val="0"/>
      <w:marRight w:val="0"/>
      <w:marTop w:val="0"/>
      <w:marBottom w:val="180"/>
      <w:divBdr>
        <w:top w:val="none" w:sz="0" w:space="0" w:color="auto"/>
        <w:left w:val="none" w:sz="0" w:space="0" w:color="auto"/>
        <w:bottom w:val="none" w:sz="0" w:space="0" w:color="auto"/>
        <w:right w:val="none" w:sz="0" w:space="0" w:color="auto"/>
      </w:divBdr>
    </w:div>
    <w:div w:id="531454022">
      <w:marLeft w:val="0"/>
      <w:marRight w:val="0"/>
      <w:marTop w:val="0"/>
      <w:marBottom w:val="0"/>
      <w:divBdr>
        <w:top w:val="none" w:sz="0" w:space="0" w:color="auto"/>
        <w:left w:val="none" w:sz="0" w:space="0" w:color="auto"/>
        <w:bottom w:val="none" w:sz="0" w:space="0" w:color="auto"/>
        <w:right w:val="none" w:sz="0" w:space="0" w:color="auto"/>
      </w:divBdr>
      <w:divsChild>
        <w:div w:id="170797293">
          <w:marLeft w:val="0"/>
          <w:marRight w:val="0"/>
          <w:marTop w:val="0"/>
          <w:marBottom w:val="0"/>
          <w:divBdr>
            <w:top w:val="none" w:sz="0" w:space="0" w:color="auto"/>
            <w:left w:val="none" w:sz="0" w:space="0" w:color="auto"/>
            <w:bottom w:val="none" w:sz="0" w:space="0" w:color="auto"/>
            <w:right w:val="none" w:sz="0" w:space="0" w:color="auto"/>
          </w:divBdr>
        </w:div>
      </w:divsChild>
    </w:div>
    <w:div w:id="533545269">
      <w:marLeft w:val="0"/>
      <w:marRight w:val="0"/>
      <w:marTop w:val="0"/>
      <w:marBottom w:val="0"/>
      <w:divBdr>
        <w:top w:val="none" w:sz="0" w:space="0" w:color="auto"/>
        <w:left w:val="none" w:sz="0" w:space="0" w:color="auto"/>
        <w:bottom w:val="none" w:sz="0" w:space="0" w:color="auto"/>
        <w:right w:val="none" w:sz="0" w:space="0" w:color="auto"/>
      </w:divBdr>
      <w:divsChild>
        <w:div w:id="64766765">
          <w:marLeft w:val="0"/>
          <w:marRight w:val="0"/>
          <w:marTop w:val="0"/>
          <w:marBottom w:val="180"/>
          <w:divBdr>
            <w:top w:val="none" w:sz="0" w:space="0" w:color="auto"/>
            <w:left w:val="none" w:sz="0" w:space="0" w:color="auto"/>
            <w:bottom w:val="none" w:sz="0" w:space="0" w:color="auto"/>
            <w:right w:val="none" w:sz="0" w:space="0" w:color="auto"/>
          </w:divBdr>
        </w:div>
      </w:divsChild>
    </w:div>
    <w:div w:id="534079400">
      <w:marLeft w:val="0"/>
      <w:marRight w:val="0"/>
      <w:marTop w:val="180"/>
      <w:marBottom w:val="180"/>
      <w:divBdr>
        <w:top w:val="none" w:sz="0" w:space="0" w:color="auto"/>
        <w:left w:val="none" w:sz="0" w:space="0" w:color="auto"/>
        <w:bottom w:val="none" w:sz="0" w:space="0" w:color="auto"/>
        <w:right w:val="none" w:sz="0" w:space="0" w:color="auto"/>
      </w:divBdr>
    </w:div>
    <w:div w:id="534467941">
      <w:marLeft w:val="0"/>
      <w:marRight w:val="0"/>
      <w:marTop w:val="0"/>
      <w:marBottom w:val="0"/>
      <w:divBdr>
        <w:top w:val="none" w:sz="0" w:space="0" w:color="auto"/>
        <w:left w:val="none" w:sz="0" w:space="0" w:color="auto"/>
        <w:bottom w:val="none" w:sz="0" w:space="0" w:color="auto"/>
        <w:right w:val="none" w:sz="0" w:space="0" w:color="auto"/>
      </w:divBdr>
    </w:div>
    <w:div w:id="534733326">
      <w:marLeft w:val="0"/>
      <w:marRight w:val="0"/>
      <w:marTop w:val="0"/>
      <w:marBottom w:val="0"/>
      <w:divBdr>
        <w:top w:val="none" w:sz="0" w:space="0" w:color="auto"/>
        <w:left w:val="none" w:sz="0" w:space="0" w:color="auto"/>
        <w:bottom w:val="none" w:sz="0" w:space="0" w:color="auto"/>
        <w:right w:val="none" w:sz="0" w:space="0" w:color="auto"/>
      </w:divBdr>
      <w:divsChild>
        <w:div w:id="1055356707">
          <w:marLeft w:val="0"/>
          <w:marRight w:val="0"/>
          <w:marTop w:val="0"/>
          <w:marBottom w:val="0"/>
          <w:divBdr>
            <w:top w:val="none" w:sz="0" w:space="0" w:color="auto"/>
            <w:left w:val="none" w:sz="0" w:space="0" w:color="auto"/>
            <w:bottom w:val="none" w:sz="0" w:space="0" w:color="auto"/>
            <w:right w:val="none" w:sz="0" w:space="0" w:color="auto"/>
          </w:divBdr>
        </w:div>
      </w:divsChild>
    </w:div>
    <w:div w:id="535194082">
      <w:marLeft w:val="0"/>
      <w:marRight w:val="0"/>
      <w:marTop w:val="180"/>
      <w:marBottom w:val="180"/>
      <w:divBdr>
        <w:top w:val="none" w:sz="0" w:space="0" w:color="auto"/>
        <w:left w:val="none" w:sz="0" w:space="0" w:color="auto"/>
        <w:bottom w:val="none" w:sz="0" w:space="0" w:color="auto"/>
        <w:right w:val="none" w:sz="0" w:space="0" w:color="auto"/>
      </w:divBdr>
    </w:div>
    <w:div w:id="536357488">
      <w:marLeft w:val="0"/>
      <w:marRight w:val="0"/>
      <w:marTop w:val="180"/>
      <w:marBottom w:val="180"/>
      <w:divBdr>
        <w:top w:val="none" w:sz="0" w:space="0" w:color="auto"/>
        <w:left w:val="none" w:sz="0" w:space="0" w:color="auto"/>
        <w:bottom w:val="none" w:sz="0" w:space="0" w:color="auto"/>
        <w:right w:val="none" w:sz="0" w:space="0" w:color="auto"/>
      </w:divBdr>
    </w:div>
    <w:div w:id="536697642">
      <w:marLeft w:val="0"/>
      <w:marRight w:val="0"/>
      <w:marTop w:val="0"/>
      <w:marBottom w:val="0"/>
      <w:divBdr>
        <w:top w:val="none" w:sz="0" w:space="0" w:color="auto"/>
        <w:left w:val="none" w:sz="0" w:space="0" w:color="auto"/>
        <w:bottom w:val="none" w:sz="0" w:space="0" w:color="auto"/>
        <w:right w:val="none" w:sz="0" w:space="0" w:color="auto"/>
      </w:divBdr>
    </w:div>
    <w:div w:id="537856297">
      <w:marLeft w:val="0"/>
      <w:marRight w:val="0"/>
      <w:marTop w:val="0"/>
      <w:marBottom w:val="240"/>
      <w:divBdr>
        <w:top w:val="none" w:sz="0" w:space="0" w:color="auto"/>
        <w:left w:val="none" w:sz="0" w:space="0" w:color="auto"/>
        <w:bottom w:val="none" w:sz="0" w:space="0" w:color="auto"/>
        <w:right w:val="none" w:sz="0" w:space="0" w:color="auto"/>
      </w:divBdr>
    </w:div>
    <w:div w:id="539518557">
      <w:marLeft w:val="0"/>
      <w:marRight w:val="0"/>
      <w:marTop w:val="0"/>
      <w:marBottom w:val="0"/>
      <w:divBdr>
        <w:top w:val="none" w:sz="0" w:space="0" w:color="auto"/>
        <w:left w:val="none" w:sz="0" w:space="0" w:color="auto"/>
        <w:bottom w:val="none" w:sz="0" w:space="0" w:color="auto"/>
        <w:right w:val="none" w:sz="0" w:space="0" w:color="auto"/>
      </w:divBdr>
    </w:div>
    <w:div w:id="540557691">
      <w:marLeft w:val="0"/>
      <w:marRight w:val="0"/>
      <w:marTop w:val="0"/>
      <w:marBottom w:val="180"/>
      <w:divBdr>
        <w:top w:val="none" w:sz="0" w:space="0" w:color="auto"/>
        <w:left w:val="none" w:sz="0" w:space="0" w:color="auto"/>
        <w:bottom w:val="none" w:sz="0" w:space="0" w:color="auto"/>
        <w:right w:val="none" w:sz="0" w:space="0" w:color="auto"/>
      </w:divBdr>
    </w:div>
    <w:div w:id="540635204">
      <w:marLeft w:val="0"/>
      <w:marRight w:val="0"/>
      <w:marTop w:val="0"/>
      <w:marBottom w:val="0"/>
      <w:divBdr>
        <w:top w:val="none" w:sz="0" w:space="0" w:color="auto"/>
        <w:left w:val="none" w:sz="0" w:space="0" w:color="auto"/>
        <w:bottom w:val="none" w:sz="0" w:space="0" w:color="auto"/>
        <w:right w:val="none" w:sz="0" w:space="0" w:color="auto"/>
      </w:divBdr>
      <w:divsChild>
        <w:div w:id="1746101679">
          <w:marLeft w:val="0"/>
          <w:marRight w:val="0"/>
          <w:marTop w:val="0"/>
          <w:marBottom w:val="0"/>
          <w:divBdr>
            <w:top w:val="none" w:sz="0" w:space="0" w:color="auto"/>
            <w:left w:val="none" w:sz="0" w:space="0" w:color="auto"/>
            <w:bottom w:val="none" w:sz="0" w:space="0" w:color="auto"/>
            <w:right w:val="none" w:sz="0" w:space="0" w:color="auto"/>
          </w:divBdr>
        </w:div>
      </w:divsChild>
    </w:div>
    <w:div w:id="541333571">
      <w:marLeft w:val="0"/>
      <w:marRight w:val="0"/>
      <w:marTop w:val="0"/>
      <w:marBottom w:val="180"/>
      <w:divBdr>
        <w:top w:val="none" w:sz="0" w:space="0" w:color="auto"/>
        <w:left w:val="none" w:sz="0" w:space="0" w:color="auto"/>
        <w:bottom w:val="none" w:sz="0" w:space="0" w:color="auto"/>
        <w:right w:val="none" w:sz="0" w:space="0" w:color="auto"/>
      </w:divBdr>
    </w:div>
    <w:div w:id="541863631">
      <w:marLeft w:val="0"/>
      <w:marRight w:val="0"/>
      <w:marTop w:val="0"/>
      <w:marBottom w:val="180"/>
      <w:divBdr>
        <w:top w:val="none" w:sz="0" w:space="0" w:color="auto"/>
        <w:left w:val="none" w:sz="0" w:space="0" w:color="auto"/>
        <w:bottom w:val="none" w:sz="0" w:space="0" w:color="auto"/>
        <w:right w:val="none" w:sz="0" w:space="0" w:color="auto"/>
      </w:divBdr>
    </w:div>
    <w:div w:id="542523313">
      <w:marLeft w:val="0"/>
      <w:marRight w:val="0"/>
      <w:marTop w:val="100"/>
      <w:marBottom w:val="0"/>
      <w:divBdr>
        <w:top w:val="none" w:sz="0" w:space="0" w:color="auto"/>
        <w:left w:val="none" w:sz="0" w:space="0" w:color="auto"/>
        <w:bottom w:val="none" w:sz="0" w:space="0" w:color="auto"/>
        <w:right w:val="none" w:sz="0" w:space="0" w:color="auto"/>
      </w:divBdr>
    </w:div>
    <w:div w:id="543104461">
      <w:marLeft w:val="0"/>
      <w:marRight w:val="0"/>
      <w:marTop w:val="0"/>
      <w:marBottom w:val="240"/>
      <w:divBdr>
        <w:top w:val="none" w:sz="0" w:space="0" w:color="auto"/>
        <w:left w:val="none" w:sz="0" w:space="0" w:color="auto"/>
        <w:bottom w:val="none" w:sz="0" w:space="0" w:color="auto"/>
        <w:right w:val="none" w:sz="0" w:space="0" w:color="auto"/>
      </w:divBdr>
    </w:div>
    <w:div w:id="543106118">
      <w:marLeft w:val="0"/>
      <w:marRight w:val="0"/>
      <w:marTop w:val="0"/>
      <w:marBottom w:val="0"/>
      <w:divBdr>
        <w:top w:val="none" w:sz="0" w:space="0" w:color="auto"/>
        <w:left w:val="none" w:sz="0" w:space="0" w:color="auto"/>
        <w:bottom w:val="none" w:sz="0" w:space="0" w:color="auto"/>
        <w:right w:val="none" w:sz="0" w:space="0" w:color="auto"/>
      </w:divBdr>
      <w:divsChild>
        <w:div w:id="454641216">
          <w:marLeft w:val="0"/>
          <w:marRight w:val="0"/>
          <w:marTop w:val="0"/>
          <w:marBottom w:val="0"/>
          <w:divBdr>
            <w:top w:val="none" w:sz="0" w:space="0" w:color="auto"/>
            <w:left w:val="none" w:sz="0" w:space="0" w:color="auto"/>
            <w:bottom w:val="none" w:sz="0" w:space="0" w:color="auto"/>
            <w:right w:val="none" w:sz="0" w:space="0" w:color="auto"/>
          </w:divBdr>
        </w:div>
      </w:divsChild>
    </w:div>
    <w:div w:id="543637831">
      <w:marLeft w:val="0"/>
      <w:marRight w:val="0"/>
      <w:marTop w:val="0"/>
      <w:marBottom w:val="0"/>
      <w:divBdr>
        <w:top w:val="none" w:sz="0" w:space="0" w:color="auto"/>
        <w:left w:val="none" w:sz="0" w:space="0" w:color="auto"/>
        <w:bottom w:val="none" w:sz="0" w:space="0" w:color="auto"/>
        <w:right w:val="none" w:sz="0" w:space="0" w:color="auto"/>
      </w:divBdr>
    </w:div>
    <w:div w:id="546071201">
      <w:marLeft w:val="0"/>
      <w:marRight w:val="0"/>
      <w:marTop w:val="0"/>
      <w:marBottom w:val="240"/>
      <w:divBdr>
        <w:top w:val="none" w:sz="0" w:space="0" w:color="auto"/>
        <w:left w:val="none" w:sz="0" w:space="0" w:color="auto"/>
        <w:bottom w:val="none" w:sz="0" w:space="0" w:color="auto"/>
        <w:right w:val="none" w:sz="0" w:space="0" w:color="auto"/>
      </w:divBdr>
    </w:div>
    <w:div w:id="548224432">
      <w:marLeft w:val="0"/>
      <w:marRight w:val="0"/>
      <w:marTop w:val="0"/>
      <w:marBottom w:val="240"/>
      <w:divBdr>
        <w:top w:val="none" w:sz="0" w:space="0" w:color="auto"/>
        <w:left w:val="none" w:sz="0" w:space="0" w:color="auto"/>
        <w:bottom w:val="none" w:sz="0" w:space="0" w:color="auto"/>
        <w:right w:val="none" w:sz="0" w:space="0" w:color="auto"/>
      </w:divBdr>
    </w:div>
    <w:div w:id="549153279">
      <w:marLeft w:val="0"/>
      <w:marRight w:val="0"/>
      <w:marTop w:val="0"/>
      <w:marBottom w:val="180"/>
      <w:divBdr>
        <w:top w:val="none" w:sz="0" w:space="0" w:color="auto"/>
        <w:left w:val="none" w:sz="0" w:space="0" w:color="auto"/>
        <w:bottom w:val="none" w:sz="0" w:space="0" w:color="auto"/>
        <w:right w:val="none" w:sz="0" w:space="0" w:color="auto"/>
      </w:divBdr>
    </w:div>
    <w:div w:id="549875946">
      <w:marLeft w:val="0"/>
      <w:marRight w:val="0"/>
      <w:marTop w:val="0"/>
      <w:marBottom w:val="240"/>
      <w:divBdr>
        <w:top w:val="none" w:sz="0" w:space="0" w:color="auto"/>
        <w:left w:val="none" w:sz="0" w:space="0" w:color="auto"/>
        <w:bottom w:val="none" w:sz="0" w:space="0" w:color="auto"/>
        <w:right w:val="none" w:sz="0" w:space="0" w:color="auto"/>
      </w:divBdr>
    </w:div>
    <w:div w:id="550725414">
      <w:marLeft w:val="0"/>
      <w:marRight w:val="0"/>
      <w:marTop w:val="0"/>
      <w:marBottom w:val="240"/>
      <w:divBdr>
        <w:top w:val="none" w:sz="0" w:space="0" w:color="auto"/>
        <w:left w:val="none" w:sz="0" w:space="0" w:color="auto"/>
        <w:bottom w:val="none" w:sz="0" w:space="0" w:color="auto"/>
        <w:right w:val="none" w:sz="0" w:space="0" w:color="auto"/>
      </w:divBdr>
    </w:div>
    <w:div w:id="551425398">
      <w:marLeft w:val="0"/>
      <w:marRight w:val="0"/>
      <w:marTop w:val="0"/>
      <w:marBottom w:val="180"/>
      <w:divBdr>
        <w:top w:val="none" w:sz="0" w:space="0" w:color="auto"/>
        <w:left w:val="none" w:sz="0" w:space="0" w:color="auto"/>
        <w:bottom w:val="none" w:sz="0" w:space="0" w:color="auto"/>
        <w:right w:val="none" w:sz="0" w:space="0" w:color="auto"/>
      </w:divBdr>
    </w:div>
    <w:div w:id="551498750">
      <w:marLeft w:val="0"/>
      <w:marRight w:val="0"/>
      <w:marTop w:val="0"/>
      <w:marBottom w:val="0"/>
      <w:divBdr>
        <w:top w:val="none" w:sz="0" w:space="0" w:color="auto"/>
        <w:left w:val="none" w:sz="0" w:space="0" w:color="auto"/>
        <w:bottom w:val="none" w:sz="0" w:space="0" w:color="auto"/>
        <w:right w:val="none" w:sz="0" w:space="0" w:color="auto"/>
      </w:divBdr>
    </w:div>
    <w:div w:id="552934534">
      <w:marLeft w:val="0"/>
      <w:marRight w:val="0"/>
      <w:marTop w:val="0"/>
      <w:marBottom w:val="0"/>
      <w:divBdr>
        <w:top w:val="none" w:sz="0" w:space="0" w:color="auto"/>
        <w:left w:val="none" w:sz="0" w:space="0" w:color="auto"/>
        <w:bottom w:val="none" w:sz="0" w:space="0" w:color="auto"/>
        <w:right w:val="none" w:sz="0" w:space="0" w:color="auto"/>
      </w:divBdr>
    </w:div>
    <w:div w:id="553735357">
      <w:marLeft w:val="0"/>
      <w:marRight w:val="0"/>
      <w:marTop w:val="0"/>
      <w:marBottom w:val="0"/>
      <w:divBdr>
        <w:top w:val="none" w:sz="0" w:space="0" w:color="auto"/>
        <w:left w:val="none" w:sz="0" w:space="0" w:color="auto"/>
        <w:bottom w:val="none" w:sz="0" w:space="0" w:color="auto"/>
        <w:right w:val="none" w:sz="0" w:space="0" w:color="auto"/>
      </w:divBdr>
      <w:divsChild>
        <w:div w:id="1633827741">
          <w:marLeft w:val="0"/>
          <w:marRight w:val="0"/>
          <w:marTop w:val="0"/>
          <w:marBottom w:val="0"/>
          <w:divBdr>
            <w:top w:val="none" w:sz="0" w:space="0" w:color="auto"/>
            <w:left w:val="none" w:sz="0" w:space="0" w:color="auto"/>
            <w:bottom w:val="none" w:sz="0" w:space="0" w:color="auto"/>
            <w:right w:val="none" w:sz="0" w:space="0" w:color="auto"/>
          </w:divBdr>
        </w:div>
      </w:divsChild>
    </w:div>
    <w:div w:id="553737418">
      <w:marLeft w:val="0"/>
      <w:marRight w:val="0"/>
      <w:marTop w:val="180"/>
      <w:marBottom w:val="180"/>
      <w:divBdr>
        <w:top w:val="none" w:sz="0" w:space="0" w:color="auto"/>
        <w:left w:val="none" w:sz="0" w:space="0" w:color="auto"/>
        <w:bottom w:val="none" w:sz="0" w:space="0" w:color="auto"/>
        <w:right w:val="none" w:sz="0" w:space="0" w:color="auto"/>
      </w:divBdr>
    </w:div>
    <w:div w:id="553738795">
      <w:marLeft w:val="0"/>
      <w:marRight w:val="0"/>
      <w:marTop w:val="0"/>
      <w:marBottom w:val="180"/>
      <w:divBdr>
        <w:top w:val="none" w:sz="0" w:space="0" w:color="auto"/>
        <w:left w:val="none" w:sz="0" w:space="0" w:color="auto"/>
        <w:bottom w:val="none" w:sz="0" w:space="0" w:color="auto"/>
        <w:right w:val="none" w:sz="0" w:space="0" w:color="auto"/>
      </w:divBdr>
    </w:div>
    <w:div w:id="553857951">
      <w:marLeft w:val="0"/>
      <w:marRight w:val="0"/>
      <w:marTop w:val="0"/>
      <w:marBottom w:val="0"/>
      <w:divBdr>
        <w:top w:val="none" w:sz="0" w:space="0" w:color="auto"/>
        <w:left w:val="none" w:sz="0" w:space="0" w:color="auto"/>
        <w:bottom w:val="none" w:sz="0" w:space="0" w:color="auto"/>
        <w:right w:val="none" w:sz="0" w:space="0" w:color="auto"/>
      </w:divBdr>
      <w:divsChild>
        <w:div w:id="299844357">
          <w:marLeft w:val="0"/>
          <w:marRight w:val="0"/>
          <w:marTop w:val="0"/>
          <w:marBottom w:val="0"/>
          <w:divBdr>
            <w:top w:val="none" w:sz="0" w:space="0" w:color="auto"/>
            <w:left w:val="none" w:sz="0" w:space="0" w:color="auto"/>
            <w:bottom w:val="none" w:sz="0" w:space="0" w:color="auto"/>
            <w:right w:val="none" w:sz="0" w:space="0" w:color="auto"/>
          </w:divBdr>
        </w:div>
      </w:divsChild>
    </w:div>
    <w:div w:id="554048254">
      <w:marLeft w:val="0"/>
      <w:marRight w:val="0"/>
      <w:marTop w:val="0"/>
      <w:marBottom w:val="240"/>
      <w:divBdr>
        <w:top w:val="none" w:sz="0" w:space="0" w:color="auto"/>
        <w:left w:val="none" w:sz="0" w:space="0" w:color="auto"/>
        <w:bottom w:val="none" w:sz="0" w:space="0" w:color="auto"/>
        <w:right w:val="none" w:sz="0" w:space="0" w:color="auto"/>
      </w:divBdr>
    </w:div>
    <w:div w:id="555552624">
      <w:marLeft w:val="0"/>
      <w:marRight w:val="0"/>
      <w:marTop w:val="0"/>
      <w:marBottom w:val="0"/>
      <w:divBdr>
        <w:top w:val="none" w:sz="0" w:space="0" w:color="auto"/>
        <w:left w:val="none" w:sz="0" w:space="0" w:color="auto"/>
        <w:bottom w:val="none" w:sz="0" w:space="0" w:color="auto"/>
        <w:right w:val="none" w:sz="0" w:space="0" w:color="auto"/>
      </w:divBdr>
      <w:divsChild>
        <w:div w:id="1763526401">
          <w:marLeft w:val="0"/>
          <w:marRight w:val="0"/>
          <w:marTop w:val="0"/>
          <w:marBottom w:val="0"/>
          <w:divBdr>
            <w:top w:val="none" w:sz="0" w:space="0" w:color="auto"/>
            <w:left w:val="none" w:sz="0" w:space="0" w:color="auto"/>
            <w:bottom w:val="none" w:sz="0" w:space="0" w:color="auto"/>
            <w:right w:val="none" w:sz="0" w:space="0" w:color="auto"/>
          </w:divBdr>
        </w:div>
      </w:divsChild>
    </w:div>
    <w:div w:id="556085757">
      <w:marLeft w:val="0"/>
      <w:marRight w:val="0"/>
      <w:marTop w:val="0"/>
      <w:marBottom w:val="240"/>
      <w:divBdr>
        <w:top w:val="none" w:sz="0" w:space="0" w:color="auto"/>
        <w:left w:val="none" w:sz="0" w:space="0" w:color="auto"/>
        <w:bottom w:val="none" w:sz="0" w:space="0" w:color="auto"/>
        <w:right w:val="none" w:sz="0" w:space="0" w:color="auto"/>
      </w:divBdr>
    </w:div>
    <w:div w:id="556626928">
      <w:marLeft w:val="0"/>
      <w:marRight w:val="0"/>
      <w:marTop w:val="0"/>
      <w:marBottom w:val="240"/>
      <w:divBdr>
        <w:top w:val="none" w:sz="0" w:space="0" w:color="auto"/>
        <w:left w:val="none" w:sz="0" w:space="0" w:color="auto"/>
        <w:bottom w:val="none" w:sz="0" w:space="0" w:color="auto"/>
        <w:right w:val="none" w:sz="0" w:space="0" w:color="auto"/>
      </w:divBdr>
    </w:div>
    <w:div w:id="557471768">
      <w:marLeft w:val="0"/>
      <w:marRight w:val="0"/>
      <w:marTop w:val="0"/>
      <w:marBottom w:val="0"/>
      <w:divBdr>
        <w:top w:val="none" w:sz="0" w:space="0" w:color="auto"/>
        <w:left w:val="none" w:sz="0" w:space="0" w:color="auto"/>
        <w:bottom w:val="none" w:sz="0" w:space="0" w:color="auto"/>
        <w:right w:val="none" w:sz="0" w:space="0" w:color="auto"/>
      </w:divBdr>
    </w:div>
    <w:div w:id="558369290">
      <w:marLeft w:val="0"/>
      <w:marRight w:val="0"/>
      <w:marTop w:val="0"/>
      <w:marBottom w:val="240"/>
      <w:divBdr>
        <w:top w:val="none" w:sz="0" w:space="0" w:color="auto"/>
        <w:left w:val="none" w:sz="0" w:space="0" w:color="auto"/>
        <w:bottom w:val="none" w:sz="0" w:space="0" w:color="auto"/>
        <w:right w:val="none" w:sz="0" w:space="0" w:color="auto"/>
      </w:divBdr>
    </w:div>
    <w:div w:id="558634782">
      <w:marLeft w:val="0"/>
      <w:marRight w:val="0"/>
      <w:marTop w:val="0"/>
      <w:marBottom w:val="0"/>
      <w:divBdr>
        <w:top w:val="none" w:sz="0" w:space="0" w:color="auto"/>
        <w:left w:val="none" w:sz="0" w:space="0" w:color="auto"/>
        <w:bottom w:val="none" w:sz="0" w:space="0" w:color="auto"/>
        <w:right w:val="none" w:sz="0" w:space="0" w:color="auto"/>
      </w:divBdr>
      <w:divsChild>
        <w:div w:id="514196806">
          <w:marLeft w:val="0"/>
          <w:marRight w:val="0"/>
          <w:marTop w:val="0"/>
          <w:marBottom w:val="180"/>
          <w:divBdr>
            <w:top w:val="none" w:sz="0" w:space="0" w:color="auto"/>
            <w:left w:val="none" w:sz="0" w:space="0" w:color="auto"/>
            <w:bottom w:val="none" w:sz="0" w:space="0" w:color="auto"/>
            <w:right w:val="none" w:sz="0" w:space="0" w:color="auto"/>
          </w:divBdr>
        </w:div>
        <w:div w:id="1421947451">
          <w:marLeft w:val="0"/>
          <w:marRight w:val="0"/>
          <w:marTop w:val="0"/>
          <w:marBottom w:val="180"/>
          <w:divBdr>
            <w:top w:val="none" w:sz="0" w:space="0" w:color="auto"/>
            <w:left w:val="none" w:sz="0" w:space="0" w:color="auto"/>
            <w:bottom w:val="none" w:sz="0" w:space="0" w:color="auto"/>
            <w:right w:val="none" w:sz="0" w:space="0" w:color="auto"/>
          </w:divBdr>
        </w:div>
        <w:div w:id="227807081">
          <w:marLeft w:val="0"/>
          <w:marRight w:val="0"/>
          <w:marTop w:val="0"/>
          <w:marBottom w:val="0"/>
          <w:divBdr>
            <w:top w:val="none" w:sz="0" w:space="0" w:color="auto"/>
            <w:left w:val="none" w:sz="0" w:space="0" w:color="auto"/>
            <w:bottom w:val="none" w:sz="0" w:space="0" w:color="auto"/>
            <w:right w:val="none" w:sz="0" w:space="0" w:color="auto"/>
          </w:divBdr>
        </w:div>
        <w:div w:id="1099566598">
          <w:marLeft w:val="0"/>
          <w:marRight w:val="0"/>
          <w:marTop w:val="0"/>
          <w:marBottom w:val="0"/>
          <w:divBdr>
            <w:top w:val="none" w:sz="0" w:space="0" w:color="auto"/>
            <w:left w:val="none" w:sz="0" w:space="0" w:color="auto"/>
            <w:bottom w:val="none" w:sz="0" w:space="0" w:color="auto"/>
            <w:right w:val="none" w:sz="0" w:space="0" w:color="auto"/>
          </w:divBdr>
        </w:div>
        <w:div w:id="229509246">
          <w:marLeft w:val="0"/>
          <w:marRight w:val="0"/>
          <w:marTop w:val="0"/>
          <w:marBottom w:val="0"/>
          <w:divBdr>
            <w:top w:val="none" w:sz="0" w:space="0" w:color="auto"/>
            <w:left w:val="none" w:sz="0" w:space="0" w:color="auto"/>
            <w:bottom w:val="none" w:sz="0" w:space="0" w:color="auto"/>
            <w:right w:val="none" w:sz="0" w:space="0" w:color="auto"/>
          </w:divBdr>
        </w:div>
        <w:div w:id="1724524363">
          <w:marLeft w:val="0"/>
          <w:marRight w:val="0"/>
          <w:marTop w:val="0"/>
          <w:marBottom w:val="0"/>
          <w:divBdr>
            <w:top w:val="none" w:sz="0" w:space="0" w:color="auto"/>
            <w:left w:val="none" w:sz="0" w:space="0" w:color="auto"/>
            <w:bottom w:val="none" w:sz="0" w:space="0" w:color="auto"/>
            <w:right w:val="none" w:sz="0" w:space="0" w:color="auto"/>
          </w:divBdr>
        </w:div>
        <w:div w:id="1883594926">
          <w:marLeft w:val="0"/>
          <w:marRight w:val="0"/>
          <w:marTop w:val="0"/>
          <w:marBottom w:val="0"/>
          <w:divBdr>
            <w:top w:val="none" w:sz="0" w:space="0" w:color="auto"/>
            <w:left w:val="none" w:sz="0" w:space="0" w:color="auto"/>
            <w:bottom w:val="none" w:sz="0" w:space="0" w:color="auto"/>
            <w:right w:val="none" w:sz="0" w:space="0" w:color="auto"/>
          </w:divBdr>
        </w:div>
      </w:divsChild>
    </w:div>
    <w:div w:id="559247793">
      <w:marLeft w:val="0"/>
      <w:marRight w:val="0"/>
      <w:marTop w:val="0"/>
      <w:marBottom w:val="180"/>
      <w:divBdr>
        <w:top w:val="none" w:sz="0" w:space="0" w:color="auto"/>
        <w:left w:val="none" w:sz="0" w:space="0" w:color="auto"/>
        <w:bottom w:val="none" w:sz="0" w:space="0" w:color="auto"/>
        <w:right w:val="none" w:sz="0" w:space="0" w:color="auto"/>
      </w:divBdr>
    </w:div>
    <w:div w:id="562377493">
      <w:marLeft w:val="0"/>
      <w:marRight w:val="0"/>
      <w:marTop w:val="240"/>
      <w:marBottom w:val="240"/>
      <w:divBdr>
        <w:top w:val="none" w:sz="0" w:space="0" w:color="auto"/>
        <w:left w:val="none" w:sz="0" w:space="0" w:color="auto"/>
        <w:bottom w:val="none" w:sz="0" w:space="0" w:color="auto"/>
        <w:right w:val="none" w:sz="0" w:space="0" w:color="auto"/>
      </w:divBdr>
    </w:div>
    <w:div w:id="562495691">
      <w:marLeft w:val="0"/>
      <w:marRight w:val="0"/>
      <w:marTop w:val="0"/>
      <w:marBottom w:val="180"/>
      <w:divBdr>
        <w:top w:val="none" w:sz="0" w:space="0" w:color="auto"/>
        <w:left w:val="none" w:sz="0" w:space="0" w:color="auto"/>
        <w:bottom w:val="none" w:sz="0" w:space="0" w:color="auto"/>
        <w:right w:val="none" w:sz="0" w:space="0" w:color="auto"/>
      </w:divBdr>
    </w:div>
    <w:div w:id="562570281">
      <w:marLeft w:val="0"/>
      <w:marRight w:val="0"/>
      <w:marTop w:val="0"/>
      <w:marBottom w:val="180"/>
      <w:divBdr>
        <w:top w:val="none" w:sz="0" w:space="0" w:color="auto"/>
        <w:left w:val="none" w:sz="0" w:space="0" w:color="auto"/>
        <w:bottom w:val="none" w:sz="0" w:space="0" w:color="auto"/>
        <w:right w:val="none" w:sz="0" w:space="0" w:color="auto"/>
      </w:divBdr>
    </w:div>
    <w:div w:id="563223240">
      <w:marLeft w:val="0"/>
      <w:marRight w:val="0"/>
      <w:marTop w:val="0"/>
      <w:marBottom w:val="180"/>
      <w:divBdr>
        <w:top w:val="none" w:sz="0" w:space="0" w:color="auto"/>
        <w:left w:val="none" w:sz="0" w:space="0" w:color="auto"/>
        <w:bottom w:val="none" w:sz="0" w:space="0" w:color="auto"/>
        <w:right w:val="none" w:sz="0" w:space="0" w:color="auto"/>
      </w:divBdr>
    </w:div>
    <w:div w:id="563294010">
      <w:marLeft w:val="0"/>
      <w:marRight w:val="0"/>
      <w:marTop w:val="0"/>
      <w:marBottom w:val="180"/>
      <w:divBdr>
        <w:top w:val="none" w:sz="0" w:space="0" w:color="auto"/>
        <w:left w:val="none" w:sz="0" w:space="0" w:color="auto"/>
        <w:bottom w:val="none" w:sz="0" w:space="0" w:color="auto"/>
        <w:right w:val="none" w:sz="0" w:space="0" w:color="auto"/>
      </w:divBdr>
    </w:div>
    <w:div w:id="563565719">
      <w:marLeft w:val="0"/>
      <w:marRight w:val="0"/>
      <w:marTop w:val="0"/>
      <w:marBottom w:val="60"/>
      <w:divBdr>
        <w:top w:val="none" w:sz="0" w:space="0" w:color="auto"/>
        <w:left w:val="none" w:sz="0" w:space="0" w:color="auto"/>
        <w:bottom w:val="none" w:sz="0" w:space="0" w:color="auto"/>
        <w:right w:val="none" w:sz="0" w:space="0" w:color="auto"/>
      </w:divBdr>
    </w:div>
    <w:div w:id="564612510">
      <w:marLeft w:val="0"/>
      <w:marRight w:val="0"/>
      <w:marTop w:val="0"/>
      <w:marBottom w:val="0"/>
      <w:divBdr>
        <w:top w:val="none" w:sz="0" w:space="0" w:color="auto"/>
        <w:left w:val="none" w:sz="0" w:space="0" w:color="auto"/>
        <w:bottom w:val="none" w:sz="0" w:space="0" w:color="auto"/>
        <w:right w:val="none" w:sz="0" w:space="0" w:color="auto"/>
      </w:divBdr>
    </w:div>
    <w:div w:id="565454487">
      <w:marLeft w:val="0"/>
      <w:marRight w:val="0"/>
      <w:marTop w:val="0"/>
      <w:marBottom w:val="180"/>
      <w:divBdr>
        <w:top w:val="none" w:sz="0" w:space="0" w:color="auto"/>
        <w:left w:val="none" w:sz="0" w:space="0" w:color="auto"/>
        <w:bottom w:val="none" w:sz="0" w:space="0" w:color="auto"/>
        <w:right w:val="none" w:sz="0" w:space="0" w:color="auto"/>
      </w:divBdr>
    </w:div>
    <w:div w:id="565726185">
      <w:marLeft w:val="0"/>
      <w:marRight w:val="0"/>
      <w:marTop w:val="0"/>
      <w:marBottom w:val="180"/>
      <w:divBdr>
        <w:top w:val="none" w:sz="0" w:space="0" w:color="auto"/>
        <w:left w:val="none" w:sz="0" w:space="0" w:color="auto"/>
        <w:bottom w:val="none" w:sz="0" w:space="0" w:color="auto"/>
        <w:right w:val="none" w:sz="0" w:space="0" w:color="auto"/>
      </w:divBdr>
    </w:div>
    <w:div w:id="565728949">
      <w:marLeft w:val="0"/>
      <w:marRight w:val="0"/>
      <w:marTop w:val="100"/>
      <w:marBottom w:val="0"/>
      <w:divBdr>
        <w:top w:val="none" w:sz="0" w:space="0" w:color="auto"/>
        <w:left w:val="none" w:sz="0" w:space="0" w:color="auto"/>
        <w:bottom w:val="none" w:sz="0" w:space="0" w:color="auto"/>
        <w:right w:val="none" w:sz="0" w:space="0" w:color="auto"/>
      </w:divBdr>
      <w:divsChild>
        <w:div w:id="955453362">
          <w:marLeft w:val="0"/>
          <w:marRight w:val="0"/>
          <w:marTop w:val="0"/>
          <w:marBottom w:val="0"/>
          <w:divBdr>
            <w:top w:val="none" w:sz="0" w:space="0" w:color="auto"/>
            <w:left w:val="none" w:sz="0" w:space="0" w:color="auto"/>
            <w:bottom w:val="none" w:sz="0" w:space="0" w:color="auto"/>
            <w:right w:val="none" w:sz="0" w:space="0" w:color="auto"/>
          </w:divBdr>
        </w:div>
      </w:divsChild>
    </w:div>
    <w:div w:id="566065112">
      <w:marLeft w:val="0"/>
      <w:marRight w:val="0"/>
      <w:marTop w:val="120"/>
      <w:marBottom w:val="120"/>
      <w:divBdr>
        <w:top w:val="none" w:sz="0" w:space="0" w:color="auto"/>
        <w:left w:val="none" w:sz="0" w:space="0" w:color="auto"/>
        <w:bottom w:val="none" w:sz="0" w:space="0" w:color="auto"/>
        <w:right w:val="none" w:sz="0" w:space="0" w:color="auto"/>
      </w:divBdr>
    </w:div>
    <w:div w:id="567108707">
      <w:marLeft w:val="0"/>
      <w:marRight w:val="0"/>
      <w:marTop w:val="0"/>
      <w:marBottom w:val="180"/>
      <w:divBdr>
        <w:top w:val="none" w:sz="0" w:space="0" w:color="auto"/>
        <w:left w:val="none" w:sz="0" w:space="0" w:color="auto"/>
        <w:bottom w:val="none" w:sz="0" w:space="0" w:color="auto"/>
        <w:right w:val="none" w:sz="0" w:space="0" w:color="auto"/>
      </w:divBdr>
    </w:div>
    <w:div w:id="567309092">
      <w:marLeft w:val="0"/>
      <w:marRight w:val="0"/>
      <w:marTop w:val="0"/>
      <w:marBottom w:val="180"/>
      <w:divBdr>
        <w:top w:val="none" w:sz="0" w:space="0" w:color="auto"/>
        <w:left w:val="none" w:sz="0" w:space="0" w:color="auto"/>
        <w:bottom w:val="none" w:sz="0" w:space="0" w:color="auto"/>
        <w:right w:val="none" w:sz="0" w:space="0" w:color="auto"/>
      </w:divBdr>
    </w:div>
    <w:div w:id="568266242">
      <w:marLeft w:val="0"/>
      <w:marRight w:val="0"/>
      <w:marTop w:val="0"/>
      <w:marBottom w:val="180"/>
      <w:divBdr>
        <w:top w:val="none" w:sz="0" w:space="0" w:color="auto"/>
        <w:left w:val="none" w:sz="0" w:space="0" w:color="auto"/>
        <w:bottom w:val="none" w:sz="0" w:space="0" w:color="auto"/>
        <w:right w:val="none" w:sz="0" w:space="0" w:color="auto"/>
      </w:divBdr>
    </w:div>
    <w:div w:id="568541960">
      <w:marLeft w:val="0"/>
      <w:marRight w:val="0"/>
      <w:marTop w:val="0"/>
      <w:marBottom w:val="0"/>
      <w:divBdr>
        <w:top w:val="none" w:sz="0" w:space="0" w:color="auto"/>
        <w:left w:val="none" w:sz="0" w:space="0" w:color="auto"/>
        <w:bottom w:val="none" w:sz="0" w:space="0" w:color="auto"/>
        <w:right w:val="none" w:sz="0" w:space="0" w:color="auto"/>
      </w:divBdr>
    </w:div>
    <w:div w:id="569270209">
      <w:marLeft w:val="0"/>
      <w:marRight w:val="0"/>
      <w:marTop w:val="0"/>
      <w:marBottom w:val="240"/>
      <w:divBdr>
        <w:top w:val="none" w:sz="0" w:space="0" w:color="auto"/>
        <w:left w:val="none" w:sz="0" w:space="0" w:color="auto"/>
        <w:bottom w:val="none" w:sz="0" w:space="0" w:color="auto"/>
        <w:right w:val="none" w:sz="0" w:space="0" w:color="auto"/>
      </w:divBdr>
    </w:div>
    <w:div w:id="569390435">
      <w:marLeft w:val="0"/>
      <w:marRight w:val="0"/>
      <w:marTop w:val="0"/>
      <w:marBottom w:val="240"/>
      <w:divBdr>
        <w:top w:val="none" w:sz="0" w:space="0" w:color="auto"/>
        <w:left w:val="none" w:sz="0" w:space="0" w:color="auto"/>
        <w:bottom w:val="none" w:sz="0" w:space="0" w:color="auto"/>
        <w:right w:val="none" w:sz="0" w:space="0" w:color="auto"/>
      </w:divBdr>
    </w:div>
    <w:div w:id="569728709">
      <w:marLeft w:val="0"/>
      <w:marRight w:val="0"/>
      <w:marTop w:val="0"/>
      <w:marBottom w:val="180"/>
      <w:divBdr>
        <w:top w:val="none" w:sz="0" w:space="0" w:color="auto"/>
        <w:left w:val="none" w:sz="0" w:space="0" w:color="auto"/>
        <w:bottom w:val="none" w:sz="0" w:space="0" w:color="auto"/>
        <w:right w:val="none" w:sz="0" w:space="0" w:color="auto"/>
      </w:divBdr>
    </w:div>
    <w:div w:id="569966671">
      <w:marLeft w:val="0"/>
      <w:marRight w:val="0"/>
      <w:marTop w:val="180"/>
      <w:marBottom w:val="180"/>
      <w:divBdr>
        <w:top w:val="none" w:sz="0" w:space="0" w:color="auto"/>
        <w:left w:val="none" w:sz="0" w:space="0" w:color="auto"/>
        <w:bottom w:val="none" w:sz="0" w:space="0" w:color="auto"/>
        <w:right w:val="none" w:sz="0" w:space="0" w:color="auto"/>
      </w:divBdr>
    </w:div>
    <w:div w:id="570236843">
      <w:marLeft w:val="0"/>
      <w:marRight w:val="0"/>
      <w:marTop w:val="0"/>
      <w:marBottom w:val="0"/>
      <w:divBdr>
        <w:top w:val="none" w:sz="0" w:space="0" w:color="auto"/>
        <w:left w:val="none" w:sz="0" w:space="0" w:color="auto"/>
        <w:bottom w:val="none" w:sz="0" w:space="0" w:color="auto"/>
        <w:right w:val="none" w:sz="0" w:space="0" w:color="auto"/>
      </w:divBdr>
      <w:divsChild>
        <w:div w:id="12808351">
          <w:marLeft w:val="0"/>
          <w:marRight w:val="0"/>
          <w:marTop w:val="0"/>
          <w:marBottom w:val="0"/>
          <w:divBdr>
            <w:top w:val="none" w:sz="0" w:space="0" w:color="auto"/>
            <w:left w:val="none" w:sz="0" w:space="0" w:color="auto"/>
            <w:bottom w:val="none" w:sz="0" w:space="0" w:color="auto"/>
            <w:right w:val="none" w:sz="0" w:space="0" w:color="auto"/>
          </w:divBdr>
        </w:div>
      </w:divsChild>
    </w:div>
    <w:div w:id="572816244">
      <w:marLeft w:val="0"/>
      <w:marRight w:val="0"/>
      <w:marTop w:val="0"/>
      <w:marBottom w:val="240"/>
      <w:divBdr>
        <w:top w:val="none" w:sz="0" w:space="0" w:color="auto"/>
        <w:left w:val="none" w:sz="0" w:space="0" w:color="auto"/>
        <w:bottom w:val="none" w:sz="0" w:space="0" w:color="auto"/>
        <w:right w:val="none" w:sz="0" w:space="0" w:color="auto"/>
      </w:divBdr>
    </w:div>
    <w:div w:id="574321664">
      <w:marLeft w:val="0"/>
      <w:marRight w:val="0"/>
      <w:marTop w:val="0"/>
      <w:marBottom w:val="0"/>
      <w:divBdr>
        <w:top w:val="none" w:sz="0" w:space="0" w:color="auto"/>
        <w:left w:val="none" w:sz="0" w:space="0" w:color="auto"/>
        <w:bottom w:val="none" w:sz="0" w:space="0" w:color="auto"/>
        <w:right w:val="none" w:sz="0" w:space="0" w:color="auto"/>
      </w:divBdr>
    </w:div>
    <w:div w:id="574509942">
      <w:marLeft w:val="0"/>
      <w:marRight w:val="0"/>
      <w:marTop w:val="0"/>
      <w:marBottom w:val="0"/>
      <w:divBdr>
        <w:top w:val="none" w:sz="0" w:space="0" w:color="auto"/>
        <w:left w:val="none" w:sz="0" w:space="0" w:color="auto"/>
        <w:bottom w:val="none" w:sz="0" w:space="0" w:color="auto"/>
        <w:right w:val="none" w:sz="0" w:space="0" w:color="auto"/>
      </w:divBdr>
    </w:div>
    <w:div w:id="574701548">
      <w:marLeft w:val="0"/>
      <w:marRight w:val="0"/>
      <w:marTop w:val="0"/>
      <w:marBottom w:val="180"/>
      <w:divBdr>
        <w:top w:val="none" w:sz="0" w:space="0" w:color="auto"/>
        <w:left w:val="none" w:sz="0" w:space="0" w:color="auto"/>
        <w:bottom w:val="none" w:sz="0" w:space="0" w:color="auto"/>
        <w:right w:val="none" w:sz="0" w:space="0" w:color="auto"/>
      </w:divBdr>
    </w:div>
    <w:div w:id="575171499">
      <w:marLeft w:val="0"/>
      <w:marRight w:val="0"/>
      <w:marTop w:val="0"/>
      <w:marBottom w:val="180"/>
      <w:divBdr>
        <w:top w:val="none" w:sz="0" w:space="0" w:color="auto"/>
        <w:left w:val="none" w:sz="0" w:space="0" w:color="auto"/>
        <w:bottom w:val="none" w:sz="0" w:space="0" w:color="auto"/>
        <w:right w:val="none" w:sz="0" w:space="0" w:color="auto"/>
      </w:divBdr>
    </w:div>
    <w:div w:id="575940183">
      <w:marLeft w:val="0"/>
      <w:marRight w:val="0"/>
      <w:marTop w:val="0"/>
      <w:marBottom w:val="0"/>
      <w:divBdr>
        <w:top w:val="none" w:sz="0" w:space="0" w:color="auto"/>
        <w:left w:val="none" w:sz="0" w:space="0" w:color="auto"/>
        <w:bottom w:val="none" w:sz="0" w:space="0" w:color="auto"/>
        <w:right w:val="none" w:sz="0" w:space="0" w:color="auto"/>
      </w:divBdr>
    </w:div>
    <w:div w:id="576012452">
      <w:marLeft w:val="0"/>
      <w:marRight w:val="0"/>
      <w:marTop w:val="0"/>
      <w:marBottom w:val="0"/>
      <w:divBdr>
        <w:top w:val="none" w:sz="0" w:space="0" w:color="auto"/>
        <w:left w:val="none" w:sz="0" w:space="0" w:color="auto"/>
        <w:bottom w:val="none" w:sz="0" w:space="0" w:color="auto"/>
        <w:right w:val="none" w:sz="0" w:space="0" w:color="auto"/>
      </w:divBdr>
    </w:div>
    <w:div w:id="576210103">
      <w:marLeft w:val="0"/>
      <w:marRight w:val="0"/>
      <w:marTop w:val="0"/>
      <w:marBottom w:val="180"/>
      <w:divBdr>
        <w:top w:val="none" w:sz="0" w:space="0" w:color="auto"/>
        <w:left w:val="none" w:sz="0" w:space="0" w:color="auto"/>
        <w:bottom w:val="none" w:sz="0" w:space="0" w:color="auto"/>
        <w:right w:val="none" w:sz="0" w:space="0" w:color="auto"/>
      </w:divBdr>
    </w:div>
    <w:div w:id="576212593">
      <w:marLeft w:val="0"/>
      <w:marRight w:val="0"/>
      <w:marTop w:val="100"/>
      <w:marBottom w:val="0"/>
      <w:divBdr>
        <w:top w:val="none" w:sz="0" w:space="0" w:color="auto"/>
        <w:left w:val="none" w:sz="0" w:space="0" w:color="auto"/>
        <w:bottom w:val="none" w:sz="0" w:space="0" w:color="auto"/>
        <w:right w:val="none" w:sz="0" w:space="0" w:color="auto"/>
      </w:divBdr>
      <w:divsChild>
        <w:div w:id="906648066">
          <w:marLeft w:val="0"/>
          <w:marRight w:val="0"/>
          <w:marTop w:val="0"/>
          <w:marBottom w:val="0"/>
          <w:divBdr>
            <w:top w:val="none" w:sz="0" w:space="0" w:color="auto"/>
            <w:left w:val="none" w:sz="0" w:space="0" w:color="auto"/>
            <w:bottom w:val="none" w:sz="0" w:space="0" w:color="auto"/>
            <w:right w:val="none" w:sz="0" w:space="0" w:color="auto"/>
          </w:divBdr>
        </w:div>
      </w:divsChild>
    </w:div>
    <w:div w:id="576475657">
      <w:marLeft w:val="0"/>
      <w:marRight w:val="0"/>
      <w:marTop w:val="180"/>
      <w:marBottom w:val="180"/>
      <w:divBdr>
        <w:top w:val="none" w:sz="0" w:space="0" w:color="auto"/>
        <w:left w:val="none" w:sz="0" w:space="0" w:color="auto"/>
        <w:bottom w:val="none" w:sz="0" w:space="0" w:color="auto"/>
        <w:right w:val="none" w:sz="0" w:space="0" w:color="auto"/>
      </w:divBdr>
    </w:div>
    <w:div w:id="577178455">
      <w:marLeft w:val="0"/>
      <w:marRight w:val="0"/>
      <w:marTop w:val="0"/>
      <w:marBottom w:val="240"/>
      <w:divBdr>
        <w:top w:val="none" w:sz="0" w:space="0" w:color="auto"/>
        <w:left w:val="none" w:sz="0" w:space="0" w:color="auto"/>
        <w:bottom w:val="none" w:sz="0" w:space="0" w:color="auto"/>
        <w:right w:val="none" w:sz="0" w:space="0" w:color="auto"/>
      </w:divBdr>
    </w:div>
    <w:div w:id="577254563">
      <w:marLeft w:val="0"/>
      <w:marRight w:val="0"/>
      <w:marTop w:val="180"/>
      <w:marBottom w:val="180"/>
      <w:divBdr>
        <w:top w:val="none" w:sz="0" w:space="0" w:color="auto"/>
        <w:left w:val="none" w:sz="0" w:space="0" w:color="auto"/>
        <w:bottom w:val="none" w:sz="0" w:space="0" w:color="auto"/>
        <w:right w:val="none" w:sz="0" w:space="0" w:color="auto"/>
      </w:divBdr>
    </w:div>
    <w:div w:id="577327120">
      <w:marLeft w:val="0"/>
      <w:marRight w:val="0"/>
      <w:marTop w:val="0"/>
      <w:marBottom w:val="180"/>
      <w:divBdr>
        <w:top w:val="none" w:sz="0" w:space="0" w:color="auto"/>
        <w:left w:val="none" w:sz="0" w:space="0" w:color="auto"/>
        <w:bottom w:val="none" w:sz="0" w:space="0" w:color="auto"/>
        <w:right w:val="none" w:sz="0" w:space="0" w:color="auto"/>
      </w:divBdr>
    </w:div>
    <w:div w:id="577861687">
      <w:marLeft w:val="0"/>
      <w:marRight w:val="0"/>
      <w:marTop w:val="0"/>
      <w:marBottom w:val="180"/>
      <w:divBdr>
        <w:top w:val="none" w:sz="0" w:space="0" w:color="auto"/>
        <w:left w:val="none" w:sz="0" w:space="0" w:color="auto"/>
        <w:bottom w:val="none" w:sz="0" w:space="0" w:color="auto"/>
        <w:right w:val="none" w:sz="0" w:space="0" w:color="auto"/>
      </w:divBdr>
    </w:div>
    <w:div w:id="578758840">
      <w:marLeft w:val="0"/>
      <w:marRight w:val="0"/>
      <w:marTop w:val="0"/>
      <w:marBottom w:val="180"/>
      <w:divBdr>
        <w:top w:val="none" w:sz="0" w:space="0" w:color="auto"/>
        <w:left w:val="none" w:sz="0" w:space="0" w:color="auto"/>
        <w:bottom w:val="none" w:sz="0" w:space="0" w:color="auto"/>
        <w:right w:val="none" w:sz="0" w:space="0" w:color="auto"/>
      </w:divBdr>
    </w:div>
    <w:div w:id="579487636">
      <w:marLeft w:val="0"/>
      <w:marRight w:val="0"/>
      <w:marTop w:val="120"/>
      <w:marBottom w:val="240"/>
      <w:divBdr>
        <w:top w:val="none" w:sz="0" w:space="0" w:color="auto"/>
        <w:left w:val="none" w:sz="0" w:space="0" w:color="auto"/>
        <w:bottom w:val="none" w:sz="0" w:space="0" w:color="auto"/>
        <w:right w:val="none" w:sz="0" w:space="0" w:color="auto"/>
      </w:divBdr>
    </w:div>
    <w:div w:id="579750297">
      <w:marLeft w:val="0"/>
      <w:marRight w:val="0"/>
      <w:marTop w:val="0"/>
      <w:marBottom w:val="240"/>
      <w:divBdr>
        <w:top w:val="none" w:sz="0" w:space="0" w:color="auto"/>
        <w:left w:val="none" w:sz="0" w:space="0" w:color="auto"/>
        <w:bottom w:val="none" w:sz="0" w:space="0" w:color="auto"/>
        <w:right w:val="none" w:sz="0" w:space="0" w:color="auto"/>
      </w:divBdr>
    </w:div>
    <w:div w:id="580069374">
      <w:marLeft w:val="0"/>
      <w:marRight w:val="0"/>
      <w:marTop w:val="0"/>
      <w:marBottom w:val="180"/>
      <w:divBdr>
        <w:top w:val="none" w:sz="0" w:space="0" w:color="auto"/>
        <w:left w:val="none" w:sz="0" w:space="0" w:color="auto"/>
        <w:bottom w:val="none" w:sz="0" w:space="0" w:color="auto"/>
        <w:right w:val="none" w:sz="0" w:space="0" w:color="auto"/>
      </w:divBdr>
    </w:div>
    <w:div w:id="580792508">
      <w:marLeft w:val="0"/>
      <w:marRight w:val="0"/>
      <w:marTop w:val="0"/>
      <w:marBottom w:val="180"/>
      <w:divBdr>
        <w:top w:val="none" w:sz="0" w:space="0" w:color="auto"/>
        <w:left w:val="none" w:sz="0" w:space="0" w:color="auto"/>
        <w:bottom w:val="none" w:sz="0" w:space="0" w:color="auto"/>
        <w:right w:val="none" w:sz="0" w:space="0" w:color="auto"/>
      </w:divBdr>
    </w:div>
    <w:div w:id="581067980">
      <w:marLeft w:val="0"/>
      <w:marRight w:val="0"/>
      <w:marTop w:val="180"/>
      <w:marBottom w:val="180"/>
      <w:divBdr>
        <w:top w:val="none" w:sz="0" w:space="0" w:color="auto"/>
        <w:left w:val="none" w:sz="0" w:space="0" w:color="auto"/>
        <w:bottom w:val="none" w:sz="0" w:space="0" w:color="auto"/>
        <w:right w:val="none" w:sz="0" w:space="0" w:color="auto"/>
      </w:divBdr>
    </w:div>
    <w:div w:id="582950863">
      <w:marLeft w:val="0"/>
      <w:marRight w:val="0"/>
      <w:marTop w:val="0"/>
      <w:marBottom w:val="240"/>
      <w:divBdr>
        <w:top w:val="none" w:sz="0" w:space="0" w:color="auto"/>
        <w:left w:val="none" w:sz="0" w:space="0" w:color="auto"/>
        <w:bottom w:val="none" w:sz="0" w:space="0" w:color="auto"/>
        <w:right w:val="none" w:sz="0" w:space="0" w:color="auto"/>
      </w:divBdr>
    </w:div>
    <w:div w:id="583420591">
      <w:marLeft w:val="0"/>
      <w:marRight w:val="0"/>
      <w:marTop w:val="0"/>
      <w:marBottom w:val="0"/>
      <w:divBdr>
        <w:top w:val="none" w:sz="0" w:space="0" w:color="auto"/>
        <w:left w:val="none" w:sz="0" w:space="0" w:color="auto"/>
        <w:bottom w:val="none" w:sz="0" w:space="0" w:color="auto"/>
        <w:right w:val="none" w:sz="0" w:space="0" w:color="auto"/>
      </w:divBdr>
      <w:divsChild>
        <w:div w:id="2130737385">
          <w:marLeft w:val="0"/>
          <w:marRight w:val="0"/>
          <w:marTop w:val="0"/>
          <w:marBottom w:val="0"/>
          <w:divBdr>
            <w:top w:val="none" w:sz="0" w:space="0" w:color="auto"/>
            <w:left w:val="none" w:sz="0" w:space="0" w:color="auto"/>
            <w:bottom w:val="none" w:sz="0" w:space="0" w:color="auto"/>
            <w:right w:val="none" w:sz="0" w:space="0" w:color="auto"/>
          </w:divBdr>
        </w:div>
      </w:divsChild>
    </w:div>
    <w:div w:id="584463025">
      <w:marLeft w:val="0"/>
      <w:marRight w:val="0"/>
      <w:marTop w:val="0"/>
      <w:marBottom w:val="0"/>
      <w:divBdr>
        <w:top w:val="none" w:sz="0" w:space="0" w:color="auto"/>
        <w:left w:val="none" w:sz="0" w:space="0" w:color="auto"/>
        <w:bottom w:val="none" w:sz="0" w:space="0" w:color="auto"/>
        <w:right w:val="none" w:sz="0" w:space="0" w:color="auto"/>
      </w:divBdr>
    </w:div>
    <w:div w:id="585190196">
      <w:marLeft w:val="0"/>
      <w:marRight w:val="0"/>
      <w:marTop w:val="0"/>
      <w:marBottom w:val="240"/>
      <w:divBdr>
        <w:top w:val="none" w:sz="0" w:space="0" w:color="auto"/>
        <w:left w:val="none" w:sz="0" w:space="0" w:color="auto"/>
        <w:bottom w:val="none" w:sz="0" w:space="0" w:color="auto"/>
        <w:right w:val="none" w:sz="0" w:space="0" w:color="auto"/>
      </w:divBdr>
    </w:div>
    <w:div w:id="588468757">
      <w:marLeft w:val="0"/>
      <w:marRight w:val="0"/>
      <w:marTop w:val="0"/>
      <w:marBottom w:val="240"/>
      <w:divBdr>
        <w:top w:val="none" w:sz="0" w:space="0" w:color="auto"/>
        <w:left w:val="none" w:sz="0" w:space="0" w:color="auto"/>
        <w:bottom w:val="none" w:sz="0" w:space="0" w:color="auto"/>
        <w:right w:val="none" w:sz="0" w:space="0" w:color="auto"/>
      </w:divBdr>
    </w:div>
    <w:div w:id="589004592">
      <w:marLeft w:val="0"/>
      <w:marRight w:val="0"/>
      <w:marTop w:val="0"/>
      <w:marBottom w:val="0"/>
      <w:divBdr>
        <w:top w:val="none" w:sz="0" w:space="0" w:color="auto"/>
        <w:left w:val="none" w:sz="0" w:space="0" w:color="auto"/>
        <w:bottom w:val="none" w:sz="0" w:space="0" w:color="auto"/>
        <w:right w:val="none" w:sz="0" w:space="0" w:color="auto"/>
      </w:divBdr>
      <w:divsChild>
        <w:div w:id="1407453692">
          <w:marLeft w:val="0"/>
          <w:marRight w:val="0"/>
          <w:marTop w:val="0"/>
          <w:marBottom w:val="0"/>
          <w:divBdr>
            <w:top w:val="none" w:sz="0" w:space="0" w:color="auto"/>
            <w:left w:val="none" w:sz="0" w:space="0" w:color="auto"/>
            <w:bottom w:val="none" w:sz="0" w:space="0" w:color="auto"/>
            <w:right w:val="none" w:sz="0" w:space="0" w:color="auto"/>
          </w:divBdr>
        </w:div>
      </w:divsChild>
    </w:div>
    <w:div w:id="589192899">
      <w:marLeft w:val="0"/>
      <w:marRight w:val="0"/>
      <w:marTop w:val="0"/>
      <w:marBottom w:val="180"/>
      <w:divBdr>
        <w:top w:val="none" w:sz="0" w:space="0" w:color="auto"/>
        <w:left w:val="none" w:sz="0" w:space="0" w:color="auto"/>
        <w:bottom w:val="none" w:sz="0" w:space="0" w:color="auto"/>
        <w:right w:val="none" w:sz="0" w:space="0" w:color="auto"/>
      </w:divBdr>
    </w:div>
    <w:div w:id="589236618">
      <w:marLeft w:val="0"/>
      <w:marRight w:val="0"/>
      <w:marTop w:val="0"/>
      <w:marBottom w:val="240"/>
      <w:divBdr>
        <w:top w:val="none" w:sz="0" w:space="0" w:color="auto"/>
        <w:left w:val="none" w:sz="0" w:space="0" w:color="auto"/>
        <w:bottom w:val="none" w:sz="0" w:space="0" w:color="auto"/>
        <w:right w:val="none" w:sz="0" w:space="0" w:color="auto"/>
      </w:divBdr>
    </w:div>
    <w:div w:id="589238253">
      <w:marLeft w:val="0"/>
      <w:marRight w:val="0"/>
      <w:marTop w:val="0"/>
      <w:marBottom w:val="240"/>
      <w:divBdr>
        <w:top w:val="none" w:sz="0" w:space="0" w:color="auto"/>
        <w:left w:val="none" w:sz="0" w:space="0" w:color="auto"/>
        <w:bottom w:val="none" w:sz="0" w:space="0" w:color="auto"/>
        <w:right w:val="none" w:sz="0" w:space="0" w:color="auto"/>
      </w:divBdr>
    </w:div>
    <w:div w:id="589240266">
      <w:marLeft w:val="0"/>
      <w:marRight w:val="0"/>
      <w:marTop w:val="0"/>
      <w:marBottom w:val="0"/>
      <w:divBdr>
        <w:top w:val="none" w:sz="0" w:space="0" w:color="auto"/>
        <w:left w:val="none" w:sz="0" w:space="0" w:color="auto"/>
        <w:bottom w:val="none" w:sz="0" w:space="0" w:color="auto"/>
        <w:right w:val="none" w:sz="0" w:space="0" w:color="auto"/>
      </w:divBdr>
    </w:div>
    <w:div w:id="589315211">
      <w:marLeft w:val="0"/>
      <w:marRight w:val="0"/>
      <w:marTop w:val="0"/>
      <w:marBottom w:val="240"/>
      <w:divBdr>
        <w:top w:val="none" w:sz="0" w:space="0" w:color="auto"/>
        <w:left w:val="none" w:sz="0" w:space="0" w:color="auto"/>
        <w:bottom w:val="none" w:sz="0" w:space="0" w:color="auto"/>
        <w:right w:val="none" w:sz="0" w:space="0" w:color="auto"/>
      </w:divBdr>
    </w:div>
    <w:div w:id="589629394">
      <w:marLeft w:val="0"/>
      <w:marRight w:val="0"/>
      <w:marTop w:val="0"/>
      <w:marBottom w:val="0"/>
      <w:divBdr>
        <w:top w:val="none" w:sz="0" w:space="0" w:color="auto"/>
        <w:left w:val="none" w:sz="0" w:space="0" w:color="auto"/>
        <w:bottom w:val="none" w:sz="0" w:space="0" w:color="auto"/>
        <w:right w:val="none" w:sz="0" w:space="0" w:color="auto"/>
      </w:divBdr>
    </w:div>
    <w:div w:id="589655239">
      <w:marLeft w:val="0"/>
      <w:marRight w:val="0"/>
      <w:marTop w:val="0"/>
      <w:marBottom w:val="240"/>
      <w:divBdr>
        <w:top w:val="none" w:sz="0" w:space="0" w:color="auto"/>
        <w:left w:val="none" w:sz="0" w:space="0" w:color="auto"/>
        <w:bottom w:val="none" w:sz="0" w:space="0" w:color="auto"/>
        <w:right w:val="none" w:sz="0" w:space="0" w:color="auto"/>
      </w:divBdr>
    </w:div>
    <w:div w:id="591008632">
      <w:marLeft w:val="0"/>
      <w:marRight w:val="0"/>
      <w:marTop w:val="180"/>
      <w:marBottom w:val="180"/>
      <w:divBdr>
        <w:top w:val="none" w:sz="0" w:space="0" w:color="auto"/>
        <w:left w:val="none" w:sz="0" w:space="0" w:color="auto"/>
        <w:bottom w:val="none" w:sz="0" w:space="0" w:color="auto"/>
        <w:right w:val="none" w:sz="0" w:space="0" w:color="auto"/>
      </w:divBdr>
    </w:div>
    <w:div w:id="593779261">
      <w:marLeft w:val="0"/>
      <w:marRight w:val="0"/>
      <w:marTop w:val="0"/>
      <w:marBottom w:val="240"/>
      <w:divBdr>
        <w:top w:val="none" w:sz="0" w:space="0" w:color="auto"/>
        <w:left w:val="none" w:sz="0" w:space="0" w:color="auto"/>
        <w:bottom w:val="none" w:sz="0" w:space="0" w:color="auto"/>
        <w:right w:val="none" w:sz="0" w:space="0" w:color="auto"/>
      </w:divBdr>
    </w:div>
    <w:div w:id="594435053">
      <w:marLeft w:val="0"/>
      <w:marRight w:val="0"/>
      <w:marTop w:val="0"/>
      <w:marBottom w:val="0"/>
      <w:divBdr>
        <w:top w:val="none" w:sz="0" w:space="0" w:color="auto"/>
        <w:left w:val="none" w:sz="0" w:space="0" w:color="auto"/>
        <w:bottom w:val="none" w:sz="0" w:space="0" w:color="auto"/>
        <w:right w:val="none" w:sz="0" w:space="0" w:color="auto"/>
      </w:divBdr>
    </w:div>
    <w:div w:id="595409148">
      <w:marLeft w:val="0"/>
      <w:marRight w:val="0"/>
      <w:marTop w:val="180"/>
      <w:marBottom w:val="180"/>
      <w:divBdr>
        <w:top w:val="none" w:sz="0" w:space="0" w:color="auto"/>
        <w:left w:val="none" w:sz="0" w:space="0" w:color="auto"/>
        <w:bottom w:val="none" w:sz="0" w:space="0" w:color="auto"/>
        <w:right w:val="none" w:sz="0" w:space="0" w:color="auto"/>
      </w:divBdr>
    </w:div>
    <w:div w:id="595477486">
      <w:marLeft w:val="0"/>
      <w:marRight w:val="0"/>
      <w:marTop w:val="0"/>
      <w:marBottom w:val="240"/>
      <w:divBdr>
        <w:top w:val="none" w:sz="0" w:space="0" w:color="auto"/>
        <w:left w:val="none" w:sz="0" w:space="0" w:color="auto"/>
        <w:bottom w:val="none" w:sz="0" w:space="0" w:color="auto"/>
        <w:right w:val="none" w:sz="0" w:space="0" w:color="auto"/>
      </w:divBdr>
    </w:div>
    <w:div w:id="597183039">
      <w:marLeft w:val="0"/>
      <w:marRight w:val="0"/>
      <w:marTop w:val="0"/>
      <w:marBottom w:val="180"/>
      <w:divBdr>
        <w:top w:val="none" w:sz="0" w:space="0" w:color="auto"/>
        <w:left w:val="none" w:sz="0" w:space="0" w:color="auto"/>
        <w:bottom w:val="none" w:sz="0" w:space="0" w:color="auto"/>
        <w:right w:val="none" w:sz="0" w:space="0" w:color="auto"/>
      </w:divBdr>
    </w:div>
    <w:div w:id="598292069">
      <w:marLeft w:val="0"/>
      <w:marRight w:val="0"/>
      <w:marTop w:val="120"/>
      <w:marBottom w:val="180"/>
      <w:divBdr>
        <w:top w:val="none" w:sz="0" w:space="0" w:color="auto"/>
        <w:left w:val="none" w:sz="0" w:space="0" w:color="auto"/>
        <w:bottom w:val="none" w:sz="0" w:space="0" w:color="auto"/>
        <w:right w:val="none" w:sz="0" w:space="0" w:color="auto"/>
      </w:divBdr>
    </w:div>
    <w:div w:id="598756468">
      <w:marLeft w:val="0"/>
      <w:marRight w:val="0"/>
      <w:marTop w:val="100"/>
      <w:marBottom w:val="0"/>
      <w:divBdr>
        <w:top w:val="none" w:sz="0" w:space="0" w:color="auto"/>
        <w:left w:val="none" w:sz="0" w:space="0" w:color="auto"/>
        <w:bottom w:val="none" w:sz="0" w:space="0" w:color="auto"/>
        <w:right w:val="none" w:sz="0" w:space="0" w:color="auto"/>
      </w:divBdr>
    </w:div>
    <w:div w:id="598876922">
      <w:marLeft w:val="0"/>
      <w:marRight w:val="0"/>
      <w:marTop w:val="0"/>
      <w:marBottom w:val="0"/>
      <w:divBdr>
        <w:top w:val="none" w:sz="0" w:space="0" w:color="auto"/>
        <w:left w:val="none" w:sz="0" w:space="0" w:color="auto"/>
        <w:bottom w:val="none" w:sz="0" w:space="0" w:color="auto"/>
        <w:right w:val="none" w:sz="0" w:space="0" w:color="auto"/>
      </w:divBdr>
    </w:div>
    <w:div w:id="599217796">
      <w:marLeft w:val="0"/>
      <w:marRight w:val="0"/>
      <w:marTop w:val="0"/>
      <w:marBottom w:val="180"/>
      <w:divBdr>
        <w:top w:val="none" w:sz="0" w:space="0" w:color="auto"/>
        <w:left w:val="none" w:sz="0" w:space="0" w:color="auto"/>
        <w:bottom w:val="none" w:sz="0" w:space="0" w:color="auto"/>
        <w:right w:val="none" w:sz="0" w:space="0" w:color="auto"/>
      </w:divBdr>
    </w:div>
    <w:div w:id="599803949">
      <w:marLeft w:val="0"/>
      <w:marRight w:val="0"/>
      <w:marTop w:val="180"/>
      <w:marBottom w:val="180"/>
      <w:divBdr>
        <w:top w:val="none" w:sz="0" w:space="0" w:color="auto"/>
        <w:left w:val="none" w:sz="0" w:space="0" w:color="auto"/>
        <w:bottom w:val="none" w:sz="0" w:space="0" w:color="auto"/>
        <w:right w:val="none" w:sz="0" w:space="0" w:color="auto"/>
      </w:divBdr>
    </w:div>
    <w:div w:id="600647047">
      <w:marLeft w:val="0"/>
      <w:marRight w:val="0"/>
      <w:marTop w:val="0"/>
      <w:marBottom w:val="0"/>
      <w:divBdr>
        <w:top w:val="none" w:sz="0" w:space="0" w:color="auto"/>
        <w:left w:val="none" w:sz="0" w:space="0" w:color="auto"/>
        <w:bottom w:val="none" w:sz="0" w:space="0" w:color="auto"/>
        <w:right w:val="none" w:sz="0" w:space="0" w:color="auto"/>
      </w:divBdr>
    </w:div>
    <w:div w:id="601230101">
      <w:marLeft w:val="0"/>
      <w:marRight w:val="0"/>
      <w:marTop w:val="0"/>
      <w:marBottom w:val="180"/>
      <w:divBdr>
        <w:top w:val="none" w:sz="0" w:space="0" w:color="auto"/>
        <w:left w:val="none" w:sz="0" w:space="0" w:color="auto"/>
        <w:bottom w:val="none" w:sz="0" w:space="0" w:color="auto"/>
        <w:right w:val="none" w:sz="0" w:space="0" w:color="auto"/>
      </w:divBdr>
    </w:div>
    <w:div w:id="602346654">
      <w:marLeft w:val="0"/>
      <w:marRight w:val="0"/>
      <w:marTop w:val="0"/>
      <w:marBottom w:val="240"/>
      <w:divBdr>
        <w:top w:val="none" w:sz="0" w:space="0" w:color="auto"/>
        <w:left w:val="none" w:sz="0" w:space="0" w:color="auto"/>
        <w:bottom w:val="none" w:sz="0" w:space="0" w:color="auto"/>
        <w:right w:val="none" w:sz="0" w:space="0" w:color="auto"/>
      </w:divBdr>
    </w:div>
    <w:div w:id="603461810">
      <w:marLeft w:val="0"/>
      <w:marRight w:val="0"/>
      <w:marTop w:val="0"/>
      <w:marBottom w:val="0"/>
      <w:divBdr>
        <w:top w:val="none" w:sz="0" w:space="0" w:color="auto"/>
        <w:left w:val="none" w:sz="0" w:space="0" w:color="auto"/>
        <w:bottom w:val="none" w:sz="0" w:space="0" w:color="auto"/>
        <w:right w:val="none" w:sz="0" w:space="0" w:color="auto"/>
      </w:divBdr>
      <w:divsChild>
        <w:div w:id="761611660">
          <w:marLeft w:val="0"/>
          <w:marRight w:val="0"/>
          <w:marTop w:val="0"/>
          <w:marBottom w:val="0"/>
          <w:divBdr>
            <w:top w:val="none" w:sz="0" w:space="0" w:color="auto"/>
            <w:left w:val="none" w:sz="0" w:space="0" w:color="auto"/>
            <w:bottom w:val="none" w:sz="0" w:space="0" w:color="auto"/>
            <w:right w:val="none" w:sz="0" w:space="0" w:color="auto"/>
          </w:divBdr>
        </w:div>
      </w:divsChild>
    </w:div>
    <w:div w:id="603538665">
      <w:marLeft w:val="0"/>
      <w:marRight w:val="0"/>
      <w:marTop w:val="0"/>
      <w:marBottom w:val="240"/>
      <w:divBdr>
        <w:top w:val="none" w:sz="0" w:space="0" w:color="auto"/>
        <w:left w:val="none" w:sz="0" w:space="0" w:color="auto"/>
        <w:bottom w:val="none" w:sz="0" w:space="0" w:color="auto"/>
        <w:right w:val="none" w:sz="0" w:space="0" w:color="auto"/>
      </w:divBdr>
    </w:div>
    <w:div w:id="604003378">
      <w:marLeft w:val="0"/>
      <w:marRight w:val="0"/>
      <w:marTop w:val="100"/>
      <w:marBottom w:val="0"/>
      <w:divBdr>
        <w:top w:val="none" w:sz="0" w:space="0" w:color="auto"/>
        <w:left w:val="none" w:sz="0" w:space="0" w:color="auto"/>
        <w:bottom w:val="none" w:sz="0" w:space="0" w:color="auto"/>
        <w:right w:val="none" w:sz="0" w:space="0" w:color="auto"/>
      </w:divBdr>
    </w:div>
    <w:div w:id="605625008">
      <w:marLeft w:val="0"/>
      <w:marRight w:val="0"/>
      <w:marTop w:val="0"/>
      <w:marBottom w:val="0"/>
      <w:divBdr>
        <w:top w:val="none" w:sz="0" w:space="0" w:color="auto"/>
        <w:left w:val="none" w:sz="0" w:space="0" w:color="auto"/>
        <w:bottom w:val="none" w:sz="0" w:space="0" w:color="auto"/>
        <w:right w:val="none" w:sz="0" w:space="0" w:color="auto"/>
      </w:divBdr>
    </w:div>
    <w:div w:id="606817181">
      <w:marLeft w:val="0"/>
      <w:marRight w:val="0"/>
      <w:marTop w:val="0"/>
      <w:marBottom w:val="0"/>
      <w:divBdr>
        <w:top w:val="none" w:sz="0" w:space="0" w:color="auto"/>
        <w:left w:val="none" w:sz="0" w:space="0" w:color="auto"/>
        <w:bottom w:val="none" w:sz="0" w:space="0" w:color="auto"/>
        <w:right w:val="none" w:sz="0" w:space="0" w:color="auto"/>
      </w:divBdr>
    </w:div>
    <w:div w:id="607391374">
      <w:marLeft w:val="0"/>
      <w:marRight w:val="0"/>
      <w:marTop w:val="120"/>
      <w:marBottom w:val="120"/>
      <w:divBdr>
        <w:top w:val="none" w:sz="0" w:space="0" w:color="auto"/>
        <w:left w:val="none" w:sz="0" w:space="0" w:color="auto"/>
        <w:bottom w:val="none" w:sz="0" w:space="0" w:color="auto"/>
        <w:right w:val="none" w:sz="0" w:space="0" w:color="auto"/>
      </w:divBdr>
    </w:div>
    <w:div w:id="607742364">
      <w:marLeft w:val="0"/>
      <w:marRight w:val="0"/>
      <w:marTop w:val="100"/>
      <w:marBottom w:val="0"/>
      <w:divBdr>
        <w:top w:val="none" w:sz="0" w:space="0" w:color="auto"/>
        <w:left w:val="none" w:sz="0" w:space="0" w:color="auto"/>
        <w:bottom w:val="none" w:sz="0" w:space="0" w:color="auto"/>
        <w:right w:val="none" w:sz="0" w:space="0" w:color="auto"/>
      </w:divBdr>
    </w:div>
    <w:div w:id="607929485">
      <w:marLeft w:val="0"/>
      <w:marRight w:val="0"/>
      <w:marTop w:val="0"/>
      <w:marBottom w:val="0"/>
      <w:divBdr>
        <w:top w:val="none" w:sz="0" w:space="0" w:color="auto"/>
        <w:left w:val="none" w:sz="0" w:space="0" w:color="auto"/>
        <w:bottom w:val="none" w:sz="0" w:space="0" w:color="auto"/>
        <w:right w:val="none" w:sz="0" w:space="0" w:color="auto"/>
      </w:divBdr>
    </w:div>
    <w:div w:id="608466290">
      <w:marLeft w:val="0"/>
      <w:marRight w:val="0"/>
      <w:marTop w:val="0"/>
      <w:marBottom w:val="240"/>
      <w:divBdr>
        <w:top w:val="none" w:sz="0" w:space="0" w:color="auto"/>
        <w:left w:val="none" w:sz="0" w:space="0" w:color="auto"/>
        <w:bottom w:val="none" w:sz="0" w:space="0" w:color="auto"/>
        <w:right w:val="none" w:sz="0" w:space="0" w:color="auto"/>
      </w:divBdr>
    </w:div>
    <w:div w:id="608703740">
      <w:marLeft w:val="0"/>
      <w:marRight w:val="0"/>
      <w:marTop w:val="0"/>
      <w:marBottom w:val="0"/>
      <w:divBdr>
        <w:top w:val="none" w:sz="0" w:space="0" w:color="auto"/>
        <w:left w:val="none" w:sz="0" w:space="0" w:color="auto"/>
        <w:bottom w:val="none" w:sz="0" w:space="0" w:color="auto"/>
        <w:right w:val="none" w:sz="0" w:space="0" w:color="auto"/>
      </w:divBdr>
      <w:divsChild>
        <w:div w:id="1103846761">
          <w:marLeft w:val="0"/>
          <w:marRight w:val="0"/>
          <w:marTop w:val="0"/>
          <w:marBottom w:val="0"/>
          <w:divBdr>
            <w:top w:val="none" w:sz="0" w:space="0" w:color="auto"/>
            <w:left w:val="none" w:sz="0" w:space="0" w:color="auto"/>
            <w:bottom w:val="none" w:sz="0" w:space="0" w:color="auto"/>
            <w:right w:val="none" w:sz="0" w:space="0" w:color="auto"/>
          </w:divBdr>
        </w:div>
      </w:divsChild>
    </w:div>
    <w:div w:id="609121875">
      <w:marLeft w:val="0"/>
      <w:marRight w:val="0"/>
      <w:marTop w:val="0"/>
      <w:marBottom w:val="0"/>
      <w:divBdr>
        <w:top w:val="none" w:sz="0" w:space="0" w:color="auto"/>
        <w:left w:val="none" w:sz="0" w:space="0" w:color="auto"/>
        <w:bottom w:val="none" w:sz="0" w:space="0" w:color="auto"/>
        <w:right w:val="none" w:sz="0" w:space="0" w:color="auto"/>
      </w:divBdr>
      <w:divsChild>
        <w:div w:id="367994463">
          <w:marLeft w:val="0"/>
          <w:marRight w:val="0"/>
          <w:marTop w:val="0"/>
          <w:marBottom w:val="0"/>
          <w:divBdr>
            <w:top w:val="none" w:sz="0" w:space="0" w:color="auto"/>
            <w:left w:val="none" w:sz="0" w:space="0" w:color="auto"/>
            <w:bottom w:val="none" w:sz="0" w:space="0" w:color="auto"/>
            <w:right w:val="none" w:sz="0" w:space="0" w:color="auto"/>
          </w:divBdr>
        </w:div>
      </w:divsChild>
    </w:div>
    <w:div w:id="609161780">
      <w:marLeft w:val="0"/>
      <w:marRight w:val="0"/>
      <w:marTop w:val="0"/>
      <w:marBottom w:val="0"/>
      <w:divBdr>
        <w:top w:val="none" w:sz="0" w:space="0" w:color="auto"/>
        <w:left w:val="none" w:sz="0" w:space="0" w:color="auto"/>
        <w:bottom w:val="none" w:sz="0" w:space="0" w:color="auto"/>
        <w:right w:val="none" w:sz="0" w:space="0" w:color="auto"/>
      </w:divBdr>
    </w:div>
    <w:div w:id="609629116">
      <w:marLeft w:val="0"/>
      <w:marRight w:val="0"/>
      <w:marTop w:val="0"/>
      <w:marBottom w:val="0"/>
      <w:divBdr>
        <w:top w:val="none" w:sz="0" w:space="0" w:color="auto"/>
        <w:left w:val="none" w:sz="0" w:space="0" w:color="auto"/>
        <w:bottom w:val="none" w:sz="0" w:space="0" w:color="auto"/>
        <w:right w:val="none" w:sz="0" w:space="0" w:color="auto"/>
      </w:divBdr>
      <w:divsChild>
        <w:div w:id="1279989616">
          <w:marLeft w:val="0"/>
          <w:marRight w:val="0"/>
          <w:marTop w:val="0"/>
          <w:marBottom w:val="0"/>
          <w:divBdr>
            <w:top w:val="none" w:sz="0" w:space="0" w:color="auto"/>
            <w:left w:val="none" w:sz="0" w:space="0" w:color="auto"/>
            <w:bottom w:val="none" w:sz="0" w:space="0" w:color="auto"/>
            <w:right w:val="none" w:sz="0" w:space="0" w:color="auto"/>
          </w:divBdr>
        </w:div>
      </w:divsChild>
    </w:div>
    <w:div w:id="609824638">
      <w:marLeft w:val="0"/>
      <w:marRight w:val="0"/>
      <w:marTop w:val="0"/>
      <w:marBottom w:val="0"/>
      <w:divBdr>
        <w:top w:val="none" w:sz="0" w:space="0" w:color="auto"/>
        <w:left w:val="none" w:sz="0" w:space="0" w:color="auto"/>
        <w:bottom w:val="none" w:sz="0" w:space="0" w:color="auto"/>
        <w:right w:val="none" w:sz="0" w:space="0" w:color="auto"/>
      </w:divBdr>
    </w:div>
    <w:div w:id="611786827">
      <w:marLeft w:val="0"/>
      <w:marRight w:val="0"/>
      <w:marTop w:val="0"/>
      <w:marBottom w:val="0"/>
      <w:divBdr>
        <w:top w:val="none" w:sz="0" w:space="0" w:color="auto"/>
        <w:left w:val="none" w:sz="0" w:space="0" w:color="auto"/>
        <w:bottom w:val="none" w:sz="0" w:space="0" w:color="auto"/>
        <w:right w:val="none" w:sz="0" w:space="0" w:color="auto"/>
      </w:divBdr>
      <w:divsChild>
        <w:div w:id="1287393262">
          <w:marLeft w:val="0"/>
          <w:marRight w:val="0"/>
          <w:marTop w:val="0"/>
          <w:marBottom w:val="0"/>
          <w:divBdr>
            <w:top w:val="none" w:sz="0" w:space="0" w:color="auto"/>
            <w:left w:val="none" w:sz="0" w:space="0" w:color="auto"/>
            <w:bottom w:val="none" w:sz="0" w:space="0" w:color="auto"/>
            <w:right w:val="none" w:sz="0" w:space="0" w:color="auto"/>
          </w:divBdr>
        </w:div>
      </w:divsChild>
    </w:div>
    <w:div w:id="611787145">
      <w:marLeft w:val="0"/>
      <w:marRight w:val="0"/>
      <w:marTop w:val="0"/>
      <w:marBottom w:val="180"/>
      <w:divBdr>
        <w:top w:val="none" w:sz="0" w:space="0" w:color="auto"/>
        <w:left w:val="none" w:sz="0" w:space="0" w:color="auto"/>
        <w:bottom w:val="none" w:sz="0" w:space="0" w:color="auto"/>
        <w:right w:val="none" w:sz="0" w:space="0" w:color="auto"/>
      </w:divBdr>
    </w:div>
    <w:div w:id="611983085">
      <w:marLeft w:val="0"/>
      <w:marRight w:val="0"/>
      <w:marTop w:val="120"/>
      <w:marBottom w:val="120"/>
      <w:divBdr>
        <w:top w:val="none" w:sz="0" w:space="0" w:color="auto"/>
        <w:left w:val="none" w:sz="0" w:space="0" w:color="auto"/>
        <w:bottom w:val="none" w:sz="0" w:space="0" w:color="auto"/>
        <w:right w:val="none" w:sz="0" w:space="0" w:color="auto"/>
      </w:divBdr>
    </w:div>
    <w:div w:id="612858957">
      <w:marLeft w:val="0"/>
      <w:marRight w:val="0"/>
      <w:marTop w:val="0"/>
      <w:marBottom w:val="0"/>
      <w:divBdr>
        <w:top w:val="none" w:sz="0" w:space="0" w:color="auto"/>
        <w:left w:val="none" w:sz="0" w:space="0" w:color="auto"/>
        <w:bottom w:val="none" w:sz="0" w:space="0" w:color="auto"/>
        <w:right w:val="none" w:sz="0" w:space="0" w:color="auto"/>
      </w:divBdr>
    </w:div>
    <w:div w:id="613945875">
      <w:marLeft w:val="0"/>
      <w:marRight w:val="0"/>
      <w:marTop w:val="180"/>
      <w:marBottom w:val="180"/>
      <w:divBdr>
        <w:top w:val="none" w:sz="0" w:space="0" w:color="auto"/>
        <w:left w:val="none" w:sz="0" w:space="0" w:color="auto"/>
        <w:bottom w:val="none" w:sz="0" w:space="0" w:color="auto"/>
        <w:right w:val="none" w:sz="0" w:space="0" w:color="auto"/>
      </w:divBdr>
    </w:div>
    <w:div w:id="614408342">
      <w:marLeft w:val="0"/>
      <w:marRight w:val="0"/>
      <w:marTop w:val="180"/>
      <w:marBottom w:val="180"/>
      <w:divBdr>
        <w:top w:val="none" w:sz="0" w:space="0" w:color="auto"/>
        <w:left w:val="none" w:sz="0" w:space="0" w:color="auto"/>
        <w:bottom w:val="none" w:sz="0" w:space="0" w:color="auto"/>
        <w:right w:val="none" w:sz="0" w:space="0" w:color="auto"/>
      </w:divBdr>
    </w:div>
    <w:div w:id="615135976">
      <w:marLeft w:val="0"/>
      <w:marRight w:val="0"/>
      <w:marTop w:val="180"/>
      <w:marBottom w:val="180"/>
      <w:divBdr>
        <w:top w:val="none" w:sz="0" w:space="0" w:color="auto"/>
        <w:left w:val="none" w:sz="0" w:space="0" w:color="auto"/>
        <w:bottom w:val="none" w:sz="0" w:space="0" w:color="auto"/>
        <w:right w:val="none" w:sz="0" w:space="0" w:color="auto"/>
      </w:divBdr>
    </w:div>
    <w:div w:id="615257018">
      <w:marLeft w:val="0"/>
      <w:marRight w:val="0"/>
      <w:marTop w:val="0"/>
      <w:marBottom w:val="240"/>
      <w:divBdr>
        <w:top w:val="none" w:sz="0" w:space="0" w:color="auto"/>
        <w:left w:val="none" w:sz="0" w:space="0" w:color="auto"/>
        <w:bottom w:val="none" w:sz="0" w:space="0" w:color="auto"/>
        <w:right w:val="none" w:sz="0" w:space="0" w:color="auto"/>
      </w:divBdr>
    </w:div>
    <w:div w:id="615412626">
      <w:marLeft w:val="0"/>
      <w:marRight w:val="0"/>
      <w:marTop w:val="0"/>
      <w:marBottom w:val="180"/>
      <w:divBdr>
        <w:top w:val="none" w:sz="0" w:space="0" w:color="auto"/>
        <w:left w:val="none" w:sz="0" w:space="0" w:color="auto"/>
        <w:bottom w:val="none" w:sz="0" w:space="0" w:color="auto"/>
        <w:right w:val="none" w:sz="0" w:space="0" w:color="auto"/>
      </w:divBdr>
    </w:div>
    <w:div w:id="616448021">
      <w:marLeft w:val="0"/>
      <w:marRight w:val="0"/>
      <w:marTop w:val="0"/>
      <w:marBottom w:val="180"/>
      <w:divBdr>
        <w:top w:val="none" w:sz="0" w:space="0" w:color="auto"/>
        <w:left w:val="none" w:sz="0" w:space="0" w:color="auto"/>
        <w:bottom w:val="none" w:sz="0" w:space="0" w:color="auto"/>
        <w:right w:val="none" w:sz="0" w:space="0" w:color="auto"/>
      </w:divBdr>
    </w:div>
    <w:div w:id="618343161">
      <w:marLeft w:val="0"/>
      <w:marRight w:val="0"/>
      <w:marTop w:val="0"/>
      <w:marBottom w:val="240"/>
      <w:divBdr>
        <w:top w:val="none" w:sz="0" w:space="0" w:color="auto"/>
        <w:left w:val="none" w:sz="0" w:space="0" w:color="auto"/>
        <w:bottom w:val="none" w:sz="0" w:space="0" w:color="auto"/>
        <w:right w:val="none" w:sz="0" w:space="0" w:color="auto"/>
      </w:divBdr>
    </w:div>
    <w:div w:id="619796512">
      <w:marLeft w:val="0"/>
      <w:marRight w:val="0"/>
      <w:marTop w:val="0"/>
      <w:marBottom w:val="0"/>
      <w:divBdr>
        <w:top w:val="none" w:sz="0" w:space="0" w:color="auto"/>
        <w:left w:val="none" w:sz="0" w:space="0" w:color="auto"/>
        <w:bottom w:val="none" w:sz="0" w:space="0" w:color="auto"/>
        <w:right w:val="none" w:sz="0" w:space="0" w:color="auto"/>
      </w:divBdr>
    </w:div>
    <w:div w:id="620263431">
      <w:marLeft w:val="0"/>
      <w:marRight w:val="0"/>
      <w:marTop w:val="0"/>
      <w:marBottom w:val="180"/>
      <w:divBdr>
        <w:top w:val="none" w:sz="0" w:space="0" w:color="auto"/>
        <w:left w:val="none" w:sz="0" w:space="0" w:color="auto"/>
        <w:bottom w:val="none" w:sz="0" w:space="0" w:color="auto"/>
        <w:right w:val="none" w:sz="0" w:space="0" w:color="auto"/>
      </w:divBdr>
    </w:div>
    <w:div w:id="620578982">
      <w:marLeft w:val="0"/>
      <w:marRight w:val="0"/>
      <w:marTop w:val="0"/>
      <w:marBottom w:val="180"/>
      <w:divBdr>
        <w:top w:val="none" w:sz="0" w:space="0" w:color="auto"/>
        <w:left w:val="none" w:sz="0" w:space="0" w:color="auto"/>
        <w:bottom w:val="none" w:sz="0" w:space="0" w:color="auto"/>
        <w:right w:val="none" w:sz="0" w:space="0" w:color="auto"/>
      </w:divBdr>
    </w:div>
    <w:div w:id="621233231">
      <w:marLeft w:val="0"/>
      <w:marRight w:val="0"/>
      <w:marTop w:val="0"/>
      <w:marBottom w:val="0"/>
      <w:divBdr>
        <w:top w:val="none" w:sz="0" w:space="0" w:color="auto"/>
        <w:left w:val="none" w:sz="0" w:space="0" w:color="auto"/>
        <w:bottom w:val="none" w:sz="0" w:space="0" w:color="auto"/>
        <w:right w:val="none" w:sz="0" w:space="0" w:color="auto"/>
      </w:divBdr>
      <w:divsChild>
        <w:div w:id="1581669340">
          <w:marLeft w:val="0"/>
          <w:marRight w:val="0"/>
          <w:marTop w:val="0"/>
          <w:marBottom w:val="0"/>
          <w:divBdr>
            <w:top w:val="none" w:sz="0" w:space="0" w:color="auto"/>
            <w:left w:val="none" w:sz="0" w:space="0" w:color="auto"/>
            <w:bottom w:val="none" w:sz="0" w:space="0" w:color="auto"/>
            <w:right w:val="none" w:sz="0" w:space="0" w:color="auto"/>
          </w:divBdr>
        </w:div>
      </w:divsChild>
    </w:div>
    <w:div w:id="621377079">
      <w:marLeft w:val="0"/>
      <w:marRight w:val="0"/>
      <w:marTop w:val="0"/>
      <w:marBottom w:val="0"/>
      <w:divBdr>
        <w:top w:val="none" w:sz="0" w:space="0" w:color="auto"/>
        <w:left w:val="none" w:sz="0" w:space="0" w:color="auto"/>
        <w:bottom w:val="none" w:sz="0" w:space="0" w:color="auto"/>
        <w:right w:val="none" w:sz="0" w:space="0" w:color="auto"/>
      </w:divBdr>
    </w:div>
    <w:div w:id="621493571">
      <w:marLeft w:val="0"/>
      <w:marRight w:val="0"/>
      <w:marTop w:val="0"/>
      <w:marBottom w:val="0"/>
      <w:divBdr>
        <w:top w:val="none" w:sz="0" w:space="0" w:color="auto"/>
        <w:left w:val="none" w:sz="0" w:space="0" w:color="auto"/>
        <w:bottom w:val="none" w:sz="0" w:space="0" w:color="auto"/>
        <w:right w:val="none" w:sz="0" w:space="0" w:color="auto"/>
      </w:divBdr>
      <w:divsChild>
        <w:div w:id="1332565202">
          <w:marLeft w:val="0"/>
          <w:marRight w:val="0"/>
          <w:marTop w:val="0"/>
          <w:marBottom w:val="0"/>
          <w:divBdr>
            <w:top w:val="none" w:sz="0" w:space="0" w:color="auto"/>
            <w:left w:val="none" w:sz="0" w:space="0" w:color="auto"/>
            <w:bottom w:val="none" w:sz="0" w:space="0" w:color="auto"/>
            <w:right w:val="none" w:sz="0" w:space="0" w:color="auto"/>
          </w:divBdr>
        </w:div>
      </w:divsChild>
    </w:div>
    <w:div w:id="621496335">
      <w:marLeft w:val="0"/>
      <w:marRight w:val="0"/>
      <w:marTop w:val="0"/>
      <w:marBottom w:val="240"/>
      <w:divBdr>
        <w:top w:val="none" w:sz="0" w:space="0" w:color="auto"/>
        <w:left w:val="none" w:sz="0" w:space="0" w:color="auto"/>
        <w:bottom w:val="none" w:sz="0" w:space="0" w:color="auto"/>
        <w:right w:val="none" w:sz="0" w:space="0" w:color="auto"/>
      </w:divBdr>
    </w:div>
    <w:div w:id="622349559">
      <w:marLeft w:val="0"/>
      <w:marRight w:val="0"/>
      <w:marTop w:val="0"/>
      <w:marBottom w:val="180"/>
      <w:divBdr>
        <w:top w:val="none" w:sz="0" w:space="0" w:color="auto"/>
        <w:left w:val="none" w:sz="0" w:space="0" w:color="auto"/>
        <w:bottom w:val="none" w:sz="0" w:space="0" w:color="auto"/>
        <w:right w:val="none" w:sz="0" w:space="0" w:color="auto"/>
      </w:divBdr>
    </w:div>
    <w:div w:id="622931582">
      <w:marLeft w:val="0"/>
      <w:marRight w:val="0"/>
      <w:marTop w:val="100"/>
      <w:marBottom w:val="0"/>
      <w:divBdr>
        <w:top w:val="none" w:sz="0" w:space="0" w:color="auto"/>
        <w:left w:val="none" w:sz="0" w:space="0" w:color="auto"/>
        <w:bottom w:val="none" w:sz="0" w:space="0" w:color="auto"/>
        <w:right w:val="none" w:sz="0" w:space="0" w:color="auto"/>
      </w:divBdr>
    </w:div>
    <w:div w:id="623314755">
      <w:marLeft w:val="0"/>
      <w:marRight w:val="0"/>
      <w:marTop w:val="0"/>
      <w:marBottom w:val="0"/>
      <w:divBdr>
        <w:top w:val="none" w:sz="0" w:space="0" w:color="auto"/>
        <w:left w:val="none" w:sz="0" w:space="0" w:color="auto"/>
        <w:bottom w:val="none" w:sz="0" w:space="0" w:color="auto"/>
        <w:right w:val="none" w:sz="0" w:space="0" w:color="auto"/>
      </w:divBdr>
      <w:divsChild>
        <w:div w:id="1061292768">
          <w:marLeft w:val="0"/>
          <w:marRight w:val="0"/>
          <w:marTop w:val="0"/>
          <w:marBottom w:val="0"/>
          <w:divBdr>
            <w:top w:val="none" w:sz="0" w:space="0" w:color="auto"/>
            <w:left w:val="none" w:sz="0" w:space="0" w:color="auto"/>
            <w:bottom w:val="none" w:sz="0" w:space="0" w:color="auto"/>
            <w:right w:val="none" w:sz="0" w:space="0" w:color="auto"/>
          </w:divBdr>
        </w:div>
        <w:div w:id="1340158826">
          <w:marLeft w:val="0"/>
          <w:marRight w:val="0"/>
          <w:marTop w:val="0"/>
          <w:marBottom w:val="0"/>
          <w:divBdr>
            <w:top w:val="none" w:sz="0" w:space="0" w:color="auto"/>
            <w:left w:val="none" w:sz="0" w:space="0" w:color="auto"/>
            <w:bottom w:val="none" w:sz="0" w:space="0" w:color="auto"/>
            <w:right w:val="none" w:sz="0" w:space="0" w:color="auto"/>
          </w:divBdr>
        </w:div>
      </w:divsChild>
    </w:div>
    <w:div w:id="624390288">
      <w:marLeft w:val="0"/>
      <w:marRight w:val="0"/>
      <w:marTop w:val="0"/>
      <w:marBottom w:val="0"/>
      <w:divBdr>
        <w:top w:val="none" w:sz="0" w:space="0" w:color="auto"/>
        <w:left w:val="none" w:sz="0" w:space="0" w:color="auto"/>
        <w:bottom w:val="none" w:sz="0" w:space="0" w:color="auto"/>
        <w:right w:val="none" w:sz="0" w:space="0" w:color="auto"/>
      </w:divBdr>
      <w:divsChild>
        <w:div w:id="1377656669">
          <w:marLeft w:val="0"/>
          <w:marRight w:val="0"/>
          <w:marTop w:val="0"/>
          <w:marBottom w:val="0"/>
          <w:divBdr>
            <w:top w:val="none" w:sz="0" w:space="0" w:color="auto"/>
            <w:left w:val="none" w:sz="0" w:space="0" w:color="auto"/>
            <w:bottom w:val="none" w:sz="0" w:space="0" w:color="auto"/>
            <w:right w:val="none" w:sz="0" w:space="0" w:color="auto"/>
          </w:divBdr>
        </w:div>
      </w:divsChild>
    </w:div>
    <w:div w:id="626594366">
      <w:marLeft w:val="0"/>
      <w:marRight w:val="0"/>
      <w:marTop w:val="180"/>
      <w:marBottom w:val="180"/>
      <w:divBdr>
        <w:top w:val="none" w:sz="0" w:space="0" w:color="auto"/>
        <w:left w:val="none" w:sz="0" w:space="0" w:color="auto"/>
        <w:bottom w:val="none" w:sz="0" w:space="0" w:color="auto"/>
        <w:right w:val="none" w:sz="0" w:space="0" w:color="auto"/>
      </w:divBdr>
    </w:div>
    <w:div w:id="626660707">
      <w:marLeft w:val="0"/>
      <w:marRight w:val="0"/>
      <w:marTop w:val="0"/>
      <w:marBottom w:val="0"/>
      <w:divBdr>
        <w:top w:val="none" w:sz="0" w:space="0" w:color="auto"/>
        <w:left w:val="none" w:sz="0" w:space="0" w:color="auto"/>
        <w:bottom w:val="none" w:sz="0" w:space="0" w:color="auto"/>
        <w:right w:val="none" w:sz="0" w:space="0" w:color="auto"/>
      </w:divBdr>
      <w:divsChild>
        <w:div w:id="1922255621">
          <w:marLeft w:val="0"/>
          <w:marRight w:val="0"/>
          <w:marTop w:val="0"/>
          <w:marBottom w:val="0"/>
          <w:divBdr>
            <w:top w:val="none" w:sz="0" w:space="0" w:color="auto"/>
            <w:left w:val="none" w:sz="0" w:space="0" w:color="auto"/>
            <w:bottom w:val="none" w:sz="0" w:space="0" w:color="auto"/>
            <w:right w:val="none" w:sz="0" w:space="0" w:color="auto"/>
          </w:divBdr>
        </w:div>
      </w:divsChild>
    </w:div>
    <w:div w:id="627207451">
      <w:marLeft w:val="0"/>
      <w:marRight w:val="0"/>
      <w:marTop w:val="120"/>
      <w:marBottom w:val="120"/>
      <w:divBdr>
        <w:top w:val="none" w:sz="0" w:space="0" w:color="auto"/>
        <w:left w:val="none" w:sz="0" w:space="0" w:color="auto"/>
        <w:bottom w:val="none" w:sz="0" w:space="0" w:color="auto"/>
        <w:right w:val="none" w:sz="0" w:space="0" w:color="auto"/>
      </w:divBdr>
    </w:div>
    <w:div w:id="627399923">
      <w:marLeft w:val="0"/>
      <w:marRight w:val="0"/>
      <w:marTop w:val="0"/>
      <w:marBottom w:val="0"/>
      <w:divBdr>
        <w:top w:val="none" w:sz="0" w:space="0" w:color="auto"/>
        <w:left w:val="none" w:sz="0" w:space="0" w:color="auto"/>
        <w:bottom w:val="none" w:sz="0" w:space="0" w:color="auto"/>
        <w:right w:val="none" w:sz="0" w:space="0" w:color="auto"/>
      </w:divBdr>
      <w:divsChild>
        <w:div w:id="899169975">
          <w:marLeft w:val="0"/>
          <w:marRight w:val="0"/>
          <w:marTop w:val="0"/>
          <w:marBottom w:val="0"/>
          <w:divBdr>
            <w:top w:val="none" w:sz="0" w:space="0" w:color="auto"/>
            <w:left w:val="none" w:sz="0" w:space="0" w:color="auto"/>
            <w:bottom w:val="none" w:sz="0" w:space="0" w:color="auto"/>
            <w:right w:val="none" w:sz="0" w:space="0" w:color="auto"/>
          </w:divBdr>
        </w:div>
        <w:div w:id="2065181108">
          <w:marLeft w:val="0"/>
          <w:marRight w:val="0"/>
          <w:marTop w:val="0"/>
          <w:marBottom w:val="0"/>
          <w:divBdr>
            <w:top w:val="none" w:sz="0" w:space="0" w:color="auto"/>
            <w:left w:val="none" w:sz="0" w:space="0" w:color="auto"/>
            <w:bottom w:val="none" w:sz="0" w:space="0" w:color="auto"/>
            <w:right w:val="none" w:sz="0" w:space="0" w:color="auto"/>
          </w:divBdr>
        </w:div>
      </w:divsChild>
    </w:div>
    <w:div w:id="629213537">
      <w:marLeft w:val="0"/>
      <w:marRight w:val="0"/>
      <w:marTop w:val="0"/>
      <w:marBottom w:val="240"/>
      <w:divBdr>
        <w:top w:val="none" w:sz="0" w:space="0" w:color="auto"/>
        <w:left w:val="none" w:sz="0" w:space="0" w:color="auto"/>
        <w:bottom w:val="none" w:sz="0" w:space="0" w:color="auto"/>
        <w:right w:val="none" w:sz="0" w:space="0" w:color="auto"/>
      </w:divBdr>
    </w:div>
    <w:div w:id="629629503">
      <w:marLeft w:val="0"/>
      <w:marRight w:val="0"/>
      <w:marTop w:val="180"/>
      <w:marBottom w:val="180"/>
      <w:divBdr>
        <w:top w:val="none" w:sz="0" w:space="0" w:color="auto"/>
        <w:left w:val="none" w:sz="0" w:space="0" w:color="auto"/>
        <w:bottom w:val="none" w:sz="0" w:space="0" w:color="auto"/>
        <w:right w:val="none" w:sz="0" w:space="0" w:color="auto"/>
      </w:divBdr>
    </w:div>
    <w:div w:id="630130152">
      <w:marLeft w:val="0"/>
      <w:marRight w:val="0"/>
      <w:marTop w:val="0"/>
      <w:marBottom w:val="0"/>
      <w:divBdr>
        <w:top w:val="none" w:sz="0" w:space="0" w:color="auto"/>
        <w:left w:val="none" w:sz="0" w:space="0" w:color="auto"/>
        <w:bottom w:val="none" w:sz="0" w:space="0" w:color="auto"/>
        <w:right w:val="none" w:sz="0" w:space="0" w:color="auto"/>
      </w:divBdr>
    </w:div>
    <w:div w:id="631713974">
      <w:marLeft w:val="0"/>
      <w:marRight w:val="0"/>
      <w:marTop w:val="0"/>
      <w:marBottom w:val="180"/>
      <w:divBdr>
        <w:top w:val="none" w:sz="0" w:space="0" w:color="auto"/>
        <w:left w:val="none" w:sz="0" w:space="0" w:color="auto"/>
        <w:bottom w:val="none" w:sz="0" w:space="0" w:color="auto"/>
        <w:right w:val="none" w:sz="0" w:space="0" w:color="auto"/>
      </w:divBdr>
    </w:div>
    <w:div w:id="631907763">
      <w:marLeft w:val="0"/>
      <w:marRight w:val="0"/>
      <w:marTop w:val="0"/>
      <w:marBottom w:val="0"/>
      <w:divBdr>
        <w:top w:val="none" w:sz="0" w:space="0" w:color="auto"/>
        <w:left w:val="none" w:sz="0" w:space="0" w:color="auto"/>
        <w:bottom w:val="none" w:sz="0" w:space="0" w:color="auto"/>
        <w:right w:val="none" w:sz="0" w:space="0" w:color="auto"/>
      </w:divBdr>
      <w:divsChild>
        <w:div w:id="1398437120">
          <w:marLeft w:val="0"/>
          <w:marRight w:val="0"/>
          <w:marTop w:val="0"/>
          <w:marBottom w:val="0"/>
          <w:divBdr>
            <w:top w:val="none" w:sz="0" w:space="0" w:color="auto"/>
            <w:left w:val="none" w:sz="0" w:space="0" w:color="auto"/>
            <w:bottom w:val="none" w:sz="0" w:space="0" w:color="auto"/>
            <w:right w:val="none" w:sz="0" w:space="0" w:color="auto"/>
          </w:divBdr>
        </w:div>
      </w:divsChild>
    </w:div>
    <w:div w:id="632366464">
      <w:marLeft w:val="0"/>
      <w:marRight w:val="0"/>
      <w:marTop w:val="180"/>
      <w:marBottom w:val="180"/>
      <w:divBdr>
        <w:top w:val="none" w:sz="0" w:space="0" w:color="auto"/>
        <w:left w:val="none" w:sz="0" w:space="0" w:color="auto"/>
        <w:bottom w:val="none" w:sz="0" w:space="0" w:color="auto"/>
        <w:right w:val="none" w:sz="0" w:space="0" w:color="auto"/>
      </w:divBdr>
    </w:div>
    <w:div w:id="632829146">
      <w:marLeft w:val="0"/>
      <w:marRight w:val="0"/>
      <w:marTop w:val="0"/>
      <w:marBottom w:val="180"/>
      <w:divBdr>
        <w:top w:val="none" w:sz="0" w:space="0" w:color="auto"/>
        <w:left w:val="none" w:sz="0" w:space="0" w:color="auto"/>
        <w:bottom w:val="none" w:sz="0" w:space="0" w:color="auto"/>
        <w:right w:val="none" w:sz="0" w:space="0" w:color="auto"/>
      </w:divBdr>
    </w:div>
    <w:div w:id="633603741">
      <w:marLeft w:val="0"/>
      <w:marRight w:val="0"/>
      <w:marTop w:val="0"/>
      <w:marBottom w:val="0"/>
      <w:divBdr>
        <w:top w:val="none" w:sz="0" w:space="0" w:color="auto"/>
        <w:left w:val="none" w:sz="0" w:space="0" w:color="auto"/>
        <w:bottom w:val="none" w:sz="0" w:space="0" w:color="auto"/>
        <w:right w:val="none" w:sz="0" w:space="0" w:color="auto"/>
      </w:divBdr>
    </w:div>
    <w:div w:id="635522997">
      <w:marLeft w:val="0"/>
      <w:marRight w:val="0"/>
      <w:marTop w:val="0"/>
      <w:marBottom w:val="180"/>
      <w:divBdr>
        <w:top w:val="none" w:sz="0" w:space="0" w:color="auto"/>
        <w:left w:val="none" w:sz="0" w:space="0" w:color="auto"/>
        <w:bottom w:val="none" w:sz="0" w:space="0" w:color="auto"/>
        <w:right w:val="none" w:sz="0" w:space="0" w:color="auto"/>
      </w:divBdr>
    </w:div>
    <w:div w:id="636109572">
      <w:marLeft w:val="0"/>
      <w:marRight w:val="0"/>
      <w:marTop w:val="0"/>
      <w:marBottom w:val="240"/>
      <w:divBdr>
        <w:top w:val="none" w:sz="0" w:space="0" w:color="auto"/>
        <w:left w:val="none" w:sz="0" w:space="0" w:color="auto"/>
        <w:bottom w:val="none" w:sz="0" w:space="0" w:color="auto"/>
        <w:right w:val="none" w:sz="0" w:space="0" w:color="auto"/>
      </w:divBdr>
    </w:div>
    <w:div w:id="636688082">
      <w:marLeft w:val="0"/>
      <w:marRight w:val="0"/>
      <w:marTop w:val="180"/>
      <w:marBottom w:val="240"/>
      <w:divBdr>
        <w:top w:val="none" w:sz="0" w:space="0" w:color="auto"/>
        <w:left w:val="none" w:sz="0" w:space="0" w:color="auto"/>
        <w:bottom w:val="none" w:sz="0" w:space="0" w:color="auto"/>
        <w:right w:val="none" w:sz="0" w:space="0" w:color="auto"/>
      </w:divBdr>
    </w:div>
    <w:div w:id="637686171">
      <w:marLeft w:val="0"/>
      <w:marRight w:val="0"/>
      <w:marTop w:val="180"/>
      <w:marBottom w:val="180"/>
      <w:divBdr>
        <w:top w:val="none" w:sz="0" w:space="0" w:color="auto"/>
        <w:left w:val="none" w:sz="0" w:space="0" w:color="auto"/>
        <w:bottom w:val="none" w:sz="0" w:space="0" w:color="auto"/>
        <w:right w:val="none" w:sz="0" w:space="0" w:color="auto"/>
      </w:divBdr>
    </w:div>
    <w:div w:id="638729933">
      <w:marLeft w:val="0"/>
      <w:marRight w:val="0"/>
      <w:marTop w:val="0"/>
      <w:marBottom w:val="180"/>
      <w:divBdr>
        <w:top w:val="none" w:sz="0" w:space="0" w:color="auto"/>
        <w:left w:val="none" w:sz="0" w:space="0" w:color="auto"/>
        <w:bottom w:val="none" w:sz="0" w:space="0" w:color="auto"/>
        <w:right w:val="none" w:sz="0" w:space="0" w:color="auto"/>
      </w:divBdr>
    </w:div>
    <w:div w:id="641155785">
      <w:marLeft w:val="0"/>
      <w:marRight w:val="0"/>
      <w:marTop w:val="0"/>
      <w:marBottom w:val="180"/>
      <w:divBdr>
        <w:top w:val="none" w:sz="0" w:space="0" w:color="auto"/>
        <w:left w:val="none" w:sz="0" w:space="0" w:color="auto"/>
        <w:bottom w:val="none" w:sz="0" w:space="0" w:color="auto"/>
        <w:right w:val="none" w:sz="0" w:space="0" w:color="auto"/>
      </w:divBdr>
    </w:div>
    <w:div w:id="643780399">
      <w:marLeft w:val="0"/>
      <w:marRight w:val="0"/>
      <w:marTop w:val="0"/>
      <w:marBottom w:val="0"/>
      <w:divBdr>
        <w:top w:val="none" w:sz="0" w:space="0" w:color="auto"/>
        <w:left w:val="none" w:sz="0" w:space="0" w:color="auto"/>
        <w:bottom w:val="none" w:sz="0" w:space="0" w:color="auto"/>
        <w:right w:val="none" w:sz="0" w:space="0" w:color="auto"/>
      </w:divBdr>
    </w:div>
    <w:div w:id="643896776">
      <w:marLeft w:val="0"/>
      <w:marRight w:val="0"/>
      <w:marTop w:val="60"/>
      <w:marBottom w:val="0"/>
      <w:divBdr>
        <w:top w:val="none" w:sz="0" w:space="0" w:color="auto"/>
        <w:left w:val="none" w:sz="0" w:space="0" w:color="auto"/>
        <w:bottom w:val="none" w:sz="0" w:space="0" w:color="auto"/>
        <w:right w:val="none" w:sz="0" w:space="0" w:color="auto"/>
      </w:divBdr>
    </w:div>
    <w:div w:id="644893324">
      <w:marLeft w:val="0"/>
      <w:marRight w:val="0"/>
      <w:marTop w:val="0"/>
      <w:marBottom w:val="0"/>
      <w:divBdr>
        <w:top w:val="none" w:sz="0" w:space="0" w:color="auto"/>
        <w:left w:val="none" w:sz="0" w:space="0" w:color="auto"/>
        <w:bottom w:val="none" w:sz="0" w:space="0" w:color="auto"/>
        <w:right w:val="none" w:sz="0" w:space="0" w:color="auto"/>
      </w:divBdr>
    </w:div>
    <w:div w:id="645742114">
      <w:marLeft w:val="0"/>
      <w:marRight w:val="0"/>
      <w:marTop w:val="0"/>
      <w:marBottom w:val="180"/>
      <w:divBdr>
        <w:top w:val="none" w:sz="0" w:space="0" w:color="auto"/>
        <w:left w:val="none" w:sz="0" w:space="0" w:color="auto"/>
        <w:bottom w:val="none" w:sz="0" w:space="0" w:color="auto"/>
        <w:right w:val="none" w:sz="0" w:space="0" w:color="auto"/>
      </w:divBdr>
    </w:div>
    <w:div w:id="646738088">
      <w:marLeft w:val="0"/>
      <w:marRight w:val="0"/>
      <w:marTop w:val="100"/>
      <w:marBottom w:val="180"/>
      <w:divBdr>
        <w:top w:val="none" w:sz="0" w:space="0" w:color="auto"/>
        <w:left w:val="none" w:sz="0" w:space="0" w:color="auto"/>
        <w:bottom w:val="none" w:sz="0" w:space="0" w:color="auto"/>
        <w:right w:val="none" w:sz="0" w:space="0" w:color="auto"/>
      </w:divBdr>
      <w:divsChild>
        <w:div w:id="1143818114">
          <w:marLeft w:val="0"/>
          <w:marRight w:val="0"/>
          <w:marTop w:val="0"/>
          <w:marBottom w:val="0"/>
          <w:divBdr>
            <w:top w:val="none" w:sz="0" w:space="0" w:color="auto"/>
            <w:left w:val="none" w:sz="0" w:space="0" w:color="auto"/>
            <w:bottom w:val="none" w:sz="0" w:space="0" w:color="auto"/>
            <w:right w:val="none" w:sz="0" w:space="0" w:color="auto"/>
          </w:divBdr>
        </w:div>
        <w:div w:id="1390617151">
          <w:marLeft w:val="0"/>
          <w:marRight w:val="0"/>
          <w:marTop w:val="0"/>
          <w:marBottom w:val="0"/>
          <w:divBdr>
            <w:top w:val="none" w:sz="0" w:space="0" w:color="auto"/>
            <w:left w:val="none" w:sz="0" w:space="0" w:color="auto"/>
            <w:bottom w:val="none" w:sz="0" w:space="0" w:color="auto"/>
            <w:right w:val="none" w:sz="0" w:space="0" w:color="auto"/>
          </w:divBdr>
        </w:div>
      </w:divsChild>
    </w:div>
    <w:div w:id="647629999">
      <w:marLeft w:val="0"/>
      <w:marRight w:val="0"/>
      <w:marTop w:val="180"/>
      <w:marBottom w:val="180"/>
      <w:divBdr>
        <w:top w:val="none" w:sz="0" w:space="0" w:color="auto"/>
        <w:left w:val="none" w:sz="0" w:space="0" w:color="auto"/>
        <w:bottom w:val="none" w:sz="0" w:space="0" w:color="auto"/>
        <w:right w:val="none" w:sz="0" w:space="0" w:color="auto"/>
      </w:divBdr>
    </w:div>
    <w:div w:id="648091666">
      <w:marLeft w:val="0"/>
      <w:marRight w:val="0"/>
      <w:marTop w:val="0"/>
      <w:marBottom w:val="0"/>
      <w:divBdr>
        <w:top w:val="none" w:sz="0" w:space="0" w:color="auto"/>
        <w:left w:val="none" w:sz="0" w:space="0" w:color="auto"/>
        <w:bottom w:val="none" w:sz="0" w:space="0" w:color="auto"/>
        <w:right w:val="none" w:sz="0" w:space="0" w:color="auto"/>
      </w:divBdr>
    </w:div>
    <w:div w:id="649021025">
      <w:marLeft w:val="0"/>
      <w:marRight w:val="0"/>
      <w:marTop w:val="0"/>
      <w:marBottom w:val="0"/>
      <w:divBdr>
        <w:top w:val="none" w:sz="0" w:space="0" w:color="auto"/>
        <w:left w:val="none" w:sz="0" w:space="0" w:color="auto"/>
        <w:bottom w:val="none" w:sz="0" w:space="0" w:color="auto"/>
        <w:right w:val="none" w:sz="0" w:space="0" w:color="auto"/>
      </w:divBdr>
    </w:div>
    <w:div w:id="649406391">
      <w:marLeft w:val="0"/>
      <w:marRight w:val="0"/>
      <w:marTop w:val="0"/>
      <w:marBottom w:val="180"/>
      <w:divBdr>
        <w:top w:val="none" w:sz="0" w:space="0" w:color="auto"/>
        <w:left w:val="none" w:sz="0" w:space="0" w:color="auto"/>
        <w:bottom w:val="none" w:sz="0" w:space="0" w:color="auto"/>
        <w:right w:val="none" w:sz="0" w:space="0" w:color="auto"/>
      </w:divBdr>
    </w:div>
    <w:div w:id="649483266">
      <w:marLeft w:val="0"/>
      <w:marRight w:val="0"/>
      <w:marTop w:val="0"/>
      <w:marBottom w:val="240"/>
      <w:divBdr>
        <w:top w:val="none" w:sz="0" w:space="0" w:color="auto"/>
        <w:left w:val="none" w:sz="0" w:space="0" w:color="auto"/>
        <w:bottom w:val="none" w:sz="0" w:space="0" w:color="auto"/>
        <w:right w:val="none" w:sz="0" w:space="0" w:color="auto"/>
      </w:divBdr>
    </w:div>
    <w:div w:id="651829223">
      <w:marLeft w:val="0"/>
      <w:marRight w:val="0"/>
      <w:marTop w:val="0"/>
      <w:marBottom w:val="240"/>
      <w:divBdr>
        <w:top w:val="none" w:sz="0" w:space="0" w:color="auto"/>
        <w:left w:val="none" w:sz="0" w:space="0" w:color="auto"/>
        <w:bottom w:val="none" w:sz="0" w:space="0" w:color="auto"/>
        <w:right w:val="none" w:sz="0" w:space="0" w:color="auto"/>
      </w:divBdr>
    </w:div>
    <w:div w:id="652561267">
      <w:marLeft w:val="0"/>
      <w:marRight w:val="0"/>
      <w:marTop w:val="0"/>
      <w:marBottom w:val="240"/>
      <w:divBdr>
        <w:top w:val="none" w:sz="0" w:space="0" w:color="auto"/>
        <w:left w:val="none" w:sz="0" w:space="0" w:color="auto"/>
        <w:bottom w:val="none" w:sz="0" w:space="0" w:color="auto"/>
        <w:right w:val="none" w:sz="0" w:space="0" w:color="auto"/>
      </w:divBdr>
    </w:div>
    <w:div w:id="653027789">
      <w:marLeft w:val="0"/>
      <w:marRight w:val="0"/>
      <w:marTop w:val="120"/>
      <w:marBottom w:val="240"/>
      <w:divBdr>
        <w:top w:val="none" w:sz="0" w:space="0" w:color="auto"/>
        <w:left w:val="none" w:sz="0" w:space="0" w:color="auto"/>
        <w:bottom w:val="none" w:sz="0" w:space="0" w:color="auto"/>
        <w:right w:val="none" w:sz="0" w:space="0" w:color="auto"/>
      </w:divBdr>
    </w:div>
    <w:div w:id="653727805">
      <w:marLeft w:val="0"/>
      <w:marRight w:val="0"/>
      <w:marTop w:val="0"/>
      <w:marBottom w:val="0"/>
      <w:divBdr>
        <w:top w:val="none" w:sz="0" w:space="0" w:color="auto"/>
        <w:left w:val="none" w:sz="0" w:space="0" w:color="auto"/>
        <w:bottom w:val="none" w:sz="0" w:space="0" w:color="auto"/>
        <w:right w:val="none" w:sz="0" w:space="0" w:color="auto"/>
      </w:divBdr>
    </w:div>
    <w:div w:id="655110416">
      <w:marLeft w:val="0"/>
      <w:marRight w:val="0"/>
      <w:marTop w:val="0"/>
      <w:marBottom w:val="240"/>
      <w:divBdr>
        <w:top w:val="none" w:sz="0" w:space="0" w:color="auto"/>
        <w:left w:val="none" w:sz="0" w:space="0" w:color="auto"/>
        <w:bottom w:val="none" w:sz="0" w:space="0" w:color="auto"/>
        <w:right w:val="none" w:sz="0" w:space="0" w:color="auto"/>
      </w:divBdr>
    </w:div>
    <w:div w:id="655492556">
      <w:marLeft w:val="0"/>
      <w:marRight w:val="0"/>
      <w:marTop w:val="0"/>
      <w:marBottom w:val="180"/>
      <w:divBdr>
        <w:top w:val="none" w:sz="0" w:space="0" w:color="auto"/>
        <w:left w:val="none" w:sz="0" w:space="0" w:color="auto"/>
        <w:bottom w:val="none" w:sz="0" w:space="0" w:color="auto"/>
        <w:right w:val="none" w:sz="0" w:space="0" w:color="auto"/>
      </w:divBdr>
    </w:div>
    <w:div w:id="656299583">
      <w:marLeft w:val="0"/>
      <w:marRight w:val="0"/>
      <w:marTop w:val="0"/>
      <w:marBottom w:val="180"/>
      <w:divBdr>
        <w:top w:val="none" w:sz="0" w:space="0" w:color="auto"/>
        <w:left w:val="none" w:sz="0" w:space="0" w:color="auto"/>
        <w:bottom w:val="none" w:sz="0" w:space="0" w:color="auto"/>
        <w:right w:val="none" w:sz="0" w:space="0" w:color="auto"/>
      </w:divBdr>
    </w:div>
    <w:div w:id="657684924">
      <w:marLeft w:val="0"/>
      <w:marRight w:val="0"/>
      <w:marTop w:val="0"/>
      <w:marBottom w:val="240"/>
      <w:divBdr>
        <w:top w:val="none" w:sz="0" w:space="0" w:color="auto"/>
        <w:left w:val="none" w:sz="0" w:space="0" w:color="auto"/>
        <w:bottom w:val="none" w:sz="0" w:space="0" w:color="auto"/>
        <w:right w:val="none" w:sz="0" w:space="0" w:color="auto"/>
      </w:divBdr>
    </w:div>
    <w:div w:id="658120723">
      <w:marLeft w:val="0"/>
      <w:marRight w:val="0"/>
      <w:marTop w:val="0"/>
      <w:marBottom w:val="0"/>
      <w:divBdr>
        <w:top w:val="none" w:sz="0" w:space="0" w:color="auto"/>
        <w:left w:val="none" w:sz="0" w:space="0" w:color="auto"/>
        <w:bottom w:val="none" w:sz="0" w:space="0" w:color="auto"/>
        <w:right w:val="none" w:sz="0" w:space="0" w:color="auto"/>
      </w:divBdr>
      <w:divsChild>
        <w:div w:id="2115322232">
          <w:marLeft w:val="0"/>
          <w:marRight w:val="0"/>
          <w:marTop w:val="0"/>
          <w:marBottom w:val="0"/>
          <w:divBdr>
            <w:top w:val="none" w:sz="0" w:space="0" w:color="auto"/>
            <w:left w:val="none" w:sz="0" w:space="0" w:color="auto"/>
            <w:bottom w:val="none" w:sz="0" w:space="0" w:color="auto"/>
            <w:right w:val="none" w:sz="0" w:space="0" w:color="auto"/>
          </w:divBdr>
        </w:div>
      </w:divsChild>
    </w:div>
    <w:div w:id="658311688">
      <w:marLeft w:val="0"/>
      <w:marRight w:val="0"/>
      <w:marTop w:val="0"/>
      <w:marBottom w:val="0"/>
      <w:divBdr>
        <w:top w:val="none" w:sz="0" w:space="0" w:color="auto"/>
        <w:left w:val="none" w:sz="0" w:space="0" w:color="auto"/>
        <w:bottom w:val="none" w:sz="0" w:space="0" w:color="auto"/>
        <w:right w:val="none" w:sz="0" w:space="0" w:color="auto"/>
      </w:divBdr>
    </w:div>
    <w:div w:id="659044338">
      <w:marLeft w:val="0"/>
      <w:marRight w:val="0"/>
      <w:marTop w:val="0"/>
      <w:marBottom w:val="0"/>
      <w:divBdr>
        <w:top w:val="none" w:sz="0" w:space="0" w:color="auto"/>
        <w:left w:val="none" w:sz="0" w:space="0" w:color="auto"/>
        <w:bottom w:val="none" w:sz="0" w:space="0" w:color="auto"/>
        <w:right w:val="none" w:sz="0" w:space="0" w:color="auto"/>
      </w:divBdr>
    </w:div>
    <w:div w:id="659697074">
      <w:marLeft w:val="0"/>
      <w:marRight w:val="0"/>
      <w:marTop w:val="0"/>
      <w:marBottom w:val="180"/>
      <w:divBdr>
        <w:top w:val="none" w:sz="0" w:space="0" w:color="auto"/>
        <w:left w:val="none" w:sz="0" w:space="0" w:color="auto"/>
        <w:bottom w:val="none" w:sz="0" w:space="0" w:color="auto"/>
        <w:right w:val="none" w:sz="0" w:space="0" w:color="auto"/>
      </w:divBdr>
    </w:div>
    <w:div w:id="659698962">
      <w:marLeft w:val="0"/>
      <w:marRight w:val="0"/>
      <w:marTop w:val="100"/>
      <w:marBottom w:val="0"/>
      <w:divBdr>
        <w:top w:val="none" w:sz="0" w:space="0" w:color="auto"/>
        <w:left w:val="none" w:sz="0" w:space="0" w:color="auto"/>
        <w:bottom w:val="none" w:sz="0" w:space="0" w:color="auto"/>
        <w:right w:val="none" w:sz="0" w:space="0" w:color="auto"/>
      </w:divBdr>
    </w:div>
    <w:div w:id="660281964">
      <w:marLeft w:val="0"/>
      <w:marRight w:val="0"/>
      <w:marTop w:val="120"/>
      <w:marBottom w:val="120"/>
      <w:divBdr>
        <w:top w:val="none" w:sz="0" w:space="0" w:color="auto"/>
        <w:left w:val="none" w:sz="0" w:space="0" w:color="auto"/>
        <w:bottom w:val="none" w:sz="0" w:space="0" w:color="auto"/>
        <w:right w:val="none" w:sz="0" w:space="0" w:color="auto"/>
      </w:divBdr>
    </w:div>
    <w:div w:id="660741424">
      <w:marLeft w:val="0"/>
      <w:marRight w:val="0"/>
      <w:marTop w:val="180"/>
      <w:marBottom w:val="180"/>
      <w:divBdr>
        <w:top w:val="none" w:sz="0" w:space="0" w:color="auto"/>
        <w:left w:val="none" w:sz="0" w:space="0" w:color="auto"/>
        <w:bottom w:val="none" w:sz="0" w:space="0" w:color="auto"/>
        <w:right w:val="none" w:sz="0" w:space="0" w:color="auto"/>
      </w:divBdr>
    </w:div>
    <w:div w:id="661391393">
      <w:marLeft w:val="0"/>
      <w:marRight w:val="0"/>
      <w:marTop w:val="0"/>
      <w:marBottom w:val="0"/>
      <w:divBdr>
        <w:top w:val="none" w:sz="0" w:space="0" w:color="auto"/>
        <w:left w:val="none" w:sz="0" w:space="0" w:color="auto"/>
        <w:bottom w:val="none" w:sz="0" w:space="0" w:color="auto"/>
        <w:right w:val="none" w:sz="0" w:space="0" w:color="auto"/>
      </w:divBdr>
      <w:divsChild>
        <w:div w:id="1003435913">
          <w:marLeft w:val="0"/>
          <w:marRight w:val="0"/>
          <w:marTop w:val="0"/>
          <w:marBottom w:val="0"/>
          <w:divBdr>
            <w:top w:val="none" w:sz="0" w:space="0" w:color="auto"/>
            <w:left w:val="none" w:sz="0" w:space="0" w:color="auto"/>
            <w:bottom w:val="none" w:sz="0" w:space="0" w:color="auto"/>
            <w:right w:val="none" w:sz="0" w:space="0" w:color="auto"/>
          </w:divBdr>
        </w:div>
      </w:divsChild>
    </w:div>
    <w:div w:id="662587785">
      <w:marLeft w:val="0"/>
      <w:marRight w:val="0"/>
      <w:marTop w:val="100"/>
      <w:marBottom w:val="240"/>
      <w:divBdr>
        <w:top w:val="none" w:sz="0" w:space="0" w:color="auto"/>
        <w:left w:val="none" w:sz="0" w:space="0" w:color="auto"/>
        <w:bottom w:val="none" w:sz="0" w:space="0" w:color="auto"/>
        <w:right w:val="none" w:sz="0" w:space="0" w:color="auto"/>
      </w:divBdr>
    </w:div>
    <w:div w:id="663584273">
      <w:marLeft w:val="0"/>
      <w:marRight w:val="0"/>
      <w:marTop w:val="120"/>
      <w:marBottom w:val="240"/>
      <w:divBdr>
        <w:top w:val="none" w:sz="0" w:space="0" w:color="auto"/>
        <w:left w:val="none" w:sz="0" w:space="0" w:color="auto"/>
        <w:bottom w:val="none" w:sz="0" w:space="0" w:color="auto"/>
        <w:right w:val="none" w:sz="0" w:space="0" w:color="auto"/>
      </w:divBdr>
    </w:div>
    <w:div w:id="663704268">
      <w:marLeft w:val="0"/>
      <w:marRight w:val="0"/>
      <w:marTop w:val="100"/>
      <w:marBottom w:val="100"/>
      <w:divBdr>
        <w:top w:val="none" w:sz="0" w:space="0" w:color="auto"/>
        <w:left w:val="none" w:sz="0" w:space="0" w:color="auto"/>
        <w:bottom w:val="none" w:sz="0" w:space="0" w:color="auto"/>
        <w:right w:val="none" w:sz="0" w:space="0" w:color="auto"/>
      </w:divBdr>
      <w:divsChild>
        <w:div w:id="631524297">
          <w:marLeft w:val="0"/>
          <w:marRight w:val="0"/>
          <w:marTop w:val="0"/>
          <w:marBottom w:val="0"/>
          <w:divBdr>
            <w:top w:val="none" w:sz="0" w:space="0" w:color="auto"/>
            <w:left w:val="none" w:sz="0" w:space="0" w:color="auto"/>
            <w:bottom w:val="none" w:sz="0" w:space="0" w:color="auto"/>
            <w:right w:val="none" w:sz="0" w:space="0" w:color="auto"/>
          </w:divBdr>
        </w:div>
        <w:div w:id="203834572">
          <w:marLeft w:val="0"/>
          <w:marRight w:val="0"/>
          <w:marTop w:val="0"/>
          <w:marBottom w:val="0"/>
          <w:divBdr>
            <w:top w:val="none" w:sz="0" w:space="0" w:color="auto"/>
            <w:left w:val="none" w:sz="0" w:space="0" w:color="auto"/>
            <w:bottom w:val="none" w:sz="0" w:space="0" w:color="auto"/>
            <w:right w:val="none" w:sz="0" w:space="0" w:color="auto"/>
          </w:divBdr>
        </w:div>
      </w:divsChild>
    </w:div>
    <w:div w:id="664434521">
      <w:marLeft w:val="0"/>
      <w:marRight w:val="0"/>
      <w:marTop w:val="0"/>
      <w:marBottom w:val="240"/>
      <w:divBdr>
        <w:top w:val="none" w:sz="0" w:space="0" w:color="auto"/>
        <w:left w:val="none" w:sz="0" w:space="0" w:color="auto"/>
        <w:bottom w:val="none" w:sz="0" w:space="0" w:color="auto"/>
        <w:right w:val="none" w:sz="0" w:space="0" w:color="auto"/>
      </w:divBdr>
    </w:div>
    <w:div w:id="664823255">
      <w:marLeft w:val="0"/>
      <w:marRight w:val="0"/>
      <w:marTop w:val="0"/>
      <w:marBottom w:val="180"/>
      <w:divBdr>
        <w:top w:val="none" w:sz="0" w:space="0" w:color="auto"/>
        <w:left w:val="none" w:sz="0" w:space="0" w:color="auto"/>
        <w:bottom w:val="none" w:sz="0" w:space="0" w:color="auto"/>
        <w:right w:val="none" w:sz="0" w:space="0" w:color="auto"/>
      </w:divBdr>
    </w:div>
    <w:div w:id="665010026">
      <w:marLeft w:val="0"/>
      <w:marRight w:val="0"/>
      <w:marTop w:val="120"/>
      <w:marBottom w:val="240"/>
      <w:divBdr>
        <w:top w:val="none" w:sz="0" w:space="0" w:color="auto"/>
        <w:left w:val="none" w:sz="0" w:space="0" w:color="auto"/>
        <w:bottom w:val="none" w:sz="0" w:space="0" w:color="auto"/>
        <w:right w:val="none" w:sz="0" w:space="0" w:color="auto"/>
      </w:divBdr>
    </w:div>
    <w:div w:id="665061906">
      <w:marLeft w:val="0"/>
      <w:marRight w:val="0"/>
      <w:marTop w:val="180"/>
      <w:marBottom w:val="180"/>
      <w:divBdr>
        <w:top w:val="none" w:sz="0" w:space="0" w:color="auto"/>
        <w:left w:val="none" w:sz="0" w:space="0" w:color="auto"/>
        <w:bottom w:val="none" w:sz="0" w:space="0" w:color="auto"/>
        <w:right w:val="none" w:sz="0" w:space="0" w:color="auto"/>
      </w:divBdr>
    </w:div>
    <w:div w:id="665284359">
      <w:marLeft w:val="0"/>
      <w:marRight w:val="0"/>
      <w:marTop w:val="180"/>
      <w:marBottom w:val="180"/>
      <w:divBdr>
        <w:top w:val="none" w:sz="0" w:space="0" w:color="auto"/>
        <w:left w:val="none" w:sz="0" w:space="0" w:color="auto"/>
        <w:bottom w:val="none" w:sz="0" w:space="0" w:color="auto"/>
        <w:right w:val="none" w:sz="0" w:space="0" w:color="auto"/>
      </w:divBdr>
    </w:div>
    <w:div w:id="665550818">
      <w:marLeft w:val="0"/>
      <w:marRight w:val="0"/>
      <w:marTop w:val="0"/>
      <w:marBottom w:val="180"/>
      <w:divBdr>
        <w:top w:val="none" w:sz="0" w:space="0" w:color="auto"/>
        <w:left w:val="none" w:sz="0" w:space="0" w:color="auto"/>
        <w:bottom w:val="none" w:sz="0" w:space="0" w:color="auto"/>
        <w:right w:val="none" w:sz="0" w:space="0" w:color="auto"/>
      </w:divBdr>
    </w:div>
    <w:div w:id="666205089">
      <w:marLeft w:val="0"/>
      <w:marRight w:val="0"/>
      <w:marTop w:val="0"/>
      <w:marBottom w:val="0"/>
      <w:divBdr>
        <w:top w:val="none" w:sz="0" w:space="0" w:color="auto"/>
        <w:left w:val="none" w:sz="0" w:space="0" w:color="auto"/>
        <w:bottom w:val="none" w:sz="0" w:space="0" w:color="auto"/>
        <w:right w:val="none" w:sz="0" w:space="0" w:color="auto"/>
      </w:divBdr>
    </w:div>
    <w:div w:id="667513296">
      <w:marLeft w:val="0"/>
      <w:marRight w:val="0"/>
      <w:marTop w:val="0"/>
      <w:marBottom w:val="0"/>
      <w:divBdr>
        <w:top w:val="none" w:sz="0" w:space="0" w:color="auto"/>
        <w:left w:val="none" w:sz="0" w:space="0" w:color="auto"/>
        <w:bottom w:val="none" w:sz="0" w:space="0" w:color="auto"/>
        <w:right w:val="none" w:sz="0" w:space="0" w:color="auto"/>
      </w:divBdr>
    </w:div>
    <w:div w:id="668025793">
      <w:marLeft w:val="0"/>
      <w:marRight w:val="0"/>
      <w:marTop w:val="0"/>
      <w:marBottom w:val="0"/>
      <w:divBdr>
        <w:top w:val="none" w:sz="0" w:space="0" w:color="auto"/>
        <w:left w:val="none" w:sz="0" w:space="0" w:color="auto"/>
        <w:bottom w:val="none" w:sz="0" w:space="0" w:color="auto"/>
        <w:right w:val="none" w:sz="0" w:space="0" w:color="auto"/>
      </w:divBdr>
    </w:div>
    <w:div w:id="668287291">
      <w:marLeft w:val="0"/>
      <w:marRight w:val="0"/>
      <w:marTop w:val="100"/>
      <w:marBottom w:val="180"/>
      <w:divBdr>
        <w:top w:val="none" w:sz="0" w:space="0" w:color="auto"/>
        <w:left w:val="none" w:sz="0" w:space="0" w:color="auto"/>
        <w:bottom w:val="none" w:sz="0" w:space="0" w:color="auto"/>
        <w:right w:val="none" w:sz="0" w:space="0" w:color="auto"/>
      </w:divBdr>
    </w:div>
    <w:div w:id="669866580">
      <w:marLeft w:val="0"/>
      <w:marRight w:val="0"/>
      <w:marTop w:val="120"/>
      <w:marBottom w:val="120"/>
      <w:divBdr>
        <w:top w:val="none" w:sz="0" w:space="0" w:color="auto"/>
        <w:left w:val="none" w:sz="0" w:space="0" w:color="auto"/>
        <w:bottom w:val="none" w:sz="0" w:space="0" w:color="auto"/>
        <w:right w:val="none" w:sz="0" w:space="0" w:color="auto"/>
      </w:divBdr>
    </w:div>
    <w:div w:id="669873440">
      <w:marLeft w:val="0"/>
      <w:marRight w:val="0"/>
      <w:marTop w:val="0"/>
      <w:marBottom w:val="180"/>
      <w:divBdr>
        <w:top w:val="none" w:sz="0" w:space="0" w:color="auto"/>
        <w:left w:val="none" w:sz="0" w:space="0" w:color="auto"/>
        <w:bottom w:val="none" w:sz="0" w:space="0" w:color="auto"/>
        <w:right w:val="none" w:sz="0" w:space="0" w:color="auto"/>
      </w:divBdr>
    </w:div>
    <w:div w:id="670332148">
      <w:marLeft w:val="0"/>
      <w:marRight w:val="0"/>
      <w:marTop w:val="0"/>
      <w:marBottom w:val="180"/>
      <w:divBdr>
        <w:top w:val="none" w:sz="0" w:space="0" w:color="auto"/>
        <w:left w:val="none" w:sz="0" w:space="0" w:color="auto"/>
        <w:bottom w:val="none" w:sz="0" w:space="0" w:color="auto"/>
        <w:right w:val="none" w:sz="0" w:space="0" w:color="auto"/>
      </w:divBdr>
    </w:div>
    <w:div w:id="671688895">
      <w:marLeft w:val="0"/>
      <w:marRight w:val="0"/>
      <w:marTop w:val="0"/>
      <w:marBottom w:val="0"/>
      <w:divBdr>
        <w:top w:val="none" w:sz="0" w:space="0" w:color="auto"/>
        <w:left w:val="none" w:sz="0" w:space="0" w:color="auto"/>
        <w:bottom w:val="none" w:sz="0" w:space="0" w:color="auto"/>
        <w:right w:val="none" w:sz="0" w:space="0" w:color="auto"/>
      </w:divBdr>
      <w:divsChild>
        <w:div w:id="1716194095">
          <w:marLeft w:val="0"/>
          <w:marRight w:val="0"/>
          <w:marTop w:val="0"/>
          <w:marBottom w:val="0"/>
          <w:divBdr>
            <w:top w:val="none" w:sz="0" w:space="0" w:color="auto"/>
            <w:left w:val="none" w:sz="0" w:space="0" w:color="auto"/>
            <w:bottom w:val="none" w:sz="0" w:space="0" w:color="auto"/>
            <w:right w:val="none" w:sz="0" w:space="0" w:color="auto"/>
          </w:divBdr>
          <w:divsChild>
            <w:div w:id="16407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80128">
      <w:marLeft w:val="0"/>
      <w:marRight w:val="0"/>
      <w:marTop w:val="0"/>
      <w:marBottom w:val="0"/>
      <w:divBdr>
        <w:top w:val="none" w:sz="0" w:space="0" w:color="auto"/>
        <w:left w:val="none" w:sz="0" w:space="0" w:color="auto"/>
        <w:bottom w:val="none" w:sz="0" w:space="0" w:color="auto"/>
        <w:right w:val="none" w:sz="0" w:space="0" w:color="auto"/>
      </w:divBdr>
    </w:div>
    <w:div w:id="673143258">
      <w:marLeft w:val="0"/>
      <w:marRight w:val="0"/>
      <w:marTop w:val="0"/>
      <w:marBottom w:val="0"/>
      <w:divBdr>
        <w:top w:val="none" w:sz="0" w:space="0" w:color="auto"/>
        <w:left w:val="none" w:sz="0" w:space="0" w:color="auto"/>
        <w:bottom w:val="none" w:sz="0" w:space="0" w:color="auto"/>
        <w:right w:val="none" w:sz="0" w:space="0" w:color="auto"/>
      </w:divBdr>
    </w:div>
    <w:div w:id="674456372">
      <w:marLeft w:val="0"/>
      <w:marRight w:val="0"/>
      <w:marTop w:val="0"/>
      <w:marBottom w:val="240"/>
      <w:divBdr>
        <w:top w:val="none" w:sz="0" w:space="0" w:color="auto"/>
        <w:left w:val="none" w:sz="0" w:space="0" w:color="auto"/>
        <w:bottom w:val="none" w:sz="0" w:space="0" w:color="auto"/>
        <w:right w:val="none" w:sz="0" w:space="0" w:color="auto"/>
      </w:divBdr>
    </w:div>
    <w:div w:id="674572552">
      <w:marLeft w:val="0"/>
      <w:marRight w:val="0"/>
      <w:marTop w:val="0"/>
      <w:marBottom w:val="180"/>
      <w:divBdr>
        <w:top w:val="none" w:sz="0" w:space="0" w:color="auto"/>
        <w:left w:val="none" w:sz="0" w:space="0" w:color="auto"/>
        <w:bottom w:val="none" w:sz="0" w:space="0" w:color="auto"/>
        <w:right w:val="none" w:sz="0" w:space="0" w:color="auto"/>
      </w:divBdr>
    </w:div>
    <w:div w:id="675689305">
      <w:marLeft w:val="0"/>
      <w:marRight w:val="0"/>
      <w:marTop w:val="0"/>
      <w:marBottom w:val="240"/>
      <w:divBdr>
        <w:top w:val="none" w:sz="0" w:space="0" w:color="auto"/>
        <w:left w:val="none" w:sz="0" w:space="0" w:color="auto"/>
        <w:bottom w:val="none" w:sz="0" w:space="0" w:color="auto"/>
        <w:right w:val="none" w:sz="0" w:space="0" w:color="auto"/>
      </w:divBdr>
    </w:div>
    <w:div w:id="676425002">
      <w:marLeft w:val="0"/>
      <w:marRight w:val="0"/>
      <w:marTop w:val="0"/>
      <w:marBottom w:val="0"/>
      <w:divBdr>
        <w:top w:val="none" w:sz="0" w:space="0" w:color="auto"/>
        <w:left w:val="none" w:sz="0" w:space="0" w:color="auto"/>
        <w:bottom w:val="none" w:sz="0" w:space="0" w:color="auto"/>
        <w:right w:val="none" w:sz="0" w:space="0" w:color="auto"/>
      </w:divBdr>
    </w:div>
    <w:div w:id="676811692">
      <w:marLeft w:val="0"/>
      <w:marRight w:val="0"/>
      <w:marTop w:val="0"/>
      <w:marBottom w:val="0"/>
      <w:divBdr>
        <w:top w:val="none" w:sz="0" w:space="0" w:color="auto"/>
        <w:left w:val="none" w:sz="0" w:space="0" w:color="auto"/>
        <w:bottom w:val="none" w:sz="0" w:space="0" w:color="auto"/>
        <w:right w:val="none" w:sz="0" w:space="0" w:color="auto"/>
      </w:divBdr>
      <w:divsChild>
        <w:div w:id="1499617668">
          <w:marLeft w:val="0"/>
          <w:marRight w:val="0"/>
          <w:marTop w:val="0"/>
          <w:marBottom w:val="0"/>
          <w:divBdr>
            <w:top w:val="none" w:sz="0" w:space="0" w:color="auto"/>
            <w:left w:val="none" w:sz="0" w:space="0" w:color="auto"/>
            <w:bottom w:val="none" w:sz="0" w:space="0" w:color="auto"/>
            <w:right w:val="none" w:sz="0" w:space="0" w:color="auto"/>
          </w:divBdr>
        </w:div>
        <w:div w:id="1186603873">
          <w:marLeft w:val="0"/>
          <w:marRight w:val="0"/>
          <w:marTop w:val="0"/>
          <w:marBottom w:val="0"/>
          <w:divBdr>
            <w:top w:val="none" w:sz="0" w:space="0" w:color="auto"/>
            <w:left w:val="none" w:sz="0" w:space="0" w:color="auto"/>
            <w:bottom w:val="none" w:sz="0" w:space="0" w:color="auto"/>
            <w:right w:val="none" w:sz="0" w:space="0" w:color="auto"/>
          </w:divBdr>
        </w:div>
        <w:div w:id="1575242563">
          <w:marLeft w:val="0"/>
          <w:marRight w:val="0"/>
          <w:marTop w:val="0"/>
          <w:marBottom w:val="0"/>
          <w:divBdr>
            <w:top w:val="none" w:sz="0" w:space="0" w:color="auto"/>
            <w:left w:val="none" w:sz="0" w:space="0" w:color="auto"/>
            <w:bottom w:val="none" w:sz="0" w:space="0" w:color="auto"/>
            <w:right w:val="none" w:sz="0" w:space="0" w:color="auto"/>
          </w:divBdr>
        </w:div>
        <w:div w:id="2011328414">
          <w:marLeft w:val="0"/>
          <w:marRight w:val="0"/>
          <w:marTop w:val="0"/>
          <w:marBottom w:val="0"/>
          <w:divBdr>
            <w:top w:val="none" w:sz="0" w:space="0" w:color="auto"/>
            <w:left w:val="none" w:sz="0" w:space="0" w:color="auto"/>
            <w:bottom w:val="none" w:sz="0" w:space="0" w:color="auto"/>
            <w:right w:val="none" w:sz="0" w:space="0" w:color="auto"/>
          </w:divBdr>
        </w:div>
      </w:divsChild>
    </w:div>
    <w:div w:id="677346220">
      <w:marLeft w:val="0"/>
      <w:marRight w:val="0"/>
      <w:marTop w:val="0"/>
      <w:marBottom w:val="0"/>
      <w:divBdr>
        <w:top w:val="none" w:sz="0" w:space="0" w:color="auto"/>
        <w:left w:val="none" w:sz="0" w:space="0" w:color="auto"/>
        <w:bottom w:val="none" w:sz="0" w:space="0" w:color="auto"/>
        <w:right w:val="none" w:sz="0" w:space="0" w:color="auto"/>
      </w:divBdr>
    </w:div>
    <w:div w:id="678000195">
      <w:marLeft w:val="0"/>
      <w:marRight w:val="0"/>
      <w:marTop w:val="180"/>
      <w:marBottom w:val="180"/>
      <w:divBdr>
        <w:top w:val="none" w:sz="0" w:space="0" w:color="auto"/>
        <w:left w:val="none" w:sz="0" w:space="0" w:color="auto"/>
        <w:bottom w:val="none" w:sz="0" w:space="0" w:color="auto"/>
        <w:right w:val="none" w:sz="0" w:space="0" w:color="auto"/>
      </w:divBdr>
    </w:div>
    <w:div w:id="678429286">
      <w:marLeft w:val="0"/>
      <w:marRight w:val="0"/>
      <w:marTop w:val="0"/>
      <w:marBottom w:val="180"/>
      <w:divBdr>
        <w:top w:val="none" w:sz="0" w:space="0" w:color="auto"/>
        <w:left w:val="none" w:sz="0" w:space="0" w:color="auto"/>
        <w:bottom w:val="none" w:sz="0" w:space="0" w:color="auto"/>
        <w:right w:val="none" w:sz="0" w:space="0" w:color="auto"/>
      </w:divBdr>
    </w:div>
    <w:div w:id="678967708">
      <w:marLeft w:val="0"/>
      <w:marRight w:val="0"/>
      <w:marTop w:val="120"/>
      <w:marBottom w:val="120"/>
      <w:divBdr>
        <w:top w:val="none" w:sz="0" w:space="0" w:color="auto"/>
        <w:left w:val="none" w:sz="0" w:space="0" w:color="auto"/>
        <w:bottom w:val="none" w:sz="0" w:space="0" w:color="auto"/>
        <w:right w:val="none" w:sz="0" w:space="0" w:color="auto"/>
      </w:divBdr>
    </w:div>
    <w:div w:id="680351322">
      <w:marLeft w:val="0"/>
      <w:marRight w:val="0"/>
      <w:marTop w:val="180"/>
      <w:marBottom w:val="180"/>
      <w:divBdr>
        <w:top w:val="none" w:sz="0" w:space="0" w:color="auto"/>
        <w:left w:val="none" w:sz="0" w:space="0" w:color="auto"/>
        <w:bottom w:val="none" w:sz="0" w:space="0" w:color="auto"/>
        <w:right w:val="none" w:sz="0" w:space="0" w:color="auto"/>
      </w:divBdr>
    </w:div>
    <w:div w:id="681248582">
      <w:marLeft w:val="0"/>
      <w:marRight w:val="0"/>
      <w:marTop w:val="0"/>
      <w:marBottom w:val="240"/>
      <w:divBdr>
        <w:top w:val="none" w:sz="0" w:space="0" w:color="auto"/>
        <w:left w:val="none" w:sz="0" w:space="0" w:color="auto"/>
        <w:bottom w:val="none" w:sz="0" w:space="0" w:color="auto"/>
        <w:right w:val="none" w:sz="0" w:space="0" w:color="auto"/>
      </w:divBdr>
    </w:div>
    <w:div w:id="681863229">
      <w:marLeft w:val="0"/>
      <w:marRight w:val="0"/>
      <w:marTop w:val="0"/>
      <w:marBottom w:val="0"/>
      <w:divBdr>
        <w:top w:val="none" w:sz="0" w:space="0" w:color="auto"/>
        <w:left w:val="none" w:sz="0" w:space="0" w:color="auto"/>
        <w:bottom w:val="none" w:sz="0" w:space="0" w:color="auto"/>
        <w:right w:val="none" w:sz="0" w:space="0" w:color="auto"/>
      </w:divBdr>
    </w:div>
    <w:div w:id="682435702">
      <w:marLeft w:val="0"/>
      <w:marRight w:val="0"/>
      <w:marTop w:val="0"/>
      <w:marBottom w:val="180"/>
      <w:divBdr>
        <w:top w:val="none" w:sz="0" w:space="0" w:color="auto"/>
        <w:left w:val="none" w:sz="0" w:space="0" w:color="auto"/>
        <w:bottom w:val="none" w:sz="0" w:space="0" w:color="auto"/>
        <w:right w:val="none" w:sz="0" w:space="0" w:color="auto"/>
      </w:divBdr>
    </w:div>
    <w:div w:id="682629405">
      <w:marLeft w:val="0"/>
      <w:marRight w:val="0"/>
      <w:marTop w:val="100"/>
      <w:marBottom w:val="100"/>
      <w:divBdr>
        <w:top w:val="none" w:sz="0" w:space="0" w:color="auto"/>
        <w:left w:val="none" w:sz="0" w:space="0" w:color="auto"/>
        <w:bottom w:val="none" w:sz="0" w:space="0" w:color="auto"/>
        <w:right w:val="none" w:sz="0" w:space="0" w:color="auto"/>
      </w:divBdr>
      <w:divsChild>
        <w:div w:id="62459651">
          <w:marLeft w:val="0"/>
          <w:marRight w:val="0"/>
          <w:marTop w:val="0"/>
          <w:marBottom w:val="0"/>
          <w:divBdr>
            <w:top w:val="none" w:sz="0" w:space="0" w:color="auto"/>
            <w:left w:val="none" w:sz="0" w:space="0" w:color="auto"/>
            <w:bottom w:val="none" w:sz="0" w:space="0" w:color="auto"/>
            <w:right w:val="none" w:sz="0" w:space="0" w:color="auto"/>
          </w:divBdr>
        </w:div>
        <w:div w:id="77096568">
          <w:marLeft w:val="0"/>
          <w:marRight w:val="0"/>
          <w:marTop w:val="0"/>
          <w:marBottom w:val="0"/>
          <w:divBdr>
            <w:top w:val="none" w:sz="0" w:space="0" w:color="auto"/>
            <w:left w:val="none" w:sz="0" w:space="0" w:color="auto"/>
            <w:bottom w:val="none" w:sz="0" w:space="0" w:color="auto"/>
            <w:right w:val="none" w:sz="0" w:space="0" w:color="auto"/>
          </w:divBdr>
        </w:div>
        <w:div w:id="1083994497">
          <w:marLeft w:val="0"/>
          <w:marRight w:val="0"/>
          <w:marTop w:val="0"/>
          <w:marBottom w:val="0"/>
          <w:divBdr>
            <w:top w:val="none" w:sz="0" w:space="0" w:color="auto"/>
            <w:left w:val="none" w:sz="0" w:space="0" w:color="auto"/>
            <w:bottom w:val="none" w:sz="0" w:space="0" w:color="auto"/>
            <w:right w:val="none" w:sz="0" w:space="0" w:color="auto"/>
          </w:divBdr>
        </w:div>
        <w:div w:id="56169640">
          <w:marLeft w:val="0"/>
          <w:marRight w:val="0"/>
          <w:marTop w:val="0"/>
          <w:marBottom w:val="0"/>
          <w:divBdr>
            <w:top w:val="none" w:sz="0" w:space="0" w:color="auto"/>
            <w:left w:val="none" w:sz="0" w:space="0" w:color="auto"/>
            <w:bottom w:val="none" w:sz="0" w:space="0" w:color="auto"/>
            <w:right w:val="none" w:sz="0" w:space="0" w:color="auto"/>
          </w:divBdr>
        </w:div>
        <w:div w:id="2010328117">
          <w:marLeft w:val="0"/>
          <w:marRight w:val="0"/>
          <w:marTop w:val="0"/>
          <w:marBottom w:val="0"/>
          <w:divBdr>
            <w:top w:val="none" w:sz="0" w:space="0" w:color="auto"/>
            <w:left w:val="none" w:sz="0" w:space="0" w:color="auto"/>
            <w:bottom w:val="none" w:sz="0" w:space="0" w:color="auto"/>
            <w:right w:val="none" w:sz="0" w:space="0" w:color="auto"/>
          </w:divBdr>
        </w:div>
      </w:divsChild>
    </w:div>
    <w:div w:id="685139374">
      <w:marLeft w:val="0"/>
      <w:marRight w:val="0"/>
      <w:marTop w:val="180"/>
      <w:marBottom w:val="180"/>
      <w:divBdr>
        <w:top w:val="none" w:sz="0" w:space="0" w:color="auto"/>
        <w:left w:val="none" w:sz="0" w:space="0" w:color="auto"/>
        <w:bottom w:val="none" w:sz="0" w:space="0" w:color="auto"/>
        <w:right w:val="none" w:sz="0" w:space="0" w:color="auto"/>
      </w:divBdr>
    </w:div>
    <w:div w:id="685179919">
      <w:marLeft w:val="0"/>
      <w:marRight w:val="0"/>
      <w:marTop w:val="0"/>
      <w:marBottom w:val="0"/>
      <w:divBdr>
        <w:top w:val="none" w:sz="0" w:space="0" w:color="auto"/>
        <w:left w:val="none" w:sz="0" w:space="0" w:color="auto"/>
        <w:bottom w:val="none" w:sz="0" w:space="0" w:color="auto"/>
        <w:right w:val="none" w:sz="0" w:space="0" w:color="auto"/>
      </w:divBdr>
      <w:divsChild>
        <w:div w:id="563493313">
          <w:marLeft w:val="0"/>
          <w:marRight w:val="0"/>
          <w:marTop w:val="0"/>
          <w:marBottom w:val="0"/>
          <w:divBdr>
            <w:top w:val="none" w:sz="0" w:space="0" w:color="auto"/>
            <w:left w:val="none" w:sz="0" w:space="0" w:color="auto"/>
            <w:bottom w:val="none" w:sz="0" w:space="0" w:color="auto"/>
            <w:right w:val="none" w:sz="0" w:space="0" w:color="auto"/>
          </w:divBdr>
        </w:div>
      </w:divsChild>
    </w:div>
    <w:div w:id="687171771">
      <w:marLeft w:val="0"/>
      <w:marRight w:val="0"/>
      <w:marTop w:val="0"/>
      <w:marBottom w:val="180"/>
      <w:divBdr>
        <w:top w:val="none" w:sz="0" w:space="0" w:color="auto"/>
        <w:left w:val="none" w:sz="0" w:space="0" w:color="auto"/>
        <w:bottom w:val="none" w:sz="0" w:space="0" w:color="auto"/>
        <w:right w:val="none" w:sz="0" w:space="0" w:color="auto"/>
      </w:divBdr>
    </w:div>
    <w:div w:id="689571763">
      <w:marLeft w:val="0"/>
      <w:marRight w:val="0"/>
      <w:marTop w:val="180"/>
      <w:marBottom w:val="180"/>
      <w:divBdr>
        <w:top w:val="none" w:sz="0" w:space="0" w:color="auto"/>
        <w:left w:val="none" w:sz="0" w:space="0" w:color="auto"/>
        <w:bottom w:val="none" w:sz="0" w:space="0" w:color="auto"/>
        <w:right w:val="none" w:sz="0" w:space="0" w:color="auto"/>
      </w:divBdr>
    </w:div>
    <w:div w:id="689836756">
      <w:marLeft w:val="0"/>
      <w:marRight w:val="0"/>
      <w:marTop w:val="120"/>
      <w:marBottom w:val="180"/>
      <w:divBdr>
        <w:top w:val="none" w:sz="0" w:space="0" w:color="auto"/>
        <w:left w:val="none" w:sz="0" w:space="0" w:color="auto"/>
        <w:bottom w:val="none" w:sz="0" w:space="0" w:color="auto"/>
        <w:right w:val="none" w:sz="0" w:space="0" w:color="auto"/>
      </w:divBdr>
    </w:div>
    <w:div w:id="692419563">
      <w:marLeft w:val="0"/>
      <w:marRight w:val="0"/>
      <w:marTop w:val="0"/>
      <w:marBottom w:val="180"/>
      <w:divBdr>
        <w:top w:val="none" w:sz="0" w:space="0" w:color="auto"/>
        <w:left w:val="none" w:sz="0" w:space="0" w:color="auto"/>
        <w:bottom w:val="none" w:sz="0" w:space="0" w:color="auto"/>
        <w:right w:val="none" w:sz="0" w:space="0" w:color="auto"/>
      </w:divBdr>
    </w:div>
    <w:div w:id="692925952">
      <w:marLeft w:val="0"/>
      <w:marRight w:val="0"/>
      <w:marTop w:val="120"/>
      <w:marBottom w:val="120"/>
      <w:divBdr>
        <w:top w:val="none" w:sz="0" w:space="0" w:color="auto"/>
        <w:left w:val="none" w:sz="0" w:space="0" w:color="auto"/>
        <w:bottom w:val="none" w:sz="0" w:space="0" w:color="auto"/>
        <w:right w:val="none" w:sz="0" w:space="0" w:color="auto"/>
      </w:divBdr>
    </w:div>
    <w:div w:id="693380681">
      <w:marLeft w:val="0"/>
      <w:marRight w:val="0"/>
      <w:marTop w:val="0"/>
      <w:marBottom w:val="180"/>
      <w:divBdr>
        <w:top w:val="none" w:sz="0" w:space="0" w:color="auto"/>
        <w:left w:val="none" w:sz="0" w:space="0" w:color="auto"/>
        <w:bottom w:val="none" w:sz="0" w:space="0" w:color="auto"/>
        <w:right w:val="none" w:sz="0" w:space="0" w:color="auto"/>
      </w:divBdr>
    </w:div>
    <w:div w:id="694775183">
      <w:marLeft w:val="0"/>
      <w:marRight w:val="0"/>
      <w:marTop w:val="120"/>
      <w:marBottom w:val="120"/>
      <w:divBdr>
        <w:top w:val="none" w:sz="0" w:space="0" w:color="auto"/>
        <w:left w:val="none" w:sz="0" w:space="0" w:color="auto"/>
        <w:bottom w:val="none" w:sz="0" w:space="0" w:color="auto"/>
        <w:right w:val="none" w:sz="0" w:space="0" w:color="auto"/>
      </w:divBdr>
    </w:div>
    <w:div w:id="694884496">
      <w:marLeft w:val="0"/>
      <w:marRight w:val="0"/>
      <w:marTop w:val="0"/>
      <w:marBottom w:val="240"/>
      <w:divBdr>
        <w:top w:val="none" w:sz="0" w:space="0" w:color="auto"/>
        <w:left w:val="none" w:sz="0" w:space="0" w:color="auto"/>
        <w:bottom w:val="none" w:sz="0" w:space="0" w:color="auto"/>
        <w:right w:val="none" w:sz="0" w:space="0" w:color="auto"/>
      </w:divBdr>
    </w:div>
    <w:div w:id="695472269">
      <w:marLeft w:val="0"/>
      <w:marRight w:val="0"/>
      <w:marTop w:val="0"/>
      <w:marBottom w:val="240"/>
      <w:divBdr>
        <w:top w:val="none" w:sz="0" w:space="0" w:color="auto"/>
        <w:left w:val="none" w:sz="0" w:space="0" w:color="auto"/>
        <w:bottom w:val="none" w:sz="0" w:space="0" w:color="auto"/>
        <w:right w:val="none" w:sz="0" w:space="0" w:color="auto"/>
      </w:divBdr>
    </w:div>
    <w:div w:id="696195000">
      <w:marLeft w:val="0"/>
      <w:marRight w:val="0"/>
      <w:marTop w:val="0"/>
      <w:marBottom w:val="240"/>
      <w:divBdr>
        <w:top w:val="none" w:sz="0" w:space="0" w:color="auto"/>
        <w:left w:val="none" w:sz="0" w:space="0" w:color="auto"/>
        <w:bottom w:val="none" w:sz="0" w:space="0" w:color="auto"/>
        <w:right w:val="none" w:sz="0" w:space="0" w:color="auto"/>
      </w:divBdr>
    </w:div>
    <w:div w:id="696466042">
      <w:marLeft w:val="0"/>
      <w:marRight w:val="0"/>
      <w:marTop w:val="0"/>
      <w:marBottom w:val="0"/>
      <w:divBdr>
        <w:top w:val="none" w:sz="0" w:space="0" w:color="auto"/>
        <w:left w:val="none" w:sz="0" w:space="0" w:color="auto"/>
        <w:bottom w:val="none" w:sz="0" w:space="0" w:color="auto"/>
        <w:right w:val="none" w:sz="0" w:space="0" w:color="auto"/>
      </w:divBdr>
      <w:divsChild>
        <w:div w:id="1945838459">
          <w:marLeft w:val="0"/>
          <w:marRight w:val="0"/>
          <w:marTop w:val="0"/>
          <w:marBottom w:val="0"/>
          <w:divBdr>
            <w:top w:val="none" w:sz="0" w:space="0" w:color="auto"/>
            <w:left w:val="none" w:sz="0" w:space="0" w:color="auto"/>
            <w:bottom w:val="none" w:sz="0" w:space="0" w:color="auto"/>
            <w:right w:val="none" w:sz="0" w:space="0" w:color="auto"/>
          </w:divBdr>
        </w:div>
      </w:divsChild>
    </w:div>
    <w:div w:id="697007755">
      <w:marLeft w:val="0"/>
      <w:marRight w:val="0"/>
      <w:marTop w:val="120"/>
      <w:marBottom w:val="120"/>
      <w:divBdr>
        <w:top w:val="none" w:sz="0" w:space="0" w:color="auto"/>
        <w:left w:val="none" w:sz="0" w:space="0" w:color="auto"/>
        <w:bottom w:val="none" w:sz="0" w:space="0" w:color="auto"/>
        <w:right w:val="none" w:sz="0" w:space="0" w:color="auto"/>
      </w:divBdr>
    </w:div>
    <w:div w:id="697775313">
      <w:marLeft w:val="0"/>
      <w:marRight w:val="0"/>
      <w:marTop w:val="120"/>
      <w:marBottom w:val="120"/>
      <w:divBdr>
        <w:top w:val="none" w:sz="0" w:space="0" w:color="auto"/>
        <w:left w:val="none" w:sz="0" w:space="0" w:color="auto"/>
        <w:bottom w:val="none" w:sz="0" w:space="0" w:color="auto"/>
        <w:right w:val="none" w:sz="0" w:space="0" w:color="auto"/>
      </w:divBdr>
    </w:div>
    <w:div w:id="698699873">
      <w:marLeft w:val="0"/>
      <w:marRight w:val="0"/>
      <w:marTop w:val="0"/>
      <w:marBottom w:val="180"/>
      <w:divBdr>
        <w:top w:val="none" w:sz="0" w:space="0" w:color="auto"/>
        <w:left w:val="none" w:sz="0" w:space="0" w:color="auto"/>
        <w:bottom w:val="none" w:sz="0" w:space="0" w:color="auto"/>
        <w:right w:val="none" w:sz="0" w:space="0" w:color="auto"/>
      </w:divBdr>
    </w:div>
    <w:div w:id="699010574">
      <w:marLeft w:val="0"/>
      <w:marRight w:val="0"/>
      <w:marTop w:val="100"/>
      <w:marBottom w:val="0"/>
      <w:divBdr>
        <w:top w:val="none" w:sz="0" w:space="0" w:color="auto"/>
        <w:left w:val="none" w:sz="0" w:space="0" w:color="auto"/>
        <w:bottom w:val="none" w:sz="0" w:space="0" w:color="auto"/>
        <w:right w:val="none" w:sz="0" w:space="0" w:color="auto"/>
      </w:divBdr>
    </w:div>
    <w:div w:id="699474657">
      <w:marLeft w:val="0"/>
      <w:marRight w:val="0"/>
      <w:marTop w:val="0"/>
      <w:marBottom w:val="240"/>
      <w:divBdr>
        <w:top w:val="none" w:sz="0" w:space="0" w:color="auto"/>
        <w:left w:val="none" w:sz="0" w:space="0" w:color="auto"/>
        <w:bottom w:val="none" w:sz="0" w:space="0" w:color="auto"/>
        <w:right w:val="none" w:sz="0" w:space="0" w:color="auto"/>
      </w:divBdr>
    </w:div>
    <w:div w:id="699550679">
      <w:marLeft w:val="0"/>
      <w:marRight w:val="0"/>
      <w:marTop w:val="0"/>
      <w:marBottom w:val="0"/>
      <w:divBdr>
        <w:top w:val="none" w:sz="0" w:space="0" w:color="auto"/>
        <w:left w:val="none" w:sz="0" w:space="0" w:color="auto"/>
        <w:bottom w:val="none" w:sz="0" w:space="0" w:color="auto"/>
        <w:right w:val="none" w:sz="0" w:space="0" w:color="auto"/>
      </w:divBdr>
    </w:div>
    <w:div w:id="700131887">
      <w:marLeft w:val="0"/>
      <w:marRight w:val="0"/>
      <w:marTop w:val="180"/>
      <w:marBottom w:val="180"/>
      <w:divBdr>
        <w:top w:val="none" w:sz="0" w:space="0" w:color="auto"/>
        <w:left w:val="none" w:sz="0" w:space="0" w:color="auto"/>
        <w:bottom w:val="none" w:sz="0" w:space="0" w:color="auto"/>
        <w:right w:val="none" w:sz="0" w:space="0" w:color="auto"/>
      </w:divBdr>
    </w:div>
    <w:div w:id="700320078">
      <w:marLeft w:val="0"/>
      <w:marRight w:val="0"/>
      <w:marTop w:val="0"/>
      <w:marBottom w:val="0"/>
      <w:divBdr>
        <w:top w:val="none" w:sz="0" w:space="0" w:color="auto"/>
        <w:left w:val="none" w:sz="0" w:space="0" w:color="auto"/>
        <w:bottom w:val="none" w:sz="0" w:space="0" w:color="auto"/>
        <w:right w:val="none" w:sz="0" w:space="0" w:color="auto"/>
      </w:divBdr>
    </w:div>
    <w:div w:id="700590993">
      <w:marLeft w:val="0"/>
      <w:marRight w:val="0"/>
      <w:marTop w:val="0"/>
      <w:marBottom w:val="0"/>
      <w:divBdr>
        <w:top w:val="none" w:sz="0" w:space="0" w:color="auto"/>
        <w:left w:val="none" w:sz="0" w:space="0" w:color="auto"/>
        <w:bottom w:val="none" w:sz="0" w:space="0" w:color="auto"/>
        <w:right w:val="none" w:sz="0" w:space="0" w:color="auto"/>
      </w:divBdr>
    </w:div>
    <w:div w:id="700935060">
      <w:marLeft w:val="0"/>
      <w:marRight w:val="0"/>
      <w:marTop w:val="0"/>
      <w:marBottom w:val="240"/>
      <w:divBdr>
        <w:top w:val="none" w:sz="0" w:space="0" w:color="auto"/>
        <w:left w:val="none" w:sz="0" w:space="0" w:color="auto"/>
        <w:bottom w:val="none" w:sz="0" w:space="0" w:color="auto"/>
        <w:right w:val="none" w:sz="0" w:space="0" w:color="auto"/>
      </w:divBdr>
    </w:div>
    <w:div w:id="702706046">
      <w:marLeft w:val="0"/>
      <w:marRight w:val="0"/>
      <w:marTop w:val="0"/>
      <w:marBottom w:val="180"/>
      <w:divBdr>
        <w:top w:val="none" w:sz="0" w:space="0" w:color="auto"/>
        <w:left w:val="none" w:sz="0" w:space="0" w:color="auto"/>
        <w:bottom w:val="none" w:sz="0" w:space="0" w:color="auto"/>
        <w:right w:val="none" w:sz="0" w:space="0" w:color="auto"/>
      </w:divBdr>
    </w:div>
    <w:div w:id="702748084">
      <w:marLeft w:val="0"/>
      <w:marRight w:val="0"/>
      <w:marTop w:val="0"/>
      <w:marBottom w:val="240"/>
      <w:divBdr>
        <w:top w:val="none" w:sz="0" w:space="0" w:color="auto"/>
        <w:left w:val="none" w:sz="0" w:space="0" w:color="auto"/>
        <w:bottom w:val="none" w:sz="0" w:space="0" w:color="auto"/>
        <w:right w:val="none" w:sz="0" w:space="0" w:color="auto"/>
      </w:divBdr>
    </w:div>
    <w:div w:id="703020402">
      <w:marLeft w:val="0"/>
      <w:marRight w:val="0"/>
      <w:marTop w:val="0"/>
      <w:marBottom w:val="0"/>
      <w:divBdr>
        <w:top w:val="none" w:sz="0" w:space="0" w:color="auto"/>
        <w:left w:val="none" w:sz="0" w:space="0" w:color="auto"/>
        <w:bottom w:val="none" w:sz="0" w:space="0" w:color="auto"/>
        <w:right w:val="none" w:sz="0" w:space="0" w:color="auto"/>
      </w:divBdr>
      <w:divsChild>
        <w:div w:id="1460606939">
          <w:marLeft w:val="0"/>
          <w:marRight w:val="0"/>
          <w:marTop w:val="0"/>
          <w:marBottom w:val="0"/>
          <w:divBdr>
            <w:top w:val="none" w:sz="0" w:space="0" w:color="auto"/>
            <w:left w:val="none" w:sz="0" w:space="0" w:color="auto"/>
            <w:bottom w:val="none" w:sz="0" w:space="0" w:color="auto"/>
            <w:right w:val="none" w:sz="0" w:space="0" w:color="auto"/>
          </w:divBdr>
        </w:div>
      </w:divsChild>
    </w:div>
    <w:div w:id="703139626">
      <w:marLeft w:val="0"/>
      <w:marRight w:val="0"/>
      <w:marTop w:val="0"/>
      <w:marBottom w:val="240"/>
      <w:divBdr>
        <w:top w:val="none" w:sz="0" w:space="0" w:color="auto"/>
        <w:left w:val="none" w:sz="0" w:space="0" w:color="auto"/>
        <w:bottom w:val="none" w:sz="0" w:space="0" w:color="auto"/>
        <w:right w:val="none" w:sz="0" w:space="0" w:color="auto"/>
      </w:divBdr>
    </w:div>
    <w:div w:id="703755472">
      <w:marLeft w:val="0"/>
      <w:marRight w:val="0"/>
      <w:marTop w:val="0"/>
      <w:marBottom w:val="180"/>
      <w:divBdr>
        <w:top w:val="none" w:sz="0" w:space="0" w:color="auto"/>
        <w:left w:val="none" w:sz="0" w:space="0" w:color="auto"/>
        <w:bottom w:val="none" w:sz="0" w:space="0" w:color="auto"/>
        <w:right w:val="none" w:sz="0" w:space="0" w:color="auto"/>
      </w:divBdr>
    </w:div>
    <w:div w:id="705061022">
      <w:marLeft w:val="0"/>
      <w:marRight w:val="0"/>
      <w:marTop w:val="0"/>
      <w:marBottom w:val="60"/>
      <w:divBdr>
        <w:top w:val="none" w:sz="0" w:space="0" w:color="auto"/>
        <w:left w:val="none" w:sz="0" w:space="0" w:color="auto"/>
        <w:bottom w:val="none" w:sz="0" w:space="0" w:color="auto"/>
        <w:right w:val="none" w:sz="0" w:space="0" w:color="auto"/>
      </w:divBdr>
    </w:div>
    <w:div w:id="705299926">
      <w:marLeft w:val="0"/>
      <w:marRight w:val="0"/>
      <w:marTop w:val="0"/>
      <w:marBottom w:val="0"/>
      <w:divBdr>
        <w:top w:val="none" w:sz="0" w:space="0" w:color="auto"/>
        <w:left w:val="none" w:sz="0" w:space="0" w:color="auto"/>
        <w:bottom w:val="none" w:sz="0" w:space="0" w:color="auto"/>
        <w:right w:val="none" w:sz="0" w:space="0" w:color="auto"/>
      </w:divBdr>
      <w:divsChild>
        <w:div w:id="2110343491">
          <w:marLeft w:val="0"/>
          <w:marRight w:val="0"/>
          <w:marTop w:val="0"/>
          <w:marBottom w:val="0"/>
          <w:divBdr>
            <w:top w:val="none" w:sz="0" w:space="0" w:color="auto"/>
            <w:left w:val="none" w:sz="0" w:space="0" w:color="auto"/>
            <w:bottom w:val="none" w:sz="0" w:space="0" w:color="auto"/>
            <w:right w:val="none" w:sz="0" w:space="0" w:color="auto"/>
          </w:divBdr>
        </w:div>
      </w:divsChild>
    </w:div>
    <w:div w:id="705371725">
      <w:marLeft w:val="0"/>
      <w:marRight w:val="0"/>
      <w:marTop w:val="100"/>
      <w:marBottom w:val="180"/>
      <w:divBdr>
        <w:top w:val="none" w:sz="0" w:space="0" w:color="auto"/>
        <w:left w:val="none" w:sz="0" w:space="0" w:color="auto"/>
        <w:bottom w:val="none" w:sz="0" w:space="0" w:color="auto"/>
        <w:right w:val="none" w:sz="0" w:space="0" w:color="auto"/>
      </w:divBdr>
    </w:div>
    <w:div w:id="705837904">
      <w:marLeft w:val="0"/>
      <w:marRight w:val="0"/>
      <w:marTop w:val="0"/>
      <w:marBottom w:val="240"/>
      <w:divBdr>
        <w:top w:val="none" w:sz="0" w:space="0" w:color="auto"/>
        <w:left w:val="none" w:sz="0" w:space="0" w:color="auto"/>
        <w:bottom w:val="none" w:sz="0" w:space="0" w:color="auto"/>
        <w:right w:val="none" w:sz="0" w:space="0" w:color="auto"/>
      </w:divBdr>
    </w:div>
    <w:div w:id="706836319">
      <w:marLeft w:val="0"/>
      <w:marRight w:val="0"/>
      <w:marTop w:val="0"/>
      <w:marBottom w:val="240"/>
      <w:divBdr>
        <w:top w:val="none" w:sz="0" w:space="0" w:color="auto"/>
        <w:left w:val="none" w:sz="0" w:space="0" w:color="auto"/>
        <w:bottom w:val="none" w:sz="0" w:space="0" w:color="auto"/>
        <w:right w:val="none" w:sz="0" w:space="0" w:color="auto"/>
      </w:divBdr>
    </w:div>
    <w:div w:id="707410362">
      <w:marLeft w:val="0"/>
      <w:marRight w:val="0"/>
      <w:marTop w:val="120"/>
      <w:marBottom w:val="180"/>
      <w:divBdr>
        <w:top w:val="none" w:sz="0" w:space="0" w:color="auto"/>
        <w:left w:val="none" w:sz="0" w:space="0" w:color="auto"/>
        <w:bottom w:val="none" w:sz="0" w:space="0" w:color="auto"/>
        <w:right w:val="none" w:sz="0" w:space="0" w:color="auto"/>
      </w:divBdr>
    </w:div>
    <w:div w:id="707412740">
      <w:marLeft w:val="0"/>
      <w:marRight w:val="0"/>
      <w:marTop w:val="0"/>
      <w:marBottom w:val="180"/>
      <w:divBdr>
        <w:top w:val="none" w:sz="0" w:space="0" w:color="auto"/>
        <w:left w:val="none" w:sz="0" w:space="0" w:color="auto"/>
        <w:bottom w:val="none" w:sz="0" w:space="0" w:color="auto"/>
        <w:right w:val="none" w:sz="0" w:space="0" w:color="auto"/>
      </w:divBdr>
    </w:div>
    <w:div w:id="707797917">
      <w:marLeft w:val="0"/>
      <w:marRight w:val="0"/>
      <w:marTop w:val="180"/>
      <w:marBottom w:val="180"/>
      <w:divBdr>
        <w:top w:val="none" w:sz="0" w:space="0" w:color="auto"/>
        <w:left w:val="none" w:sz="0" w:space="0" w:color="auto"/>
        <w:bottom w:val="none" w:sz="0" w:space="0" w:color="auto"/>
        <w:right w:val="none" w:sz="0" w:space="0" w:color="auto"/>
      </w:divBdr>
    </w:div>
    <w:div w:id="708184317">
      <w:marLeft w:val="0"/>
      <w:marRight w:val="0"/>
      <w:marTop w:val="0"/>
      <w:marBottom w:val="180"/>
      <w:divBdr>
        <w:top w:val="none" w:sz="0" w:space="0" w:color="auto"/>
        <w:left w:val="none" w:sz="0" w:space="0" w:color="auto"/>
        <w:bottom w:val="none" w:sz="0" w:space="0" w:color="auto"/>
        <w:right w:val="none" w:sz="0" w:space="0" w:color="auto"/>
      </w:divBdr>
    </w:div>
    <w:div w:id="708455094">
      <w:marLeft w:val="0"/>
      <w:marRight w:val="0"/>
      <w:marTop w:val="0"/>
      <w:marBottom w:val="180"/>
      <w:divBdr>
        <w:top w:val="none" w:sz="0" w:space="0" w:color="auto"/>
        <w:left w:val="none" w:sz="0" w:space="0" w:color="auto"/>
        <w:bottom w:val="none" w:sz="0" w:space="0" w:color="auto"/>
        <w:right w:val="none" w:sz="0" w:space="0" w:color="auto"/>
      </w:divBdr>
    </w:div>
    <w:div w:id="710038414">
      <w:marLeft w:val="0"/>
      <w:marRight w:val="0"/>
      <w:marTop w:val="0"/>
      <w:marBottom w:val="0"/>
      <w:divBdr>
        <w:top w:val="none" w:sz="0" w:space="0" w:color="auto"/>
        <w:left w:val="none" w:sz="0" w:space="0" w:color="auto"/>
        <w:bottom w:val="none" w:sz="0" w:space="0" w:color="auto"/>
        <w:right w:val="none" w:sz="0" w:space="0" w:color="auto"/>
      </w:divBdr>
    </w:div>
    <w:div w:id="710110920">
      <w:marLeft w:val="0"/>
      <w:marRight w:val="0"/>
      <w:marTop w:val="100"/>
      <w:marBottom w:val="0"/>
      <w:divBdr>
        <w:top w:val="none" w:sz="0" w:space="0" w:color="auto"/>
        <w:left w:val="none" w:sz="0" w:space="0" w:color="auto"/>
        <w:bottom w:val="none" w:sz="0" w:space="0" w:color="auto"/>
        <w:right w:val="none" w:sz="0" w:space="0" w:color="auto"/>
      </w:divBdr>
    </w:div>
    <w:div w:id="711661452">
      <w:marLeft w:val="0"/>
      <w:marRight w:val="0"/>
      <w:marTop w:val="180"/>
      <w:marBottom w:val="180"/>
      <w:divBdr>
        <w:top w:val="none" w:sz="0" w:space="0" w:color="auto"/>
        <w:left w:val="none" w:sz="0" w:space="0" w:color="auto"/>
        <w:bottom w:val="none" w:sz="0" w:space="0" w:color="auto"/>
        <w:right w:val="none" w:sz="0" w:space="0" w:color="auto"/>
      </w:divBdr>
    </w:div>
    <w:div w:id="712535970">
      <w:marLeft w:val="0"/>
      <w:marRight w:val="0"/>
      <w:marTop w:val="0"/>
      <w:marBottom w:val="240"/>
      <w:divBdr>
        <w:top w:val="none" w:sz="0" w:space="0" w:color="auto"/>
        <w:left w:val="none" w:sz="0" w:space="0" w:color="auto"/>
        <w:bottom w:val="none" w:sz="0" w:space="0" w:color="auto"/>
        <w:right w:val="none" w:sz="0" w:space="0" w:color="auto"/>
      </w:divBdr>
    </w:div>
    <w:div w:id="712735014">
      <w:marLeft w:val="0"/>
      <w:marRight w:val="0"/>
      <w:marTop w:val="120"/>
      <w:marBottom w:val="240"/>
      <w:divBdr>
        <w:top w:val="none" w:sz="0" w:space="0" w:color="auto"/>
        <w:left w:val="none" w:sz="0" w:space="0" w:color="auto"/>
        <w:bottom w:val="none" w:sz="0" w:space="0" w:color="auto"/>
        <w:right w:val="none" w:sz="0" w:space="0" w:color="auto"/>
      </w:divBdr>
    </w:div>
    <w:div w:id="713653741">
      <w:marLeft w:val="0"/>
      <w:marRight w:val="0"/>
      <w:marTop w:val="0"/>
      <w:marBottom w:val="0"/>
      <w:divBdr>
        <w:top w:val="none" w:sz="0" w:space="0" w:color="auto"/>
        <w:left w:val="none" w:sz="0" w:space="0" w:color="auto"/>
        <w:bottom w:val="none" w:sz="0" w:space="0" w:color="auto"/>
        <w:right w:val="none" w:sz="0" w:space="0" w:color="auto"/>
      </w:divBdr>
    </w:div>
    <w:div w:id="714890954">
      <w:marLeft w:val="0"/>
      <w:marRight w:val="0"/>
      <w:marTop w:val="0"/>
      <w:marBottom w:val="0"/>
      <w:divBdr>
        <w:top w:val="none" w:sz="0" w:space="0" w:color="auto"/>
        <w:left w:val="none" w:sz="0" w:space="0" w:color="auto"/>
        <w:bottom w:val="none" w:sz="0" w:space="0" w:color="auto"/>
        <w:right w:val="none" w:sz="0" w:space="0" w:color="auto"/>
      </w:divBdr>
    </w:div>
    <w:div w:id="715202267">
      <w:marLeft w:val="0"/>
      <w:marRight w:val="0"/>
      <w:marTop w:val="0"/>
      <w:marBottom w:val="240"/>
      <w:divBdr>
        <w:top w:val="none" w:sz="0" w:space="0" w:color="auto"/>
        <w:left w:val="none" w:sz="0" w:space="0" w:color="auto"/>
        <w:bottom w:val="none" w:sz="0" w:space="0" w:color="auto"/>
        <w:right w:val="none" w:sz="0" w:space="0" w:color="auto"/>
      </w:divBdr>
    </w:div>
    <w:div w:id="715666809">
      <w:marLeft w:val="0"/>
      <w:marRight w:val="0"/>
      <w:marTop w:val="0"/>
      <w:marBottom w:val="240"/>
      <w:divBdr>
        <w:top w:val="none" w:sz="0" w:space="0" w:color="auto"/>
        <w:left w:val="none" w:sz="0" w:space="0" w:color="auto"/>
        <w:bottom w:val="none" w:sz="0" w:space="0" w:color="auto"/>
        <w:right w:val="none" w:sz="0" w:space="0" w:color="auto"/>
      </w:divBdr>
    </w:div>
    <w:div w:id="715736957">
      <w:marLeft w:val="0"/>
      <w:marRight w:val="0"/>
      <w:marTop w:val="0"/>
      <w:marBottom w:val="0"/>
      <w:divBdr>
        <w:top w:val="none" w:sz="0" w:space="0" w:color="auto"/>
        <w:left w:val="none" w:sz="0" w:space="0" w:color="auto"/>
        <w:bottom w:val="none" w:sz="0" w:space="0" w:color="auto"/>
        <w:right w:val="none" w:sz="0" w:space="0" w:color="auto"/>
      </w:divBdr>
    </w:div>
    <w:div w:id="716010031">
      <w:marLeft w:val="0"/>
      <w:marRight w:val="0"/>
      <w:marTop w:val="0"/>
      <w:marBottom w:val="0"/>
      <w:divBdr>
        <w:top w:val="none" w:sz="0" w:space="0" w:color="auto"/>
        <w:left w:val="none" w:sz="0" w:space="0" w:color="auto"/>
        <w:bottom w:val="none" w:sz="0" w:space="0" w:color="auto"/>
        <w:right w:val="none" w:sz="0" w:space="0" w:color="auto"/>
      </w:divBdr>
      <w:divsChild>
        <w:div w:id="700134401">
          <w:marLeft w:val="0"/>
          <w:marRight w:val="0"/>
          <w:marTop w:val="0"/>
          <w:marBottom w:val="0"/>
          <w:divBdr>
            <w:top w:val="none" w:sz="0" w:space="0" w:color="auto"/>
            <w:left w:val="none" w:sz="0" w:space="0" w:color="auto"/>
            <w:bottom w:val="none" w:sz="0" w:space="0" w:color="auto"/>
            <w:right w:val="none" w:sz="0" w:space="0" w:color="auto"/>
          </w:divBdr>
        </w:div>
      </w:divsChild>
    </w:div>
    <w:div w:id="716052877">
      <w:marLeft w:val="0"/>
      <w:marRight w:val="0"/>
      <w:marTop w:val="0"/>
      <w:marBottom w:val="180"/>
      <w:divBdr>
        <w:top w:val="none" w:sz="0" w:space="0" w:color="auto"/>
        <w:left w:val="none" w:sz="0" w:space="0" w:color="auto"/>
        <w:bottom w:val="none" w:sz="0" w:space="0" w:color="auto"/>
        <w:right w:val="none" w:sz="0" w:space="0" w:color="auto"/>
      </w:divBdr>
    </w:div>
    <w:div w:id="716509912">
      <w:marLeft w:val="0"/>
      <w:marRight w:val="0"/>
      <w:marTop w:val="0"/>
      <w:marBottom w:val="0"/>
      <w:divBdr>
        <w:top w:val="none" w:sz="0" w:space="0" w:color="auto"/>
        <w:left w:val="none" w:sz="0" w:space="0" w:color="auto"/>
        <w:bottom w:val="none" w:sz="0" w:space="0" w:color="auto"/>
        <w:right w:val="none" w:sz="0" w:space="0" w:color="auto"/>
      </w:divBdr>
      <w:divsChild>
        <w:div w:id="1221550258">
          <w:marLeft w:val="0"/>
          <w:marRight w:val="0"/>
          <w:marTop w:val="0"/>
          <w:marBottom w:val="0"/>
          <w:divBdr>
            <w:top w:val="none" w:sz="0" w:space="0" w:color="auto"/>
            <w:left w:val="none" w:sz="0" w:space="0" w:color="auto"/>
            <w:bottom w:val="none" w:sz="0" w:space="0" w:color="auto"/>
            <w:right w:val="none" w:sz="0" w:space="0" w:color="auto"/>
          </w:divBdr>
        </w:div>
      </w:divsChild>
    </w:div>
    <w:div w:id="717437094">
      <w:marLeft w:val="0"/>
      <w:marRight w:val="0"/>
      <w:marTop w:val="180"/>
      <w:marBottom w:val="180"/>
      <w:divBdr>
        <w:top w:val="none" w:sz="0" w:space="0" w:color="auto"/>
        <w:left w:val="none" w:sz="0" w:space="0" w:color="auto"/>
        <w:bottom w:val="none" w:sz="0" w:space="0" w:color="auto"/>
        <w:right w:val="none" w:sz="0" w:space="0" w:color="auto"/>
      </w:divBdr>
    </w:div>
    <w:div w:id="717899386">
      <w:marLeft w:val="0"/>
      <w:marRight w:val="0"/>
      <w:marTop w:val="120"/>
      <w:marBottom w:val="120"/>
      <w:divBdr>
        <w:top w:val="none" w:sz="0" w:space="0" w:color="auto"/>
        <w:left w:val="none" w:sz="0" w:space="0" w:color="auto"/>
        <w:bottom w:val="none" w:sz="0" w:space="0" w:color="auto"/>
        <w:right w:val="none" w:sz="0" w:space="0" w:color="auto"/>
      </w:divBdr>
    </w:div>
    <w:div w:id="718281387">
      <w:marLeft w:val="0"/>
      <w:marRight w:val="0"/>
      <w:marTop w:val="100"/>
      <w:marBottom w:val="0"/>
      <w:divBdr>
        <w:top w:val="none" w:sz="0" w:space="0" w:color="auto"/>
        <w:left w:val="none" w:sz="0" w:space="0" w:color="auto"/>
        <w:bottom w:val="none" w:sz="0" w:space="0" w:color="auto"/>
        <w:right w:val="none" w:sz="0" w:space="0" w:color="auto"/>
      </w:divBdr>
    </w:div>
    <w:div w:id="719130020">
      <w:marLeft w:val="0"/>
      <w:marRight w:val="0"/>
      <w:marTop w:val="180"/>
      <w:marBottom w:val="240"/>
      <w:divBdr>
        <w:top w:val="none" w:sz="0" w:space="0" w:color="auto"/>
        <w:left w:val="none" w:sz="0" w:space="0" w:color="auto"/>
        <w:bottom w:val="none" w:sz="0" w:space="0" w:color="auto"/>
        <w:right w:val="none" w:sz="0" w:space="0" w:color="auto"/>
      </w:divBdr>
    </w:div>
    <w:div w:id="719209634">
      <w:marLeft w:val="0"/>
      <w:marRight w:val="0"/>
      <w:marTop w:val="180"/>
      <w:marBottom w:val="180"/>
      <w:divBdr>
        <w:top w:val="none" w:sz="0" w:space="0" w:color="auto"/>
        <w:left w:val="none" w:sz="0" w:space="0" w:color="auto"/>
        <w:bottom w:val="none" w:sz="0" w:space="0" w:color="auto"/>
        <w:right w:val="none" w:sz="0" w:space="0" w:color="auto"/>
      </w:divBdr>
    </w:div>
    <w:div w:id="719595354">
      <w:marLeft w:val="0"/>
      <w:marRight w:val="0"/>
      <w:marTop w:val="0"/>
      <w:marBottom w:val="240"/>
      <w:divBdr>
        <w:top w:val="none" w:sz="0" w:space="0" w:color="auto"/>
        <w:left w:val="none" w:sz="0" w:space="0" w:color="auto"/>
        <w:bottom w:val="none" w:sz="0" w:space="0" w:color="auto"/>
        <w:right w:val="none" w:sz="0" w:space="0" w:color="auto"/>
      </w:divBdr>
    </w:div>
    <w:div w:id="720054701">
      <w:marLeft w:val="0"/>
      <w:marRight w:val="0"/>
      <w:marTop w:val="120"/>
      <w:marBottom w:val="120"/>
      <w:divBdr>
        <w:top w:val="none" w:sz="0" w:space="0" w:color="auto"/>
        <w:left w:val="none" w:sz="0" w:space="0" w:color="auto"/>
        <w:bottom w:val="none" w:sz="0" w:space="0" w:color="auto"/>
        <w:right w:val="none" w:sz="0" w:space="0" w:color="auto"/>
      </w:divBdr>
    </w:div>
    <w:div w:id="720206234">
      <w:marLeft w:val="0"/>
      <w:marRight w:val="0"/>
      <w:marTop w:val="0"/>
      <w:marBottom w:val="0"/>
      <w:divBdr>
        <w:top w:val="none" w:sz="0" w:space="0" w:color="auto"/>
        <w:left w:val="none" w:sz="0" w:space="0" w:color="auto"/>
        <w:bottom w:val="none" w:sz="0" w:space="0" w:color="auto"/>
        <w:right w:val="none" w:sz="0" w:space="0" w:color="auto"/>
      </w:divBdr>
    </w:div>
    <w:div w:id="720255525">
      <w:marLeft w:val="0"/>
      <w:marRight w:val="0"/>
      <w:marTop w:val="120"/>
      <w:marBottom w:val="240"/>
      <w:divBdr>
        <w:top w:val="none" w:sz="0" w:space="0" w:color="auto"/>
        <w:left w:val="none" w:sz="0" w:space="0" w:color="auto"/>
        <w:bottom w:val="none" w:sz="0" w:space="0" w:color="auto"/>
        <w:right w:val="none" w:sz="0" w:space="0" w:color="auto"/>
      </w:divBdr>
    </w:div>
    <w:div w:id="720329267">
      <w:marLeft w:val="0"/>
      <w:marRight w:val="0"/>
      <w:marTop w:val="0"/>
      <w:marBottom w:val="0"/>
      <w:divBdr>
        <w:top w:val="none" w:sz="0" w:space="0" w:color="auto"/>
        <w:left w:val="none" w:sz="0" w:space="0" w:color="auto"/>
        <w:bottom w:val="none" w:sz="0" w:space="0" w:color="auto"/>
        <w:right w:val="none" w:sz="0" w:space="0" w:color="auto"/>
      </w:divBdr>
    </w:div>
    <w:div w:id="721099023">
      <w:marLeft w:val="0"/>
      <w:marRight w:val="0"/>
      <w:marTop w:val="0"/>
      <w:marBottom w:val="0"/>
      <w:divBdr>
        <w:top w:val="none" w:sz="0" w:space="0" w:color="auto"/>
        <w:left w:val="none" w:sz="0" w:space="0" w:color="auto"/>
        <w:bottom w:val="none" w:sz="0" w:space="0" w:color="auto"/>
        <w:right w:val="none" w:sz="0" w:space="0" w:color="auto"/>
      </w:divBdr>
    </w:div>
    <w:div w:id="721753384">
      <w:marLeft w:val="0"/>
      <w:marRight w:val="0"/>
      <w:marTop w:val="0"/>
      <w:marBottom w:val="0"/>
      <w:divBdr>
        <w:top w:val="none" w:sz="0" w:space="0" w:color="auto"/>
        <w:left w:val="none" w:sz="0" w:space="0" w:color="auto"/>
        <w:bottom w:val="none" w:sz="0" w:space="0" w:color="auto"/>
        <w:right w:val="none" w:sz="0" w:space="0" w:color="auto"/>
      </w:divBdr>
    </w:div>
    <w:div w:id="722214137">
      <w:marLeft w:val="0"/>
      <w:marRight w:val="0"/>
      <w:marTop w:val="180"/>
      <w:marBottom w:val="180"/>
      <w:divBdr>
        <w:top w:val="none" w:sz="0" w:space="0" w:color="auto"/>
        <w:left w:val="none" w:sz="0" w:space="0" w:color="auto"/>
        <w:bottom w:val="none" w:sz="0" w:space="0" w:color="auto"/>
        <w:right w:val="none" w:sz="0" w:space="0" w:color="auto"/>
      </w:divBdr>
    </w:div>
    <w:div w:id="722338378">
      <w:marLeft w:val="0"/>
      <w:marRight w:val="0"/>
      <w:marTop w:val="0"/>
      <w:marBottom w:val="240"/>
      <w:divBdr>
        <w:top w:val="none" w:sz="0" w:space="0" w:color="auto"/>
        <w:left w:val="none" w:sz="0" w:space="0" w:color="auto"/>
        <w:bottom w:val="none" w:sz="0" w:space="0" w:color="auto"/>
        <w:right w:val="none" w:sz="0" w:space="0" w:color="auto"/>
      </w:divBdr>
    </w:div>
    <w:div w:id="722607263">
      <w:marLeft w:val="0"/>
      <w:marRight w:val="0"/>
      <w:marTop w:val="0"/>
      <w:marBottom w:val="180"/>
      <w:divBdr>
        <w:top w:val="none" w:sz="0" w:space="0" w:color="auto"/>
        <w:left w:val="none" w:sz="0" w:space="0" w:color="auto"/>
        <w:bottom w:val="none" w:sz="0" w:space="0" w:color="auto"/>
        <w:right w:val="none" w:sz="0" w:space="0" w:color="auto"/>
      </w:divBdr>
    </w:div>
    <w:div w:id="723606044">
      <w:marLeft w:val="0"/>
      <w:marRight w:val="0"/>
      <w:marTop w:val="180"/>
      <w:marBottom w:val="180"/>
      <w:divBdr>
        <w:top w:val="none" w:sz="0" w:space="0" w:color="auto"/>
        <w:left w:val="none" w:sz="0" w:space="0" w:color="auto"/>
        <w:bottom w:val="none" w:sz="0" w:space="0" w:color="auto"/>
        <w:right w:val="none" w:sz="0" w:space="0" w:color="auto"/>
      </w:divBdr>
    </w:div>
    <w:div w:id="723677581">
      <w:marLeft w:val="0"/>
      <w:marRight w:val="0"/>
      <w:marTop w:val="0"/>
      <w:marBottom w:val="180"/>
      <w:divBdr>
        <w:top w:val="none" w:sz="0" w:space="0" w:color="auto"/>
        <w:left w:val="none" w:sz="0" w:space="0" w:color="auto"/>
        <w:bottom w:val="none" w:sz="0" w:space="0" w:color="auto"/>
        <w:right w:val="none" w:sz="0" w:space="0" w:color="auto"/>
      </w:divBdr>
    </w:div>
    <w:div w:id="724331151">
      <w:marLeft w:val="0"/>
      <w:marRight w:val="0"/>
      <w:marTop w:val="0"/>
      <w:marBottom w:val="0"/>
      <w:divBdr>
        <w:top w:val="none" w:sz="0" w:space="0" w:color="auto"/>
        <w:left w:val="none" w:sz="0" w:space="0" w:color="auto"/>
        <w:bottom w:val="none" w:sz="0" w:space="0" w:color="auto"/>
        <w:right w:val="none" w:sz="0" w:space="0" w:color="auto"/>
      </w:divBdr>
    </w:div>
    <w:div w:id="724567457">
      <w:marLeft w:val="0"/>
      <w:marRight w:val="0"/>
      <w:marTop w:val="0"/>
      <w:marBottom w:val="0"/>
      <w:divBdr>
        <w:top w:val="none" w:sz="0" w:space="0" w:color="auto"/>
        <w:left w:val="none" w:sz="0" w:space="0" w:color="auto"/>
        <w:bottom w:val="none" w:sz="0" w:space="0" w:color="auto"/>
        <w:right w:val="none" w:sz="0" w:space="0" w:color="auto"/>
      </w:divBdr>
    </w:div>
    <w:div w:id="725180528">
      <w:marLeft w:val="0"/>
      <w:marRight w:val="0"/>
      <w:marTop w:val="0"/>
      <w:marBottom w:val="0"/>
      <w:divBdr>
        <w:top w:val="none" w:sz="0" w:space="0" w:color="auto"/>
        <w:left w:val="none" w:sz="0" w:space="0" w:color="auto"/>
        <w:bottom w:val="none" w:sz="0" w:space="0" w:color="auto"/>
        <w:right w:val="none" w:sz="0" w:space="0" w:color="auto"/>
      </w:divBdr>
    </w:div>
    <w:div w:id="725295262">
      <w:marLeft w:val="0"/>
      <w:marRight w:val="0"/>
      <w:marTop w:val="180"/>
      <w:marBottom w:val="180"/>
      <w:divBdr>
        <w:top w:val="none" w:sz="0" w:space="0" w:color="auto"/>
        <w:left w:val="none" w:sz="0" w:space="0" w:color="auto"/>
        <w:bottom w:val="none" w:sz="0" w:space="0" w:color="auto"/>
        <w:right w:val="none" w:sz="0" w:space="0" w:color="auto"/>
      </w:divBdr>
    </w:div>
    <w:div w:id="725957543">
      <w:marLeft w:val="0"/>
      <w:marRight w:val="0"/>
      <w:marTop w:val="120"/>
      <w:marBottom w:val="120"/>
      <w:divBdr>
        <w:top w:val="none" w:sz="0" w:space="0" w:color="auto"/>
        <w:left w:val="none" w:sz="0" w:space="0" w:color="auto"/>
        <w:bottom w:val="none" w:sz="0" w:space="0" w:color="auto"/>
        <w:right w:val="none" w:sz="0" w:space="0" w:color="auto"/>
      </w:divBdr>
    </w:div>
    <w:div w:id="726882824">
      <w:marLeft w:val="0"/>
      <w:marRight w:val="0"/>
      <w:marTop w:val="180"/>
      <w:marBottom w:val="180"/>
      <w:divBdr>
        <w:top w:val="none" w:sz="0" w:space="0" w:color="auto"/>
        <w:left w:val="none" w:sz="0" w:space="0" w:color="auto"/>
        <w:bottom w:val="none" w:sz="0" w:space="0" w:color="auto"/>
        <w:right w:val="none" w:sz="0" w:space="0" w:color="auto"/>
      </w:divBdr>
    </w:div>
    <w:div w:id="727187850">
      <w:marLeft w:val="0"/>
      <w:marRight w:val="0"/>
      <w:marTop w:val="0"/>
      <w:marBottom w:val="0"/>
      <w:divBdr>
        <w:top w:val="none" w:sz="0" w:space="0" w:color="auto"/>
        <w:left w:val="none" w:sz="0" w:space="0" w:color="auto"/>
        <w:bottom w:val="none" w:sz="0" w:space="0" w:color="auto"/>
        <w:right w:val="none" w:sz="0" w:space="0" w:color="auto"/>
      </w:divBdr>
    </w:div>
    <w:div w:id="727268831">
      <w:marLeft w:val="0"/>
      <w:marRight w:val="0"/>
      <w:marTop w:val="100"/>
      <w:marBottom w:val="240"/>
      <w:divBdr>
        <w:top w:val="none" w:sz="0" w:space="0" w:color="auto"/>
        <w:left w:val="none" w:sz="0" w:space="0" w:color="auto"/>
        <w:bottom w:val="none" w:sz="0" w:space="0" w:color="auto"/>
        <w:right w:val="none" w:sz="0" w:space="0" w:color="auto"/>
      </w:divBdr>
    </w:div>
    <w:div w:id="727803665">
      <w:marLeft w:val="0"/>
      <w:marRight w:val="0"/>
      <w:marTop w:val="0"/>
      <w:marBottom w:val="180"/>
      <w:divBdr>
        <w:top w:val="none" w:sz="0" w:space="0" w:color="auto"/>
        <w:left w:val="none" w:sz="0" w:space="0" w:color="auto"/>
        <w:bottom w:val="none" w:sz="0" w:space="0" w:color="auto"/>
        <w:right w:val="none" w:sz="0" w:space="0" w:color="auto"/>
      </w:divBdr>
    </w:div>
    <w:div w:id="727850061">
      <w:marLeft w:val="0"/>
      <w:marRight w:val="0"/>
      <w:marTop w:val="0"/>
      <w:marBottom w:val="0"/>
      <w:divBdr>
        <w:top w:val="none" w:sz="0" w:space="0" w:color="auto"/>
        <w:left w:val="none" w:sz="0" w:space="0" w:color="auto"/>
        <w:bottom w:val="none" w:sz="0" w:space="0" w:color="auto"/>
        <w:right w:val="none" w:sz="0" w:space="0" w:color="auto"/>
      </w:divBdr>
    </w:div>
    <w:div w:id="729690456">
      <w:marLeft w:val="0"/>
      <w:marRight w:val="0"/>
      <w:marTop w:val="0"/>
      <w:marBottom w:val="0"/>
      <w:divBdr>
        <w:top w:val="none" w:sz="0" w:space="0" w:color="auto"/>
        <w:left w:val="none" w:sz="0" w:space="0" w:color="auto"/>
        <w:bottom w:val="none" w:sz="0" w:space="0" w:color="auto"/>
        <w:right w:val="none" w:sz="0" w:space="0" w:color="auto"/>
      </w:divBdr>
      <w:divsChild>
        <w:div w:id="1573000611">
          <w:marLeft w:val="0"/>
          <w:marRight w:val="0"/>
          <w:marTop w:val="0"/>
          <w:marBottom w:val="0"/>
          <w:divBdr>
            <w:top w:val="none" w:sz="0" w:space="0" w:color="auto"/>
            <w:left w:val="none" w:sz="0" w:space="0" w:color="auto"/>
            <w:bottom w:val="none" w:sz="0" w:space="0" w:color="auto"/>
            <w:right w:val="none" w:sz="0" w:space="0" w:color="auto"/>
          </w:divBdr>
        </w:div>
      </w:divsChild>
    </w:div>
    <w:div w:id="730159998">
      <w:marLeft w:val="0"/>
      <w:marRight w:val="0"/>
      <w:marTop w:val="0"/>
      <w:marBottom w:val="240"/>
      <w:divBdr>
        <w:top w:val="none" w:sz="0" w:space="0" w:color="auto"/>
        <w:left w:val="none" w:sz="0" w:space="0" w:color="auto"/>
        <w:bottom w:val="none" w:sz="0" w:space="0" w:color="auto"/>
        <w:right w:val="none" w:sz="0" w:space="0" w:color="auto"/>
      </w:divBdr>
    </w:div>
    <w:div w:id="731663746">
      <w:marLeft w:val="0"/>
      <w:marRight w:val="0"/>
      <w:marTop w:val="0"/>
      <w:marBottom w:val="0"/>
      <w:divBdr>
        <w:top w:val="none" w:sz="0" w:space="0" w:color="auto"/>
        <w:left w:val="none" w:sz="0" w:space="0" w:color="auto"/>
        <w:bottom w:val="none" w:sz="0" w:space="0" w:color="auto"/>
        <w:right w:val="none" w:sz="0" w:space="0" w:color="auto"/>
      </w:divBdr>
    </w:div>
    <w:div w:id="733040712">
      <w:marLeft w:val="0"/>
      <w:marRight w:val="0"/>
      <w:marTop w:val="0"/>
      <w:marBottom w:val="180"/>
      <w:divBdr>
        <w:top w:val="none" w:sz="0" w:space="0" w:color="auto"/>
        <w:left w:val="none" w:sz="0" w:space="0" w:color="auto"/>
        <w:bottom w:val="none" w:sz="0" w:space="0" w:color="auto"/>
        <w:right w:val="none" w:sz="0" w:space="0" w:color="auto"/>
      </w:divBdr>
    </w:div>
    <w:div w:id="733821007">
      <w:marLeft w:val="0"/>
      <w:marRight w:val="0"/>
      <w:marTop w:val="0"/>
      <w:marBottom w:val="180"/>
      <w:divBdr>
        <w:top w:val="none" w:sz="0" w:space="0" w:color="auto"/>
        <w:left w:val="none" w:sz="0" w:space="0" w:color="auto"/>
        <w:bottom w:val="none" w:sz="0" w:space="0" w:color="auto"/>
        <w:right w:val="none" w:sz="0" w:space="0" w:color="auto"/>
      </w:divBdr>
    </w:div>
    <w:div w:id="734356876">
      <w:marLeft w:val="0"/>
      <w:marRight w:val="0"/>
      <w:marTop w:val="0"/>
      <w:marBottom w:val="180"/>
      <w:divBdr>
        <w:top w:val="none" w:sz="0" w:space="0" w:color="auto"/>
        <w:left w:val="none" w:sz="0" w:space="0" w:color="auto"/>
        <w:bottom w:val="none" w:sz="0" w:space="0" w:color="auto"/>
        <w:right w:val="none" w:sz="0" w:space="0" w:color="auto"/>
      </w:divBdr>
    </w:div>
    <w:div w:id="736783200">
      <w:marLeft w:val="0"/>
      <w:marRight w:val="0"/>
      <w:marTop w:val="60"/>
      <w:marBottom w:val="0"/>
      <w:divBdr>
        <w:top w:val="none" w:sz="0" w:space="0" w:color="auto"/>
        <w:left w:val="none" w:sz="0" w:space="0" w:color="auto"/>
        <w:bottom w:val="none" w:sz="0" w:space="0" w:color="auto"/>
        <w:right w:val="none" w:sz="0" w:space="0" w:color="auto"/>
      </w:divBdr>
    </w:div>
    <w:div w:id="736829483">
      <w:marLeft w:val="0"/>
      <w:marRight w:val="0"/>
      <w:marTop w:val="0"/>
      <w:marBottom w:val="240"/>
      <w:divBdr>
        <w:top w:val="none" w:sz="0" w:space="0" w:color="auto"/>
        <w:left w:val="none" w:sz="0" w:space="0" w:color="auto"/>
        <w:bottom w:val="none" w:sz="0" w:space="0" w:color="auto"/>
        <w:right w:val="none" w:sz="0" w:space="0" w:color="auto"/>
      </w:divBdr>
    </w:div>
    <w:div w:id="737216652">
      <w:marLeft w:val="0"/>
      <w:marRight w:val="0"/>
      <w:marTop w:val="0"/>
      <w:marBottom w:val="240"/>
      <w:divBdr>
        <w:top w:val="none" w:sz="0" w:space="0" w:color="auto"/>
        <w:left w:val="none" w:sz="0" w:space="0" w:color="auto"/>
        <w:bottom w:val="none" w:sz="0" w:space="0" w:color="auto"/>
        <w:right w:val="none" w:sz="0" w:space="0" w:color="auto"/>
      </w:divBdr>
    </w:div>
    <w:div w:id="737551750">
      <w:marLeft w:val="0"/>
      <w:marRight w:val="0"/>
      <w:marTop w:val="0"/>
      <w:marBottom w:val="240"/>
      <w:divBdr>
        <w:top w:val="none" w:sz="0" w:space="0" w:color="auto"/>
        <w:left w:val="none" w:sz="0" w:space="0" w:color="auto"/>
        <w:bottom w:val="none" w:sz="0" w:space="0" w:color="auto"/>
        <w:right w:val="none" w:sz="0" w:space="0" w:color="auto"/>
      </w:divBdr>
    </w:div>
    <w:div w:id="738403936">
      <w:marLeft w:val="0"/>
      <w:marRight w:val="0"/>
      <w:marTop w:val="0"/>
      <w:marBottom w:val="0"/>
      <w:divBdr>
        <w:top w:val="none" w:sz="0" w:space="0" w:color="auto"/>
        <w:left w:val="none" w:sz="0" w:space="0" w:color="auto"/>
        <w:bottom w:val="none" w:sz="0" w:space="0" w:color="auto"/>
        <w:right w:val="none" w:sz="0" w:space="0" w:color="auto"/>
      </w:divBdr>
    </w:div>
    <w:div w:id="738480999">
      <w:marLeft w:val="0"/>
      <w:marRight w:val="0"/>
      <w:marTop w:val="0"/>
      <w:marBottom w:val="240"/>
      <w:divBdr>
        <w:top w:val="none" w:sz="0" w:space="0" w:color="auto"/>
        <w:left w:val="none" w:sz="0" w:space="0" w:color="auto"/>
        <w:bottom w:val="none" w:sz="0" w:space="0" w:color="auto"/>
        <w:right w:val="none" w:sz="0" w:space="0" w:color="auto"/>
      </w:divBdr>
    </w:div>
    <w:div w:id="738481283">
      <w:marLeft w:val="0"/>
      <w:marRight w:val="0"/>
      <w:marTop w:val="0"/>
      <w:marBottom w:val="0"/>
      <w:divBdr>
        <w:top w:val="none" w:sz="0" w:space="0" w:color="auto"/>
        <w:left w:val="none" w:sz="0" w:space="0" w:color="auto"/>
        <w:bottom w:val="none" w:sz="0" w:space="0" w:color="auto"/>
        <w:right w:val="none" w:sz="0" w:space="0" w:color="auto"/>
      </w:divBdr>
      <w:divsChild>
        <w:div w:id="1191337465">
          <w:marLeft w:val="0"/>
          <w:marRight w:val="0"/>
          <w:marTop w:val="0"/>
          <w:marBottom w:val="0"/>
          <w:divBdr>
            <w:top w:val="none" w:sz="0" w:space="0" w:color="auto"/>
            <w:left w:val="none" w:sz="0" w:space="0" w:color="auto"/>
            <w:bottom w:val="none" w:sz="0" w:space="0" w:color="auto"/>
            <w:right w:val="none" w:sz="0" w:space="0" w:color="auto"/>
          </w:divBdr>
        </w:div>
      </w:divsChild>
    </w:div>
    <w:div w:id="739443116">
      <w:marLeft w:val="0"/>
      <w:marRight w:val="0"/>
      <w:marTop w:val="0"/>
      <w:marBottom w:val="180"/>
      <w:divBdr>
        <w:top w:val="none" w:sz="0" w:space="0" w:color="auto"/>
        <w:left w:val="none" w:sz="0" w:space="0" w:color="auto"/>
        <w:bottom w:val="none" w:sz="0" w:space="0" w:color="auto"/>
        <w:right w:val="none" w:sz="0" w:space="0" w:color="auto"/>
      </w:divBdr>
    </w:div>
    <w:div w:id="740175176">
      <w:marLeft w:val="0"/>
      <w:marRight w:val="0"/>
      <w:marTop w:val="0"/>
      <w:marBottom w:val="0"/>
      <w:divBdr>
        <w:top w:val="none" w:sz="0" w:space="0" w:color="auto"/>
        <w:left w:val="none" w:sz="0" w:space="0" w:color="auto"/>
        <w:bottom w:val="none" w:sz="0" w:space="0" w:color="auto"/>
        <w:right w:val="none" w:sz="0" w:space="0" w:color="auto"/>
      </w:divBdr>
      <w:divsChild>
        <w:div w:id="1396121413">
          <w:marLeft w:val="0"/>
          <w:marRight w:val="0"/>
          <w:marTop w:val="0"/>
          <w:marBottom w:val="0"/>
          <w:divBdr>
            <w:top w:val="none" w:sz="0" w:space="0" w:color="auto"/>
            <w:left w:val="none" w:sz="0" w:space="0" w:color="auto"/>
            <w:bottom w:val="none" w:sz="0" w:space="0" w:color="auto"/>
            <w:right w:val="none" w:sz="0" w:space="0" w:color="auto"/>
          </w:divBdr>
        </w:div>
      </w:divsChild>
    </w:div>
    <w:div w:id="741373396">
      <w:marLeft w:val="0"/>
      <w:marRight w:val="0"/>
      <w:marTop w:val="180"/>
      <w:marBottom w:val="180"/>
      <w:divBdr>
        <w:top w:val="none" w:sz="0" w:space="0" w:color="auto"/>
        <w:left w:val="none" w:sz="0" w:space="0" w:color="auto"/>
        <w:bottom w:val="none" w:sz="0" w:space="0" w:color="auto"/>
        <w:right w:val="none" w:sz="0" w:space="0" w:color="auto"/>
      </w:divBdr>
    </w:div>
    <w:div w:id="741563881">
      <w:marLeft w:val="0"/>
      <w:marRight w:val="0"/>
      <w:marTop w:val="0"/>
      <w:marBottom w:val="180"/>
      <w:divBdr>
        <w:top w:val="none" w:sz="0" w:space="0" w:color="auto"/>
        <w:left w:val="none" w:sz="0" w:space="0" w:color="auto"/>
        <w:bottom w:val="none" w:sz="0" w:space="0" w:color="auto"/>
        <w:right w:val="none" w:sz="0" w:space="0" w:color="auto"/>
      </w:divBdr>
    </w:div>
    <w:div w:id="741609628">
      <w:marLeft w:val="0"/>
      <w:marRight w:val="0"/>
      <w:marTop w:val="120"/>
      <w:marBottom w:val="240"/>
      <w:divBdr>
        <w:top w:val="none" w:sz="0" w:space="0" w:color="auto"/>
        <w:left w:val="none" w:sz="0" w:space="0" w:color="auto"/>
        <w:bottom w:val="none" w:sz="0" w:space="0" w:color="auto"/>
        <w:right w:val="none" w:sz="0" w:space="0" w:color="auto"/>
      </w:divBdr>
    </w:div>
    <w:div w:id="741681357">
      <w:marLeft w:val="0"/>
      <w:marRight w:val="0"/>
      <w:marTop w:val="180"/>
      <w:marBottom w:val="180"/>
      <w:divBdr>
        <w:top w:val="none" w:sz="0" w:space="0" w:color="auto"/>
        <w:left w:val="none" w:sz="0" w:space="0" w:color="auto"/>
        <w:bottom w:val="none" w:sz="0" w:space="0" w:color="auto"/>
        <w:right w:val="none" w:sz="0" w:space="0" w:color="auto"/>
      </w:divBdr>
    </w:div>
    <w:div w:id="741872630">
      <w:marLeft w:val="0"/>
      <w:marRight w:val="0"/>
      <w:marTop w:val="0"/>
      <w:marBottom w:val="180"/>
      <w:divBdr>
        <w:top w:val="none" w:sz="0" w:space="0" w:color="auto"/>
        <w:left w:val="none" w:sz="0" w:space="0" w:color="auto"/>
        <w:bottom w:val="none" w:sz="0" w:space="0" w:color="auto"/>
        <w:right w:val="none" w:sz="0" w:space="0" w:color="auto"/>
      </w:divBdr>
    </w:div>
    <w:div w:id="742534543">
      <w:marLeft w:val="0"/>
      <w:marRight w:val="0"/>
      <w:marTop w:val="0"/>
      <w:marBottom w:val="180"/>
      <w:divBdr>
        <w:top w:val="none" w:sz="0" w:space="0" w:color="auto"/>
        <w:left w:val="none" w:sz="0" w:space="0" w:color="auto"/>
        <w:bottom w:val="none" w:sz="0" w:space="0" w:color="auto"/>
        <w:right w:val="none" w:sz="0" w:space="0" w:color="auto"/>
      </w:divBdr>
    </w:div>
    <w:div w:id="742726288">
      <w:marLeft w:val="0"/>
      <w:marRight w:val="0"/>
      <w:marTop w:val="100"/>
      <w:marBottom w:val="180"/>
      <w:divBdr>
        <w:top w:val="none" w:sz="0" w:space="0" w:color="auto"/>
        <w:left w:val="none" w:sz="0" w:space="0" w:color="auto"/>
        <w:bottom w:val="none" w:sz="0" w:space="0" w:color="auto"/>
        <w:right w:val="none" w:sz="0" w:space="0" w:color="auto"/>
      </w:divBdr>
    </w:div>
    <w:div w:id="744030905">
      <w:marLeft w:val="0"/>
      <w:marRight w:val="0"/>
      <w:marTop w:val="0"/>
      <w:marBottom w:val="240"/>
      <w:divBdr>
        <w:top w:val="none" w:sz="0" w:space="0" w:color="auto"/>
        <w:left w:val="none" w:sz="0" w:space="0" w:color="auto"/>
        <w:bottom w:val="none" w:sz="0" w:space="0" w:color="auto"/>
        <w:right w:val="none" w:sz="0" w:space="0" w:color="auto"/>
      </w:divBdr>
    </w:div>
    <w:div w:id="745418783">
      <w:marLeft w:val="0"/>
      <w:marRight w:val="0"/>
      <w:marTop w:val="180"/>
      <w:marBottom w:val="180"/>
      <w:divBdr>
        <w:top w:val="none" w:sz="0" w:space="0" w:color="auto"/>
        <w:left w:val="none" w:sz="0" w:space="0" w:color="auto"/>
        <w:bottom w:val="none" w:sz="0" w:space="0" w:color="auto"/>
        <w:right w:val="none" w:sz="0" w:space="0" w:color="auto"/>
      </w:divBdr>
    </w:div>
    <w:div w:id="746919369">
      <w:marLeft w:val="0"/>
      <w:marRight w:val="0"/>
      <w:marTop w:val="120"/>
      <w:marBottom w:val="120"/>
      <w:divBdr>
        <w:top w:val="none" w:sz="0" w:space="0" w:color="auto"/>
        <w:left w:val="none" w:sz="0" w:space="0" w:color="auto"/>
        <w:bottom w:val="none" w:sz="0" w:space="0" w:color="auto"/>
        <w:right w:val="none" w:sz="0" w:space="0" w:color="auto"/>
      </w:divBdr>
    </w:div>
    <w:div w:id="747535230">
      <w:marLeft w:val="0"/>
      <w:marRight w:val="0"/>
      <w:marTop w:val="180"/>
      <w:marBottom w:val="180"/>
      <w:divBdr>
        <w:top w:val="none" w:sz="0" w:space="0" w:color="auto"/>
        <w:left w:val="none" w:sz="0" w:space="0" w:color="auto"/>
        <w:bottom w:val="none" w:sz="0" w:space="0" w:color="auto"/>
        <w:right w:val="none" w:sz="0" w:space="0" w:color="auto"/>
      </w:divBdr>
    </w:div>
    <w:div w:id="747700848">
      <w:marLeft w:val="0"/>
      <w:marRight w:val="0"/>
      <w:marTop w:val="0"/>
      <w:marBottom w:val="0"/>
      <w:divBdr>
        <w:top w:val="none" w:sz="0" w:space="0" w:color="auto"/>
        <w:left w:val="none" w:sz="0" w:space="0" w:color="auto"/>
        <w:bottom w:val="none" w:sz="0" w:space="0" w:color="auto"/>
        <w:right w:val="none" w:sz="0" w:space="0" w:color="auto"/>
      </w:divBdr>
      <w:divsChild>
        <w:div w:id="1186138117">
          <w:marLeft w:val="0"/>
          <w:marRight w:val="0"/>
          <w:marTop w:val="0"/>
          <w:marBottom w:val="0"/>
          <w:divBdr>
            <w:top w:val="none" w:sz="0" w:space="0" w:color="auto"/>
            <w:left w:val="none" w:sz="0" w:space="0" w:color="auto"/>
            <w:bottom w:val="none" w:sz="0" w:space="0" w:color="auto"/>
            <w:right w:val="none" w:sz="0" w:space="0" w:color="auto"/>
          </w:divBdr>
        </w:div>
      </w:divsChild>
    </w:div>
    <w:div w:id="750202672">
      <w:marLeft w:val="0"/>
      <w:marRight w:val="0"/>
      <w:marTop w:val="200"/>
      <w:marBottom w:val="240"/>
      <w:divBdr>
        <w:top w:val="none" w:sz="0" w:space="0" w:color="auto"/>
        <w:left w:val="none" w:sz="0" w:space="0" w:color="auto"/>
        <w:bottom w:val="none" w:sz="0" w:space="0" w:color="auto"/>
        <w:right w:val="none" w:sz="0" w:space="0" w:color="auto"/>
      </w:divBdr>
    </w:div>
    <w:div w:id="750275402">
      <w:marLeft w:val="0"/>
      <w:marRight w:val="0"/>
      <w:marTop w:val="0"/>
      <w:marBottom w:val="0"/>
      <w:divBdr>
        <w:top w:val="none" w:sz="0" w:space="0" w:color="auto"/>
        <w:left w:val="none" w:sz="0" w:space="0" w:color="auto"/>
        <w:bottom w:val="none" w:sz="0" w:space="0" w:color="auto"/>
        <w:right w:val="none" w:sz="0" w:space="0" w:color="auto"/>
      </w:divBdr>
    </w:div>
    <w:div w:id="750588673">
      <w:marLeft w:val="0"/>
      <w:marRight w:val="0"/>
      <w:marTop w:val="0"/>
      <w:marBottom w:val="0"/>
      <w:divBdr>
        <w:top w:val="none" w:sz="0" w:space="0" w:color="auto"/>
        <w:left w:val="none" w:sz="0" w:space="0" w:color="auto"/>
        <w:bottom w:val="none" w:sz="0" w:space="0" w:color="auto"/>
        <w:right w:val="none" w:sz="0" w:space="0" w:color="auto"/>
      </w:divBdr>
    </w:div>
    <w:div w:id="751849991">
      <w:marLeft w:val="0"/>
      <w:marRight w:val="0"/>
      <w:marTop w:val="180"/>
      <w:marBottom w:val="180"/>
      <w:divBdr>
        <w:top w:val="none" w:sz="0" w:space="0" w:color="auto"/>
        <w:left w:val="none" w:sz="0" w:space="0" w:color="auto"/>
        <w:bottom w:val="none" w:sz="0" w:space="0" w:color="auto"/>
        <w:right w:val="none" w:sz="0" w:space="0" w:color="auto"/>
      </w:divBdr>
    </w:div>
    <w:div w:id="751854010">
      <w:marLeft w:val="0"/>
      <w:marRight w:val="0"/>
      <w:marTop w:val="0"/>
      <w:marBottom w:val="0"/>
      <w:divBdr>
        <w:top w:val="none" w:sz="0" w:space="0" w:color="auto"/>
        <w:left w:val="none" w:sz="0" w:space="0" w:color="auto"/>
        <w:bottom w:val="none" w:sz="0" w:space="0" w:color="auto"/>
        <w:right w:val="none" w:sz="0" w:space="0" w:color="auto"/>
      </w:divBdr>
      <w:divsChild>
        <w:div w:id="287468012">
          <w:marLeft w:val="0"/>
          <w:marRight w:val="0"/>
          <w:marTop w:val="0"/>
          <w:marBottom w:val="0"/>
          <w:divBdr>
            <w:top w:val="none" w:sz="0" w:space="0" w:color="auto"/>
            <w:left w:val="none" w:sz="0" w:space="0" w:color="auto"/>
            <w:bottom w:val="none" w:sz="0" w:space="0" w:color="auto"/>
            <w:right w:val="none" w:sz="0" w:space="0" w:color="auto"/>
          </w:divBdr>
        </w:div>
      </w:divsChild>
    </w:div>
    <w:div w:id="752356731">
      <w:marLeft w:val="0"/>
      <w:marRight w:val="0"/>
      <w:marTop w:val="0"/>
      <w:marBottom w:val="240"/>
      <w:divBdr>
        <w:top w:val="none" w:sz="0" w:space="0" w:color="auto"/>
        <w:left w:val="none" w:sz="0" w:space="0" w:color="auto"/>
        <w:bottom w:val="none" w:sz="0" w:space="0" w:color="auto"/>
        <w:right w:val="none" w:sz="0" w:space="0" w:color="auto"/>
      </w:divBdr>
    </w:div>
    <w:div w:id="752581254">
      <w:marLeft w:val="0"/>
      <w:marRight w:val="0"/>
      <w:marTop w:val="0"/>
      <w:marBottom w:val="240"/>
      <w:divBdr>
        <w:top w:val="none" w:sz="0" w:space="0" w:color="auto"/>
        <w:left w:val="none" w:sz="0" w:space="0" w:color="auto"/>
        <w:bottom w:val="none" w:sz="0" w:space="0" w:color="auto"/>
        <w:right w:val="none" w:sz="0" w:space="0" w:color="auto"/>
      </w:divBdr>
    </w:div>
    <w:div w:id="752892123">
      <w:marLeft w:val="0"/>
      <w:marRight w:val="0"/>
      <w:marTop w:val="0"/>
      <w:marBottom w:val="180"/>
      <w:divBdr>
        <w:top w:val="none" w:sz="0" w:space="0" w:color="auto"/>
        <w:left w:val="none" w:sz="0" w:space="0" w:color="auto"/>
        <w:bottom w:val="none" w:sz="0" w:space="0" w:color="auto"/>
        <w:right w:val="none" w:sz="0" w:space="0" w:color="auto"/>
      </w:divBdr>
    </w:div>
    <w:div w:id="753867453">
      <w:marLeft w:val="0"/>
      <w:marRight w:val="0"/>
      <w:marTop w:val="0"/>
      <w:marBottom w:val="0"/>
      <w:divBdr>
        <w:top w:val="none" w:sz="0" w:space="0" w:color="auto"/>
        <w:left w:val="none" w:sz="0" w:space="0" w:color="auto"/>
        <w:bottom w:val="none" w:sz="0" w:space="0" w:color="auto"/>
        <w:right w:val="none" w:sz="0" w:space="0" w:color="auto"/>
      </w:divBdr>
    </w:div>
    <w:div w:id="754202635">
      <w:marLeft w:val="0"/>
      <w:marRight w:val="0"/>
      <w:marTop w:val="180"/>
      <w:marBottom w:val="180"/>
      <w:divBdr>
        <w:top w:val="none" w:sz="0" w:space="0" w:color="auto"/>
        <w:left w:val="none" w:sz="0" w:space="0" w:color="auto"/>
        <w:bottom w:val="none" w:sz="0" w:space="0" w:color="auto"/>
        <w:right w:val="none" w:sz="0" w:space="0" w:color="auto"/>
      </w:divBdr>
    </w:div>
    <w:div w:id="754594965">
      <w:marLeft w:val="0"/>
      <w:marRight w:val="0"/>
      <w:marTop w:val="0"/>
      <w:marBottom w:val="0"/>
      <w:divBdr>
        <w:top w:val="none" w:sz="0" w:space="0" w:color="auto"/>
        <w:left w:val="none" w:sz="0" w:space="0" w:color="auto"/>
        <w:bottom w:val="none" w:sz="0" w:space="0" w:color="auto"/>
        <w:right w:val="none" w:sz="0" w:space="0" w:color="auto"/>
      </w:divBdr>
      <w:divsChild>
        <w:div w:id="315115092">
          <w:marLeft w:val="0"/>
          <w:marRight w:val="0"/>
          <w:marTop w:val="0"/>
          <w:marBottom w:val="0"/>
          <w:divBdr>
            <w:top w:val="none" w:sz="0" w:space="0" w:color="auto"/>
            <w:left w:val="none" w:sz="0" w:space="0" w:color="auto"/>
            <w:bottom w:val="none" w:sz="0" w:space="0" w:color="auto"/>
            <w:right w:val="none" w:sz="0" w:space="0" w:color="auto"/>
          </w:divBdr>
        </w:div>
      </w:divsChild>
    </w:div>
    <w:div w:id="755247590">
      <w:marLeft w:val="0"/>
      <w:marRight w:val="0"/>
      <w:marTop w:val="0"/>
      <w:marBottom w:val="0"/>
      <w:divBdr>
        <w:top w:val="none" w:sz="0" w:space="0" w:color="auto"/>
        <w:left w:val="none" w:sz="0" w:space="0" w:color="auto"/>
        <w:bottom w:val="none" w:sz="0" w:space="0" w:color="auto"/>
        <w:right w:val="none" w:sz="0" w:space="0" w:color="auto"/>
      </w:divBdr>
    </w:div>
    <w:div w:id="755249093">
      <w:marLeft w:val="0"/>
      <w:marRight w:val="0"/>
      <w:marTop w:val="0"/>
      <w:marBottom w:val="0"/>
      <w:divBdr>
        <w:top w:val="none" w:sz="0" w:space="0" w:color="auto"/>
        <w:left w:val="none" w:sz="0" w:space="0" w:color="auto"/>
        <w:bottom w:val="none" w:sz="0" w:space="0" w:color="auto"/>
        <w:right w:val="none" w:sz="0" w:space="0" w:color="auto"/>
      </w:divBdr>
    </w:div>
    <w:div w:id="755592827">
      <w:marLeft w:val="0"/>
      <w:marRight w:val="0"/>
      <w:marTop w:val="0"/>
      <w:marBottom w:val="180"/>
      <w:divBdr>
        <w:top w:val="none" w:sz="0" w:space="0" w:color="auto"/>
        <w:left w:val="none" w:sz="0" w:space="0" w:color="auto"/>
        <w:bottom w:val="none" w:sz="0" w:space="0" w:color="auto"/>
        <w:right w:val="none" w:sz="0" w:space="0" w:color="auto"/>
      </w:divBdr>
    </w:div>
    <w:div w:id="756051260">
      <w:marLeft w:val="0"/>
      <w:marRight w:val="0"/>
      <w:marTop w:val="0"/>
      <w:marBottom w:val="0"/>
      <w:divBdr>
        <w:top w:val="none" w:sz="0" w:space="0" w:color="auto"/>
        <w:left w:val="none" w:sz="0" w:space="0" w:color="auto"/>
        <w:bottom w:val="none" w:sz="0" w:space="0" w:color="auto"/>
        <w:right w:val="none" w:sz="0" w:space="0" w:color="auto"/>
      </w:divBdr>
    </w:div>
    <w:div w:id="756173403">
      <w:marLeft w:val="0"/>
      <w:marRight w:val="0"/>
      <w:marTop w:val="0"/>
      <w:marBottom w:val="240"/>
      <w:divBdr>
        <w:top w:val="none" w:sz="0" w:space="0" w:color="auto"/>
        <w:left w:val="none" w:sz="0" w:space="0" w:color="auto"/>
        <w:bottom w:val="none" w:sz="0" w:space="0" w:color="auto"/>
        <w:right w:val="none" w:sz="0" w:space="0" w:color="auto"/>
      </w:divBdr>
    </w:div>
    <w:div w:id="756249378">
      <w:marLeft w:val="0"/>
      <w:marRight w:val="0"/>
      <w:marTop w:val="0"/>
      <w:marBottom w:val="0"/>
      <w:divBdr>
        <w:top w:val="none" w:sz="0" w:space="0" w:color="auto"/>
        <w:left w:val="none" w:sz="0" w:space="0" w:color="auto"/>
        <w:bottom w:val="none" w:sz="0" w:space="0" w:color="auto"/>
        <w:right w:val="none" w:sz="0" w:space="0" w:color="auto"/>
      </w:divBdr>
    </w:div>
    <w:div w:id="756559342">
      <w:marLeft w:val="0"/>
      <w:marRight w:val="0"/>
      <w:marTop w:val="0"/>
      <w:marBottom w:val="180"/>
      <w:divBdr>
        <w:top w:val="none" w:sz="0" w:space="0" w:color="auto"/>
        <w:left w:val="none" w:sz="0" w:space="0" w:color="auto"/>
        <w:bottom w:val="none" w:sz="0" w:space="0" w:color="auto"/>
        <w:right w:val="none" w:sz="0" w:space="0" w:color="auto"/>
      </w:divBdr>
    </w:div>
    <w:div w:id="757140672">
      <w:marLeft w:val="0"/>
      <w:marRight w:val="0"/>
      <w:marTop w:val="0"/>
      <w:marBottom w:val="180"/>
      <w:divBdr>
        <w:top w:val="none" w:sz="0" w:space="0" w:color="auto"/>
        <w:left w:val="none" w:sz="0" w:space="0" w:color="auto"/>
        <w:bottom w:val="none" w:sz="0" w:space="0" w:color="auto"/>
        <w:right w:val="none" w:sz="0" w:space="0" w:color="auto"/>
      </w:divBdr>
    </w:div>
    <w:div w:id="757364808">
      <w:marLeft w:val="0"/>
      <w:marRight w:val="0"/>
      <w:marTop w:val="0"/>
      <w:marBottom w:val="0"/>
      <w:divBdr>
        <w:top w:val="none" w:sz="0" w:space="0" w:color="auto"/>
        <w:left w:val="none" w:sz="0" w:space="0" w:color="auto"/>
        <w:bottom w:val="none" w:sz="0" w:space="0" w:color="auto"/>
        <w:right w:val="none" w:sz="0" w:space="0" w:color="auto"/>
      </w:divBdr>
    </w:div>
    <w:div w:id="757750597">
      <w:marLeft w:val="0"/>
      <w:marRight w:val="0"/>
      <w:marTop w:val="0"/>
      <w:marBottom w:val="180"/>
      <w:divBdr>
        <w:top w:val="none" w:sz="0" w:space="0" w:color="auto"/>
        <w:left w:val="none" w:sz="0" w:space="0" w:color="auto"/>
        <w:bottom w:val="none" w:sz="0" w:space="0" w:color="auto"/>
        <w:right w:val="none" w:sz="0" w:space="0" w:color="auto"/>
      </w:divBdr>
    </w:div>
    <w:div w:id="758016046">
      <w:marLeft w:val="0"/>
      <w:marRight w:val="0"/>
      <w:marTop w:val="0"/>
      <w:marBottom w:val="240"/>
      <w:divBdr>
        <w:top w:val="none" w:sz="0" w:space="0" w:color="auto"/>
        <w:left w:val="none" w:sz="0" w:space="0" w:color="auto"/>
        <w:bottom w:val="none" w:sz="0" w:space="0" w:color="auto"/>
        <w:right w:val="none" w:sz="0" w:space="0" w:color="auto"/>
      </w:divBdr>
    </w:div>
    <w:div w:id="759109776">
      <w:marLeft w:val="0"/>
      <w:marRight w:val="0"/>
      <w:marTop w:val="0"/>
      <w:marBottom w:val="240"/>
      <w:divBdr>
        <w:top w:val="none" w:sz="0" w:space="0" w:color="auto"/>
        <w:left w:val="none" w:sz="0" w:space="0" w:color="auto"/>
        <w:bottom w:val="none" w:sz="0" w:space="0" w:color="auto"/>
        <w:right w:val="none" w:sz="0" w:space="0" w:color="auto"/>
      </w:divBdr>
    </w:div>
    <w:div w:id="759722185">
      <w:marLeft w:val="0"/>
      <w:marRight w:val="0"/>
      <w:marTop w:val="0"/>
      <w:marBottom w:val="180"/>
      <w:divBdr>
        <w:top w:val="none" w:sz="0" w:space="0" w:color="auto"/>
        <w:left w:val="none" w:sz="0" w:space="0" w:color="auto"/>
        <w:bottom w:val="none" w:sz="0" w:space="0" w:color="auto"/>
        <w:right w:val="none" w:sz="0" w:space="0" w:color="auto"/>
      </w:divBdr>
    </w:div>
    <w:div w:id="760569834">
      <w:marLeft w:val="0"/>
      <w:marRight w:val="0"/>
      <w:marTop w:val="0"/>
      <w:marBottom w:val="0"/>
      <w:divBdr>
        <w:top w:val="none" w:sz="0" w:space="0" w:color="auto"/>
        <w:left w:val="none" w:sz="0" w:space="0" w:color="auto"/>
        <w:bottom w:val="none" w:sz="0" w:space="0" w:color="auto"/>
        <w:right w:val="none" w:sz="0" w:space="0" w:color="auto"/>
      </w:divBdr>
    </w:div>
    <w:div w:id="761493293">
      <w:marLeft w:val="0"/>
      <w:marRight w:val="0"/>
      <w:marTop w:val="0"/>
      <w:marBottom w:val="240"/>
      <w:divBdr>
        <w:top w:val="none" w:sz="0" w:space="0" w:color="auto"/>
        <w:left w:val="none" w:sz="0" w:space="0" w:color="auto"/>
        <w:bottom w:val="none" w:sz="0" w:space="0" w:color="auto"/>
        <w:right w:val="none" w:sz="0" w:space="0" w:color="auto"/>
      </w:divBdr>
    </w:div>
    <w:div w:id="761923378">
      <w:marLeft w:val="0"/>
      <w:marRight w:val="0"/>
      <w:marTop w:val="0"/>
      <w:marBottom w:val="0"/>
      <w:divBdr>
        <w:top w:val="none" w:sz="0" w:space="0" w:color="auto"/>
        <w:left w:val="none" w:sz="0" w:space="0" w:color="auto"/>
        <w:bottom w:val="none" w:sz="0" w:space="0" w:color="auto"/>
        <w:right w:val="none" w:sz="0" w:space="0" w:color="auto"/>
      </w:divBdr>
      <w:divsChild>
        <w:div w:id="871764824">
          <w:marLeft w:val="0"/>
          <w:marRight w:val="0"/>
          <w:marTop w:val="0"/>
          <w:marBottom w:val="0"/>
          <w:divBdr>
            <w:top w:val="none" w:sz="0" w:space="0" w:color="auto"/>
            <w:left w:val="none" w:sz="0" w:space="0" w:color="auto"/>
            <w:bottom w:val="none" w:sz="0" w:space="0" w:color="auto"/>
            <w:right w:val="none" w:sz="0" w:space="0" w:color="auto"/>
          </w:divBdr>
        </w:div>
      </w:divsChild>
    </w:div>
    <w:div w:id="762071525">
      <w:marLeft w:val="0"/>
      <w:marRight w:val="0"/>
      <w:marTop w:val="0"/>
      <w:marBottom w:val="240"/>
      <w:divBdr>
        <w:top w:val="none" w:sz="0" w:space="0" w:color="auto"/>
        <w:left w:val="none" w:sz="0" w:space="0" w:color="auto"/>
        <w:bottom w:val="none" w:sz="0" w:space="0" w:color="auto"/>
        <w:right w:val="none" w:sz="0" w:space="0" w:color="auto"/>
      </w:divBdr>
    </w:div>
    <w:div w:id="763040152">
      <w:marLeft w:val="0"/>
      <w:marRight w:val="0"/>
      <w:marTop w:val="0"/>
      <w:marBottom w:val="180"/>
      <w:divBdr>
        <w:top w:val="none" w:sz="0" w:space="0" w:color="auto"/>
        <w:left w:val="none" w:sz="0" w:space="0" w:color="auto"/>
        <w:bottom w:val="none" w:sz="0" w:space="0" w:color="auto"/>
        <w:right w:val="none" w:sz="0" w:space="0" w:color="auto"/>
      </w:divBdr>
    </w:div>
    <w:div w:id="764423693">
      <w:marLeft w:val="0"/>
      <w:marRight w:val="0"/>
      <w:marTop w:val="180"/>
      <w:marBottom w:val="180"/>
      <w:divBdr>
        <w:top w:val="none" w:sz="0" w:space="0" w:color="auto"/>
        <w:left w:val="none" w:sz="0" w:space="0" w:color="auto"/>
        <w:bottom w:val="none" w:sz="0" w:space="0" w:color="auto"/>
        <w:right w:val="none" w:sz="0" w:space="0" w:color="auto"/>
      </w:divBdr>
    </w:div>
    <w:div w:id="765030405">
      <w:marLeft w:val="0"/>
      <w:marRight w:val="0"/>
      <w:marTop w:val="100"/>
      <w:marBottom w:val="0"/>
      <w:divBdr>
        <w:top w:val="none" w:sz="0" w:space="0" w:color="auto"/>
        <w:left w:val="none" w:sz="0" w:space="0" w:color="auto"/>
        <w:bottom w:val="none" w:sz="0" w:space="0" w:color="auto"/>
        <w:right w:val="none" w:sz="0" w:space="0" w:color="auto"/>
      </w:divBdr>
    </w:div>
    <w:div w:id="766737059">
      <w:marLeft w:val="0"/>
      <w:marRight w:val="0"/>
      <w:marTop w:val="0"/>
      <w:marBottom w:val="240"/>
      <w:divBdr>
        <w:top w:val="none" w:sz="0" w:space="0" w:color="auto"/>
        <w:left w:val="none" w:sz="0" w:space="0" w:color="auto"/>
        <w:bottom w:val="none" w:sz="0" w:space="0" w:color="auto"/>
        <w:right w:val="none" w:sz="0" w:space="0" w:color="auto"/>
      </w:divBdr>
    </w:div>
    <w:div w:id="768306712">
      <w:marLeft w:val="0"/>
      <w:marRight w:val="0"/>
      <w:marTop w:val="100"/>
      <w:marBottom w:val="240"/>
      <w:divBdr>
        <w:top w:val="none" w:sz="0" w:space="0" w:color="auto"/>
        <w:left w:val="none" w:sz="0" w:space="0" w:color="auto"/>
        <w:bottom w:val="none" w:sz="0" w:space="0" w:color="auto"/>
        <w:right w:val="none" w:sz="0" w:space="0" w:color="auto"/>
      </w:divBdr>
    </w:div>
    <w:div w:id="769357478">
      <w:marLeft w:val="0"/>
      <w:marRight w:val="0"/>
      <w:marTop w:val="180"/>
      <w:marBottom w:val="180"/>
      <w:divBdr>
        <w:top w:val="none" w:sz="0" w:space="0" w:color="auto"/>
        <w:left w:val="none" w:sz="0" w:space="0" w:color="auto"/>
        <w:bottom w:val="none" w:sz="0" w:space="0" w:color="auto"/>
        <w:right w:val="none" w:sz="0" w:space="0" w:color="auto"/>
      </w:divBdr>
    </w:div>
    <w:div w:id="772287129">
      <w:marLeft w:val="0"/>
      <w:marRight w:val="0"/>
      <w:marTop w:val="0"/>
      <w:marBottom w:val="180"/>
      <w:divBdr>
        <w:top w:val="none" w:sz="0" w:space="0" w:color="auto"/>
        <w:left w:val="none" w:sz="0" w:space="0" w:color="auto"/>
        <w:bottom w:val="none" w:sz="0" w:space="0" w:color="auto"/>
        <w:right w:val="none" w:sz="0" w:space="0" w:color="auto"/>
      </w:divBdr>
    </w:div>
    <w:div w:id="772360868">
      <w:marLeft w:val="0"/>
      <w:marRight w:val="0"/>
      <w:marTop w:val="0"/>
      <w:marBottom w:val="240"/>
      <w:divBdr>
        <w:top w:val="none" w:sz="0" w:space="0" w:color="auto"/>
        <w:left w:val="none" w:sz="0" w:space="0" w:color="auto"/>
        <w:bottom w:val="none" w:sz="0" w:space="0" w:color="auto"/>
        <w:right w:val="none" w:sz="0" w:space="0" w:color="auto"/>
      </w:divBdr>
    </w:div>
    <w:div w:id="773134846">
      <w:marLeft w:val="0"/>
      <w:marRight w:val="0"/>
      <w:marTop w:val="180"/>
      <w:marBottom w:val="180"/>
      <w:divBdr>
        <w:top w:val="none" w:sz="0" w:space="0" w:color="auto"/>
        <w:left w:val="none" w:sz="0" w:space="0" w:color="auto"/>
        <w:bottom w:val="none" w:sz="0" w:space="0" w:color="auto"/>
        <w:right w:val="none" w:sz="0" w:space="0" w:color="auto"/>
      </w:divBdr>
    </w:div>
    <w:div w:id="773792245">
      <w:marLeft w:val="0"/>
      <w:marRight w:val="0"/>
      <w:marTop w:val="0"/>
      <w:marBottom w:val="0"/>
      <w:divBdr>
        <w:top w:val="none" w:sz="0" w:space="0" w:color="auto"/>
        <w:left w:val="none" w:sz="0" w:space="0" w:color="auto"/>
        <w:bottom w:val="none" w:sz="0" w:space="0" w:color="auto"/>
        <w:right w:val="none" w:sz="0" w:space="0" w:color="auto"/>
      </w:divBdr>
      <w:divsChild>
        <w:div w:id="1035690446">
          <w:marLeft w:val="0"/>
          <w:marRight w:val="0"/>
          <w:marTop w:val="0"/>
          <w:marBottom w:val="0"/>
          <w:divBdr>
            <w:top w:val="none" w:sz="0" w:space="0" w:color="auto"/>
            <w:left w:val="none" w:sz="0" w:space="0" w:color="auto"/>
            <w:bottom w:val="none" w:sz="0" w:space="0" w:color="auto"/>
            <w:right w:val="none" w:sz="0" w:space="0" w:color="auto"/>
          </w:divBdr>
        </w:div>
      </w:divsChild>
    </w:div>
    <w:div w:id="774329221">
      <w:marLeft w:val="0"/>
      <w:marRight w:val="0"/>
      <w:marTop w:val="0"/>
      <w:marBottom w:val="0"/>
      <w:divBdr>
        <w:top w:val="none" w:sz="0" w:space="0" w:color="auto"/>
        <w:left w:val="none" w:sz="0" w:space="0" w:color="auto"/>
        <w:bottom w:val="none" w:sz="0" w:space="0" w:color="auto"/>
        <w:right w:val="none" w:sz="0" w:space="0" w:color="auto"/>
      </w:divBdr>
    </w:div>
    <w:div w:id="774640782">
      <w:marLeft w:val="0"/>
      <w:marRight w:val="0"/>
      <w:marTop w:val="0"/>
      <w:marBottom w:val="0"/>
      <w:divBdr>
        <w:top w:val="none" w:sz="0" w:space="0" w:color="auto"/>
        <w:left w:val="none" w:sz="0" w:space="0" w:color="auto"/>
        <w:bottom w:val="none" w:sz="0" w:space="0" w:color="auto"/>
        <w:right w:val="none" w:sz="0" w:space="0" w:color="auto"/>
      </w:divBdr>
      <w:divsChild>
        <w:div w:id="2094886847">
          <w:marLeft w:val="0"/>
          <w:marRight w:val="0"/>
          <w:marTop w:val="0"/>
          <w:marBottom w:val="0"/>
          <w:divBdr>
            <w:top w:val="none" w:sz="0" w:space="0" w:color="auto"/>
            <w:left w:val="none" w:sz="0" w:space="0" w:color="auto"/>
            <w:bottom w:val="none" w:sz="0" w:space="0" w:color="auto"/>
            <w:right w:val="none" w:sz="0" w:space="0" w:color="auto"/>
          </w:divBdr>
        </w:div>
      </w:divsChild>
    </w:div>
    <w:div w:id="775058221">
      <w:marLeft w:val="0"/>
      <w:marRight w:val="0"/>
      <w:marTop w:val="0"/>
      <w:marBottom w:val="0"/>
      <w:divBdr>
        <w:top w:val="none" w:sz="0" w:space="0" w:color="auto"/>
        <w:left w:val="none" w:sz="0" w:space="0" w:color="auto"/>
        <w:bottom w:val="none" w:sz="0" w:space="0" w:color="auto"/>
        <w:right w:val="none" w:sz="0" w:space="0" w:color="auto"/>
      </w:divBdr>
      <w:divsChild>
        <w:div w:id="225607603">
          <w:marLeft w:val="0"/>
          <w:marRight w:val="0"/>
          <w:marTop w:val="0"/>
          <w:marBottom w:val="0"/>
          <w:divBdr>
            <w:top w:val="none" w:sz="0" w:space="0" w:color="auto"/>
            <w:left w:val="none" w:sz="0" w:space="0" w:color="auto"/>
            <w:bottom w:val="none" w:sz="0" w:space="0" w:color="auto"/>
            <w:right w:val="none" w:sz="0" w:space="0" w:color="auto"/>
          </w:divBdr>
        </w:div>
      </w:divsChild>
    </w:div>
    <w:div w:id="776027814">
      <w:marLeft w:val="0"/>
      <w:marRight w:val="0"/>
      <w:marTop w:val="0"/>
      <w:marBottom w:val="0"/>
      <w:divBdr>
        <w:top w:val="none" w:sz="0" w:space="0" w:color="auto"/>
        <w:left w:val="none" w:sz="0" w:space="0" w:color="auto"/>
        <w:bottom w:val="none" w:sz="0" w:space="0" w:color="auto"/>
        <w:right w:val="none" w:sz="0" w:space="0" w:color="auto"/>
      </w:divBdr>
      <w:divsChild>
        <w:div w:id="688919958">
          <w:marLeft w:val="0"/>
          <w:marRight w:val="0"/>
          <w:marTop w:val="0"/>
          <w:marBottom w:val="0"/>
          <w:divBdr>
            <w:top w:val="none" w:sz="0" w:space="0" w:color="auto"/>
            <w:left w:val="none" w:sz="0" w:space="0" w:color="auto"/>
            <w:bottom w:val="none" w:sz="0" w:space="0" w:color="auto"/>
            <w:right w:val="none" w:sz="0" w:space="0" w:color="auto"/>
          </w:divBdr>
        </w:div>
      </w:divsChild>
    </w:div>
    <w:div w:id="776097237">
      <w:marLeft w:val="0"/>
      <w:marRight w:val="0"/>
      <w:marTop w:val="0"/>
      <w:marBottom w:val="0"/>
      <w:divBdr>
        <w:top w:val="none" w:sz="0" w:space="0" w:color="auto"/>
        <w:left w:val="none" w:sz="0" w:space="0" w:color="auto"/>
        <w:bottom w:val="none" w:sz="0" w:space="0" w:color="auto"/>
        <w:right w:val="none" w:sz="0" w:space="0" w:color="auto"/>
      </w:divBdr>
    </w:div>
    <w:div w:id="776372119">
      <w:marLeft w:val="0"/>
      <w:marRight w:val="0"/>
      <w:marTop w:val="0"/>
      <w:marBottom w:val="0"/>
      <w:divBdr>
        <w:top w:val="none" w:sz="0" w:space="0" w:color="auto"/>
        <w:left w:val="none" w:sz="0" w:space="0" w:color="auto"/>
        <w:bottom w:val="none" w:sz="0" w:space="0" w:color="auto"/>
        <w:right w:val="none" w:sz="0" w:space="0" w:color="auto"/>
      </w:divBdr>
    </w:div>
    <w:div w:id="776413989">
      <w:marLeft w:val="0"/>
      <w:marRight w:val="0"/>
      <w:marTop w:val="0"/>
      <w:marBottom w:val="180"/>
      <w:divBdr>
        <w:top w:val="none" w:sz="0" w:space="0" w:color="auto"/>
        <w:left w:val="none" w:sz="0" w:space="0" w:color="auto"/>
        <w:bottom w:val="none" w:sz="0" w:space="0" w:color="auto"/>
        <w:right w:val="none" w:sz="0" w:space="0" w:color="auto"/>
      </w:divBdr>
    </w:div>
    <w:div w:id="776868164">
      <w:marLeft w:val="0"/>
      <w:marRight w:val="0"/>
      <w:marTop w:val="0"/>
      <w:marBottom w:val="180"/>
      <w:divBdr>
        <w:top w:val="none" w:sz="0" w:space="0" w:color="auto"/>
        <w:left w:val="none" w:sz="0" w:space="0" w:color="auto"/>
        <w:bottom w:val="none" w:sz="0" w:space="0" w:color="auto"/>
        <w:right w:val="none" w:sz="0" w:space="0" w:color="auto"/>
      </w:divBdr>
    </w:div>
    <w:div w:id="777061391">
      <w:marLeft w:val="0"/>
      <w:marRight w:val="0"/>
      <w:marTop w:val="0"/>
      <w:marBottom w:val="0"/>
      <w:divBdr>
        <w:top w:val="none" w:sz="0" w:space="0" w:color="auto"/>
        <w:left w:val="none" w:sz="0" w:space="0" w:color="auto"/>
        <w:bottom w:val="none" w:sz="0" w:space="0" w:color="auto"/>
        <w:right w:val="none" w:sz="0" w:space="0" w:color="auto"/>
      </w:divBdr>
    </w:div>
    <w:div w:id="777799655">
      <w:marLeft w:val="0"/>
      <w:marRight w:val="0"/>
      <w:marTop w:val="0"/>
      <w:marBottom w:val="0"/>
      <w:divBdr>
        <w:top w:val="none" w:sz="0" w:space="0" w:color="auto"/>
        <w:left w:val="none" w:sz="0" w:space="0" w:color="auto"/>
        <w:bottom w:val="none" w:sz="0" w:space="0" w:color="auto"/>
        <w:right w:val="none" w:sz="0" w:space="0" w:color="auto"/>
      </w:divBdr>
    </w:div>
    <w:div w:id="777994423">
      <w:marLeft w:val="0"/>
      <w:marRight w:val="0"/>
      <w:marTop w:val="0"/>
      <w:marBottom w:val="0"/>
      <w:divBdr>
        <w:top w:val="none" w:sz="0" w:space="0" w:color="auto"/>
        <w:left w:val="none" w:sz="0" w:space="0" w:color="auto"/>
        <w:bottom w:val="none" w:sz="0" w:space="0" w:color="auto"/>
        <w:right w:val="none" w:sz="0" w:space="0" w:color="auto"/>
      </w:divBdr>
    </w:div>
    <w:div w:id="778447218">
      <w:marLeft w:val="0"/>
      <w:marRight w:val="0"/>
      <w:marTop w:val="340"/>
      <w:marBottom w:val="0"/>
      <w:divBdr>
        <w:top w:val="none" w:sz="0" w:space="0" w:color="auto"/>
        <w:left w:val="none" w:sz="0" w:space="0" w:color="auto"/>
        <w:bottom w:val="none" w:sz="0" w:space="0" w:color="auto"/>
        <w:right w:val="none" w:sz="0" w:space="0" w:color="auto"/>
      </w:divBdr>
      <w:divsChild>
        <w:div w:id="1546600775">
          <w:marLeft w:val="0"/>
          <w:marRight w:val="0"/>
          <w:marTop w:val="0"/>
          <w:marBottom w:val="0"/>
          <w:divBdr>
            <w:top w:val="none" w:sz="0" w:space="0" w:color="auto"/>
            <w:left w:val="none" w:sz="0" w:space="0" w:color="auto"/>
            <w:bottom w:val="none" w:sz="0" w:space="0" w:color="auto"/>
            <w:right w:val="none" w:sz="0" w:space="0" w:color="auto"/>
          </w:divBdr>
        </w:div>
        <w:div w:id="1359966726">
          <w:marLeft w:val="0"/>
          <w:marRight w:val="0"/>
          <w:marTop w:val="0"/>
          <w:marBottom w:val="0"/>
          <w:divBdr>
            <w:top w:val="none" w:sz="0" w:space="0" w:color="auto"/>
            <w:left w:val="none" w:sz="0" w:space="0" w:color="auto"/>
            <w:bottom w:val="none" w:sz="0" w:space="0" w:color="auto"/>
            <w:right w:val="none" w:sz="0" w:space="0" w:color="auto"/>
          </w:divBdr>
        </w:div>
        <w:div w:id="1990592003">
          <w:marLeft w:val="0"/>
          <w:marRight w:val="0"/>
          <w:marTop w:val="0"/>
          <w:marBottom w:val="0"/>
          <w:divBdr>
            <w:top w:val="none" w:sz="0" w:space="0" w:color="auto"/>
            <w:left w:val="none" w:sz="0" w:space="0" w:color="auto"/>
            <w:bottom w:val="none" w:sz="0" w:space="0" w:color="auto"/>
            <w:right w:val="none" w:sz="0" w:space="0" w:color="auto"/>
          </w:divBdr>
        </w:div>
        <w:div w:id="619266846">
          <w:marLeft w:val="0"/>
          <w:marRight w:val="0"/>
          <w:marTop w:val="0"/>
          <w:marBottom w:val="0"/>
          <w:divBdr>
            <w:top w:val="none" w:sz="0" w:space="0" w:color="auto"/>
            <w:left w:val="none" w:sz="0" w:space="0" w:color="auto"/>
            <w:bottom w:val="none" w:sz="0" w:space="0" w:color="auto"/>
            <w:right w:val="none" w:sz="0" w:space="0" w:color="auto"/>
          </w:divBdr>
        </w:div>
        <w:div w:id="1729768889">
          <w:marLeft w:val="0"/>
          <w:marRight w:val="0"/>
          <w:marTop w:val="0"/>
          <w:marBottom w:val="0"/>
          <w:divBdr>
            <w:top w:val="none" w:sz="0" w:space="0" w:color="auto"/>
            <w:left w:val="none" w:sz="0" w:space="0" w:color="auto"/>
            <w:bottom w:val="none" w:sz="0" w:space="0" w:color="auto"/>
            <w:right w:val="none" w:sz="0" w:space="0" w:color="auto"/>
          </w:divBdr>
        </w:div>
        <w:div w:id="834878993">
          <w:marLeft w:val="0"/>
          <w:marRight w:val="0"/>
          <w:marTop w:val="0"/>
          <w:marBottom w:val="0"/>
          <w:divBdr>
            <w:top w:val="none" w:sz="0" w:space="0" w:color="auto"/>
            <w:left w:val="none" w:sz="0" w:space="0" w:color="auto"/>
            <w:bottom w:val="none" w:sz="0" w:space="0" w:color="auto"/>
            <w:right w:val="none" w:sz="0" w:space="0" w:color="auto"/>
          </w:divBdr>
        </w:div>
        <w:div w:id="905191901">
          <w:marLeft w:val="0"/>
          <w:marRight w:val="0"/>
          <w:marTop w:val="0"/>
          <w:marBottom w:val="0"/>
          <w:divBdr>
            <w:top w:val="none" w:sz="0" w:space="0" w:color="auto"/>
            <w:left w:val="none" w:sz="0" w:space="0" w:color="auto"/>
            <w:bottom w:val="none" w:sz="0" w:space="0" w:color="auto"/>
            <w:right w:val="none" w:sz="0" w:space="0" w:color="auto"/>
          </w:divBdr>
        </w:div>
        <w:div w:id="974062195">
          <w:marLeft w:val="0"/>
          <w:marRight w:val="0"/>
          <w:marTop w:val="0"/>
          <w:marBottom w:val="0"/>
          <w:divBdr>
            <w:top w:val="none" w:sz="0" w:space="0" w:color="auto"/>
            <w:left w:val="none" w:sz="0" w:space="0" w:color="auto"/>
            <w:bottom w:val="none" w:sz="0" w:space="0" w:color="auto"/>
            <w:right w:val="none" w:sz="0" w:space="0" w:color="auto"/>
          </w:divBdr>
        </w:div>
        <w:div w:id="1948273257">
          <w:marLeft w:val="0"/>
          <w:marRight w:val="0"/>
          <w:marTop w:val="0"/>
          <w:marBottom w:val="0"/>
          <w:divBdr>
            <w:top w:val="none" w:sz="0" w:space="0" w:color="auto"/>
            <w:left w:val="none" w:sz="0" w:space="0" w:color="auto"/>
            <w:bottom w:val="none" w:sz="0" w:space="0" w:color="auto"/>
            <w:right w:val="none" w:sz="0" w:space="0" w:color="auto"/>
          </w:divBdr>
        </w:div>
        <w:div w:id="707952191">
          <w:marLeft w:val="0"/>
          <w:marRight w:val="0"/>
          <w:marTop w:val="0"/>
          <w:marBottom w:val="0"/>
          <w:divBdr>
            <w:top w:val="none" w:sz="0" w:space="0" w:color="auto"/>
            <w:left w:val="none" w:sz="0" w:space="0" w:color="auto"/>
            <w:bottom w:val="none" w:sz="0" w:space="0" w:color="auto"/>
            <w:right w:val="none" w:sz="0" w:space="0" w:color="auto"/>
          </w:divBdr>
        </w:div>
        <w:div w:id="1605500965">
          <w:marLeft w:val="0"/>
          <w:marRight w:val="0"/>
          <w:marTop w:val="0"/>
          <w:marBottom w:val="0"/>
          <w:divBdr>
            <w:top w:val="none" w:sz="0" w:space="0" w:color="auto"/>
            <w:left w:val="none" w:sz="0" w:space="0" w:color="auto"/>
            <w:bottom w:val="none" w:sz="0" w:space="0" w:color="auto"/>
            <w:right w:val="none" w:sz="0" w:space="0" w:color="auto"/>
          </w:divBdr>
        </w:div>
        <w:div w:id="326447881">
          <w:marLeft w:val="0"/>
          <w:marRight w:val="0"/>
          <w:marTop w:val="0"/>
          <w:marBottom w:val="0"/>
          <w:divBdr>
            <w:top w:val="none" w:sz="0" w:space="0" w:color="auto"/>
            <w:left w:val="none" w:sz="0" w:space="0" w:color="auto"/>
            <w:bottom w:val="none" w:sz="0" w:space="0" w:color="auto"/>
            <w:right w:val="none" w:sz="0" w:space="0" w:color="auto"/>
          </w:divBdr>
        </w:div>
        <w:div w:id="2031450614">
          <w:marLeft w:val="0"/>
          <w:marRight w:val="0"/>
          <w:marTop w:val="0"/>
          <w:marBottom w:val="0"/>
          <w:divBdr>
            <w:top w:val="none" w:sz="0" w:space="0" w:color="auto"/>
            <w:left w:val="none" w:sz="0" w:space="0" w:color="auto"/>
            <w:bottom w:val="none" w:sz="0" w:space="0" w:color="auto"/>
            <w:right w:val="none" w:sz="0" w:space="0" w:color="auto"/>
          </w:divBdr>
        </w:div>
        <w:div w:id="294723101">
          <w:marLeft w:val="0"/>
          <w:marRight w:val="0"/>
          <w:marTop w:val="0"/>
          <w:marBottom w:val="0"/>
          <w:divBdr>
            <w:top w:val="none" w:sz="0" w:space="0" w:color="auto"/>
            <w:left w:val="none" w:sz="0" w:space="0" w:color="auto"/>
            <w:bottom w:val="none" w:sz="0" w:space="0" w:color="auto"/>
            <w:right w:val="none" w:sz="0" w:space="0" w:color="auto"/>
          </w:divBdr>
        </w:div>
        <w:div w:id="1516070906">
          <w:marLeft w:val="0"/>
          <w:marRight w:val="0"/>
          <w:marTop w:val="0"/>
          <w:marBottom w:val="0"/>
          <w:divBdr>
            <w:top w:val="none" w:sz="0" w:space="0" w:color="auto"/>
            <w:left w:val="none" w:sz="0" w:space="0" w:color="auto"/>
            <w:bottom w:val="none" w:sz="0" w:space="0" w:color="auto"/>
            <w:right w:val="none" w:sz="0" w:space="0" w:color="auto"/>
          </w:divBdr>
        </w:div>
        <w:div w:id="155921687">
          <w:marLeft w:val="0"/>
          <w:marRight w:val="0"/>
          <w:marTop w:val="0"/>
          <w:marBottom w:val="0"/>
          <w:divBdr>
            <w:top w:val="none" w:sz="0" w:space="0" w:color="auto"/>
            <w:left w:val="none" w:sz="0" w:space="0" w:color="auto"/>
            <w:bottom w:val="none" w:sz="0" w:space="0" w:color="auto"/>
            <w:right w:val="none" w:sz="0" w:space="0" w:color="auto"/>
          </w:divBdr>
        </w:div>
        <w:div w:id="1790274460">
          <w:marLeft w:val="0"/>
          <w:marRight w:val="0"/>
          <w:marTop w:val="0"/>
          <w:marBottom w:val="0"/>
          <w:divBdr>
            <w:top w:val="none" w:sz="0" w:space="0" w:color="auto"/>
            <w:left w:val="none" w:sz="0" w:space="0" w:color="auto"/>
            <w:bottom w:val="none" w:sz="0" w:space="0" w:color="auto"/>
            <w:right w:val="none" w:sz="0" w:space="0" w:color="auto"/>
          </w:divBdr>
        </w:div>
        <w:div w:id="2044087166">
          <w:marLeft w:val="0"/>
          <w:marRight w:val="0"/>
          <w:marTop w:val="0"/>
          <w:marBottom w:val="0"/>
          <w:divBdr>
            <w:top w:val="none" w:sz="0" w:space="0" w:color="auto"/>
            <w:left w:val="none" w:sz="0" w:space="0" w:color="auto"/>
            <w:bottom w:val="none" w:sz="0" w:space="0" w:color="auto"/>
            <w:right w:val="none" w:sz="0" w:space="0" w:color="auto"/>
          </w:divBdr>
        </w:div>
        <w:div w:id="1363436750">
          <w:marLeft w:val="0"/>
          <w:marRight w:val="0"/>
          <w:marTop w:val="0"/>
          <w:marBottom w:val="0"/>
          <w:divBdr>
            <w:top w:val="none" w:sz="0" w:space="0" w:color="auto"/>
            <w:left w:val="none" w:sz="0" w:space="0" w:color="auto"/>
            <w:bottom w:val="none" w:sz="0" w:space="0" w:color="auto"/>
            <w:right w:val="none" w:sz="0" w:space="0" w:color="auto"/>
          </w:divBdr>
        </w:div>
        <w:div w:id="1720277564">
          <w:marLeft w:val="0"/>
          <w:marRight w:val="0"/>
          <w:marTop w:val="0"/>
          <w:marBottom w:val="0"/>
          <w:divBdr>
            <w:top w:val="none" w:sz="0" w:space="0" w:color="auto"/>
            <w:left w:val="none" w:sz="0" w:space="0" w:color="auto"/>
            <w:bottom w:val="none" w:sz="0" w:space="0" w:color="auto"/>
            <w:right w:val="none" w:sz="0" w:space="0" w:color="auto"/>
          </w:divBdr>
        </w:div>
        <w:div w:id="1557621828">
          <w:marLeft w:val="0"/>
          <w:marRight w:val="0"/>
          <w:marTop w:val="0"/>
          <w:marBottom w:val="0"/>
          <w:divBdr>
            <w:top w:val="none" w:sz="0" w:space="0" w:color="auto"/>
            <w:left w:val="none" w:sz="0" w:space="0" w:color="auto"/>
            <w:bottom w:val="none" w:sz="0" w:space="0" w:color="auto"/>
            <w:right w:val="none" w:sz="0" w:space="0" w:color="auto"/>
          </w:divBdr>
        </w:div>
        <w:div w:id="225919906">
          <w:marLeft w:val="0"/>
          <w:marRight w:val="0"/>
          <w:marTop w:val="0"/>
          <w:marBottom w:val="0"/>
          <w:divBdr>
            <w:top w:val="none" w:sz="0" w:space="0" w:color="auto"/>
            <w:left w:val="none" w:sz="0" w:space="0" w:color="auto"/>
            <w:bottom w:val="none" w:sz="0" w:space="0" w:color="auto"/>
            <w:right w:val="none" w:sz="0" w:space="0" w:color="auto"/>
          </w:divBdr>
        </w:div>
        <w:div w:id="1129937751">
          <w:marLeft w:val="0"/>
          <w:marRight w:val="0"/>
          <w:marTop w:val="0"/>
          <w:marBottom w:val="0"/>
          <w:divBdr>
            <w:top w:val="none" w:sz="0" w:space="0" w:color="auto"/>
            <w:left w:val="none" w:sz="0" w:space="0" w:color="auto"/>
            <w:bottom w:val="none" w:sz="0" w:space="0" w:color="auto"/>
            <w:right w:val="none" w:sz="0" w:space="0" w:color="auto"/>
          </w:divBdr>
        </w:div>
        <w:div w:id="1650473015">
          <w:marLeft w:val="0"/>
          <w:marRight w:val="0"/>
          <w:marTop w:val="0"/>
          <w:marBottom w:val="0"/>
          <w:divBdr>
            <w:top w:val="none" w:sz="0" w:space="0" w:color="auto"/>
            <w:left w:val="none" w:sz="0" w:space="0" w:color="auto"/>
            <w:bottom w:val="none" w:sz="0" w:space="0" w:color="auto"/>
            <w:right w:val="none" w:sz="0" w:space="0" w:color="auto"/>
          </w:divBdr>
        </w:div>
        <w:div w:id="652297946">
          <w:marLeft w:val="0"/>
          <w:marRight w:val="0"/>
          <w:marTop w:val="0"/>
          <w:marBottom w:val="0"/>
          <w:divBdr>
            <w:top w:val="none" w:sz="0" w:space="0" w:color="auto"/>
            <w:left w:val="none" w:sz="0" w:space="0" w:color="auto"/>
            <w:bottom w:val="none" w:sz="0" w:space="0" w:color="auto"/>
            <w:right w:val="none" w:sz="0" w:space="0" w:color="auto"/>
          </w:divBdr>
        </w:div>
        <w:div w:id="1125730306">
          <w:marLeft w:val="0"/>
          <w:marRight w:val="0"/>
          <w:marTop w:val="0"/>
          <w:marBottom w:val="0"/>
          <w:divBdr>
            <w:top w:val="none" w:sz="0" w:space="0" w:color="auto"/>
            <w:left w:val="none" w:sz="0" w:space="0" w:color="auto"/>
            <w:bottom w:val="none" w:sz="0" w:space="0" w:color="auto"/>
            <w:right w:val="none" w:sz="0" w:space="0" w:color="auto"/>
          </w:divBdr>
        </w:div>
        <w:div w:id="87427532">
          <w:marLeft w:val="0"/>
          <w:marRight w:val="0"/>
          <w:marTop w:val="0"/>
          <w:marBottom w:val="0"/>
          <w:divBdr>
            <w:top w:val="none" w:sz="0" w:space="0" w:color="auto"/>
            <w:left w:val="none" w:sz="0" w:space="0" w:color="auto"/>
            <w:bottom w:val="none" w:sz="0" w:space="0" w:color="auto"/>
            <w:right w:val="none" w:sz="0" w:space="0" w:color="auto"/>
          </w:divBdr>
        </w:div>
        <w:div w:id="1451585148">
          <w:marLeft w:val="0"/>
          <w:marRight w:val="0"/>
          <w:marTop w:val="0"/>
          <w:marBottom w:val="0"/>
          <w:divBdr>
            <w:top w:val="none" w:sz="0" w:space="0" w:color="auto"/>
            <w:left w:val="none" w:sz="0" w:space="0" w:color="auto"/>
            <w:bottom w:val="none" w:sz="0" w:space="0" w:color="auto"/>
            <w:right w:val="none" w:sz="0" w:space="0" w:color="auto"/>
          </w:divBdr>
        </w:div>
        <w:div w:id="556013748">
          <w:marLeft w:val="0"/>
          <w:marRight w:val="0"/>
          <w:marTop w:val="0"/>
          <w:marBottom w:val="0"/>
          <w:divBdr>
            <w:top w:val="none" w:sz="0" w:space="0" w:color="auto"/>
            <w:left w:val="none" w:sz="0" w:space="0" w:color="auto"/>
            <w:bottom w:val="none" w:sz="0" w:space="0" w:color="auto"/>
            <w:right w:val="none" w:sz="0" w:space="0" w:color="auto"/>
          </w:divBdr>
        </w:div>
        <w:div w:id="822964134">
          <w:marLeft w:val="0"/>
          <w:marRight w:val="0"/>
          <w:marTop w:val="0"/>
          <w:marBottom w:val="0"/>
          <w:divBdr>
            <w:top w:val="none" w:sz="0" w:space="0" w:color="auto"/>
            <w:left w:val="none" w:sz="0" w:space="0" w:color="auto"/>
            <w:bottom w:val="none" w:sz="0" w:space="0" w:color="auto"/>
            <w:right w:val="none" w:sz="0" w:space="0" w:color="auto"/>
          </w:divBdr>
        </w:div>
        <w:div w:id="1622032608">
          <w:marLeft w:val="0"/>
          <w:marRight w:val="0"/>
          <w:marTop w:val="0"/>
          <w:marBottom w:val="0"/>
          <w:divBdr>
            <w:top w:val="none" w:sz="0" w:space="0" w:color="auto"/>
            <w:left w:val="none" w:sz="0" w:space="0" w:color="auto"/>
            <w:bottom w:val="none" w:sz="0" w:space="0" w:color="auto"/>
            <w:right w:val="none" w:sz="0" w:space="0" w:color="auto"/>
          </w:divBdr>
        </w:div>
        <w:div w:id="1540170089">
          <w:marLeft w:val="0"/>
          <w:marRight w:val="0"/>
          <w:marTop w:val="0"/>
          <w:marBottom w:val="0"/>
          <w:divBdr>
            <w:top w:val="none" w:sz="0" w:space="0" w:color="auto"/>
            <w:left w:val="none" w:sz="0" w:space="0" w:color="auto"/>
            <w:bottom w:val="none" w:sz="0" w:space="0" w:color="auto"/>
            <w:right w:val="none" w:sz="0" w:space="0" w:color="auto"/>
          </w:divBdr>
        </w:div>
        <w:div w:id="1569920837">
          <w:marLeft w:val="0"/>
          <w:marRight w:val="0"/>
          <w:marTop w:val="0"/>
          <w:marBottom w:val="0"/>
          <w:divBdr>
            <w:top w:val="none" w:sz="0" w:space="0" w:color="auto"/>
            <w:left w:val="none" w:sz="0" w:space="0" w:color="auto"/>
            <w:bottom w:val="none" w:sz="0" w:space="0" w:color="auto"/>
            <w:right w:val="none" w:sz="0" w:space="0" w:color="auto"/>
          </w:divBdr>
        </w:div>
        <w:div w:id="1230574797">
          <w:marLeft w:val="0"/>
          <w:marRight w:val="0"/>
          <w:marTop w:val="0"/>
          <w:marBottom w:val="0"/>
          <w:divBdr>
            <w:top w:val="none" w:sz="0" w:space="0" w:color="auto"/>
            <w:left w:val="none" w:sz="0" w:space="0" w:color="auto"/>
            <w:bottom w:val="none" w:sz="0" w:space="0" w:color="auto"/>
            <w:right w:val="none" w:sz="0" w:space="0" w:color="auto"/>
          </w:divBdr>
        </w:div>
        <w:div w:id="365566218">
          <w:marLeft w:val="0"/>
          <w:marRight w:val="0"/>
          <w:marTop w:val="0"/>
          <w:marBottom w:val="0"/>
          <w:divBdr>
            <w:top w:val="none" w:sz="0" w:space="0" w:color="auto"/>
            <w:left w:val="none" w:sz="0" w:space="0" w:color="auto"/>
            <w:bottom w:val="none" w:sz="0" w:space="0" w:color="auto"/>
            <w:right w:val="none" w:sz="0" w:space="0" w:color="auto"/>
          </w:divBdr>
        </w:div>
      </w:divsChild>
    </w:div>
    <w:div w:id="778992880">
      <w:marLeft w:val="0"/>
      <w:marRight w:val="0"/>
      <w:marTop w:val="0"/>
      <w:marBottom w:val="180"/>
      <w:divBdr>
        <w:top w:val="none" w:sz="0" w:space="0" w:color="auto"/>
        <w:left w:val="none" w:sz="0" w:space="0" w:color="auto"/>
        <w:bottom w:val="none" w:sz="0" w:space="0" w:color="auto"/>
        <w:right w:val="none" w:sz="0" w:space="0" w:color="auto"/>
      </w:divBdr>
    </w:div>
    <w:div w:id="780224514">
      <w:marLeft w:val="0"/>
      <w:marRight w:val="0"/>
      <w:marTop w:val="0"/>
      <w:marBottom w:val="240"/>
      <w:divBdr>
        <w:top w:val="none" w:sz="0" w:space="0" w:color="auto"/>
        <w:left w:val="none" w:sz="0" w:space="0" w:color="auto"/>
        <w:bottom w:val="none" w:sz="0" w:space="0" w:color="auto"/>
        <w:right w:val="none" w:sz="0" w:space="0" w:color="auto"/>
      </w:divBdr>
    </w:div>
    <w:div w:id="781072588">
      <w:marLeft w:val="0"/>
      <w:marRight w:val="0"/>
      <w:marTop w:val="180"/>
      <w:marBottom w:val="180"/>
      <w:divBdr>
        <w:top w:val="none" w:sz="0" w:space="0" w:color="auto"/>
        <w:left w:val="none" w:sz="0" w:space="0" w:color="auto"/>
        <w:bottom w:val="none" w:sz="0" w:space="0" w:color="auto"/>
        <w:right w:val="none" w:sz="0" w:space="0" w:color="auto"/>
      </w:divBdr>
    </w:div>
    <w:div w:id="781221170">
      <w:marLeft w:val="0"/>
      <w:marRight w:val="0"/>
      <w:marTop w:val="0"/>
      <w:marBottom w:val="180"/>
      <w:divBdr>
        <w:top w:val="none" w:sz="0" w:space="0" w:color="auto"/>
        <w:left w:val="none" w:sz="0" w:space="0" w:color="auto"/>
        <w:bottom w:val="none" w:sz="0" w:space="0" w:color="auto"/>
        <w:right w:val="none" w:sz="0" w:space="0" w:color="auto"/>
      </w:divBdr>
    </w:div>
    <w:div w:id="781999684">
      <w:marLeft w:val="0"/>
      <w:marRight w:val="0"/>
      <w:marTop w:val="180"/>
      <w:marBottom w:val="180"/>
      <w:divBdr>
        <w:top w:val="none" w:sz="0" w:space="0" w:color="auto"/>
        <w:left w:val="none" w:sz="0" w:space="0" w:color="auto"/>
        <w:bottom w:val="none" w:sz="0" w:space="0" w:color="auto"/>
        <w:right w:val="none" w:sz="0" w:space="0" w:color="auto"/>
      </w:divBdr>
    </w:div>
    <w:div w:id="783157181">
      <w:marLeft w:val="0"/>
      <w:marRight w:val="0"/>
      <w:marTop w:val="0"/>
      <w:marBottom w:val="0"/>
      <w:divBdr>
        <w:top w:val="none" w:sz="0" w:space="0" w:color="auto"/>
        <w:left w:val="none" w:sz="0" w:space="0" w:color="auto"/>
        <w:bottom w:val="none" w:sz="0" w:space="0" w:color="auto"/>
        <w:right w:val="none" w:sz="0" w:space="0" w:color="auto"/>
      </w:divBdr>
    </w:div>
    <w:div w:id="783811959">
      <w:marLeft w:val="0"/>
      <w:marRight w:val="0"/>
      <w:marTop w:val="120"/>
      <w:marBottom w:val="120"/>
      <w:divBdr>
        <w:top w:val="none" w:sz="0" w:space="0" w:color="auto"/>
        <w:left w:val="none" w:sz="0" w:space="0" w:color="auto"/>
        <w:bottom w:val="none" w:sz="0" w:space="0" w:color="auto"/>
        <w:right w:val="none" w:sz="0" w:space="0" w:color="auto"/>
      </w:divBdr>
    </w:div>
    <w:div w:id="784420677">
      <w:marLeft w:val="0"/>
      <w:marRight w:val="0"/>
      <w:marTop w:val="180"/>
      <w:marBottom w:val="180"/>
      <w:divBdr>
        <w:top w:val="none" w:sz="0" w:space="0" w:color="auto"/>
        <w:left w:val="none" w:sz="0" w:space="0" w:color="auto"/>
        <w:bottom w:val="none" w:sz="0" w:space="0" w:color="auto"/>
        <w:right w:val="none" w:sz="0" w:space="0" w:color="auto"/>
      </w:divBdr>
    </w:div>
    <w:div w:id="784544225">
      <w:marLeft w:val="0"/>
      <w:marRight w:val="0"/>
      <w:marTop w:val="0"/>
      <w:marBottom w:val="240"/>
      <w:divBdr>
        <w:top w:val="none" w:sz="0" w:space="0" w:color="auto"/>
        <w:left w:val="none" w:sz="0" w:space="0" w:color="auto"/>
        <w:bottom w:val="none" w:sz="0" w:space="0" w:color="auto"/>
        <w:right w:val="none" w:sz="0" w:space="0" w:color="auto"/>
      </w:divBdr>
    </w:div>
    <w:div w:id="786120801">
      <w:marLeft w:val="0"/>
      <w:marRight w:val="0"/>
      <w:marTop w:val="0"/>
      <w:marBottom w:val="240"/>
      <w:divBdr>
        <w:top w:val="none" w:sz="0" w:space="0" w:color="auto"/>
        <w:left w:val="none" w:sz="0" w:space="0" w:color="auto"/>
        <w:bottom w:val="none" w:sz="0" w:space="0" w:color="auto"/>
        <w:right w:val="none" w:sz="0" w:space="0" w:color="auto"/>
      </w:divBdr>
    </w:div>
    <w:div w:id="786655254">
      <w:marLeft w:val="0"/>
      <w:marRight w:val="0"/>
      <w:marTop w:val="0"/>
      <w:marBottom w:val="0"/>
      <w:divBdr>
        <w:top w:val="none" w:sz="0" w:space="0" w:color="auto"/>
        <w:left w:val="none" w:sz="0" w:space="0" w:color="auto"/>
        <w:bottom w:val="none" w:sz="0" w:space="0" w:color="auto"/>
        <w:right w:val="none" w:sz="0" w:space="0" w:color="auto"/>
      </w:divBdr>
    </w:div>
    <w:div w:id="786777461">
      <w:marLeft w:val="0"/>
      <w:marRight w:val="0"/>
      <w:marTop w:val="0"/>
      <w:marBottom w:val="240"/>
      <w:divBdr>
        <w:top w:val="none" w:sz="0" w:space="0" w:color="auto"/>
        <w:left w:val="none" w:sz="0" w:space="0" w:color="auto"/>
        <w:bottom w:val="none" w:sz="0" w:space="0" w:color="auto"/>
        <w:right w:val="none" w:sz="0" w:space="0" w:color="auto"/>
      </w:divBdr>
    </w:div>
    <w:div w:id="787703275">
      <w:marLeft w:val="0"/>
      <w:marRight w:val="0"/>
      <w:marTop w:val="0"/>
      <w:marBottom w:val="240"/>
      <w:divBdr>
        <w:top w:val="none" w:sz="0" w:space="0" w:color="auto"/>
        <w:left w:val="none" w:sz="0" w:space="0" w:color="auto"/>
        <w:bottom w:val="none" w:sz="0" w:space="0" w:color="auto"/>
        <w:right w:val="none" w:sz="0" w:space="0" w:color="auto"/>
      </w:divBdr>
    </w:div>
    <w:div w:id="788360729">
      <w:marLeft w:val="0"/>
      <w:marRight w:val="0"/>
      <w:marTop w:val="0"/>
      <w:marBottom w:val="0"/>
      <w:divBdr>
        <w:top w:val="none" w:sz="0" w:space="0" w:color="auto"/>
        <w:left w:val="none" w:sz="0" w:space="0" w:color="auto"/>
        <w:bottom w:val="none" w:sz="0" w:space="0" w:color="auto"/>
        <w:right w:val="none" w:sz="0" w:space="0" w:color="auto"/>
      </w:divBdr>
    </w:div>
    <w:div w:id="789056378">
      <w:marLeft w:val="0"/>
      <w:marRight w:val="0"/>
      <w:marTop w:val="0"/>
      <w:marBottom w:val="180"/>
      <w:divBdr>
        <w:top w:val="none" w:sz="0" w:space="0" w:color="auto"/>
        <w:left w:val="none" w:sz="0" w:space="0" w:color="auto"/>
        <w:bottom w:val="none" w:sz="0" w:space="0" w:color="auto"/>
        <w:right w:val="none" w:sz="0" w:space="0" w:color="auto"/>
      </w:divBdr>
    </w:div>
    <w:div w:id="789200087">
      <w:marLeft w:val="0"/>
      <w:marRight w:val="0"/>
      <w:marTop w:val="0"/>
      <w:marBottom w:val="180"/>
      <w:divBdr>
        <w:top w:val="none" w:sz="0" w:space="0" w:color="auto"/>
        <w:left w:val="none" w:sz="0" w:space="0" w:color="auto"/>
        <w:bottom w:val="none" w:sz="0" w:space="0" w:color="auto"/>
        <w:right w:val="none" w:sz="0" w:space="0" w:color="auto"/>
      </w:divBdr>
    </w:div>
    <w:div w:id="790592372">
      <w:marLeft w:val="0"/>
      <w:marRight w:val="0"/>
      <w:marTop w:val="180"/>
      <w:marBottom w:val="180"/>
      <w:divBdr>
        <w:top w:val="none" w:sz="0" w:space="0" w:color="auto"/>
        <w:left w:val="none" w:sz="0" w:space="0" w:color="auto"/>
        <w:bottom w:val="none" w:sz="0" w:space="0" w:color="auto"/>
        <w:right w:val="none" w:sz="0" w:space="0" w:color="auto"/>
      </w:divBdr>
    </w:div>
    <w:div w:id="791095137">
      <w:marLeft w:val="0"/>
      <w:marRight w:val="0"/>
      <w:marTop w:val="0"/>
      <w:marBottom w:val="240"/>
      <w:divBdr>
        <w:top w:val="none" w:sz="0" w:space="0" w:color="auto"/>
        <w:left w:val="none" w:sz="0" w:space="0" w:color="auto"/>
        <w:bottom w:val="none" w:sz="0" w:space="0" w:color="auto"/>
        <w:right w:val="none" w:sz="0" w:space="0" w:color="auto"/>
      </w:divBdr>
    </w:div>
    <w:div w:id="791097148">
      <w:marLeft w:val="0"/>
      <w:marRight w:val="0"/>
      <w:marTop w:val="0"/>
      <w:marBottom w:val="240"/>
      <w:divBdr>
        <w:top w:val="none" w:sz="0" w:space="0" w:color="auto"/>
        <w:left w:val="none" w:sz="0" w:space="0" w:color="auto"/>
        <w:bottom w:val="none" w:sz="0" w:space="0" w:color="auto"/>
        <w:right w:val="none" w:sz="0" w:space="0" w:color="auto"/>
      </w:divBdr>
    </w:div>
    <w:div w:id="791171384">
      <w:marLeft w:val="0"/>
      <w:marRight w:val="0"/>
      <w:marTop w:val="0"/>
      <w:marBottom w:val="240"/>
      <w:divBdr>
        <w:top w:val="none" w:sz="0" w:space="0" w:color="auto"/>
        <w:left w:val="none" w:sz="0" w:space="0" w:color="auto"/>
        <w:bottom w:val="none" w:sz="0" w:space="0" w:color="auto"/>
        <w:right w:val="none" w:sz="0" w:space="0" w:color="auto"/>
      </w:divBdr>
    </w:div>
    <w:div w:id="794057013">
      <w:marLeft w:val="0"/>
      <w:marRight w:val="0"/>
      <w:marTop w:val="0"/>
      <w:marBottom w:val="0"/>
      <w:divBdr>
        <w:top w:val="none" w:sz="0" w:space="0" w:color="auto"/>
        <w:left w:val="none" w:sz="0" w:space="0" w:color="auto"/>
        <w:bottom w:val="none" w:sz="0" w:space="0" w:color="auto"/>
        <w:right w:val="none" w:sz="0" w:space="0" w:color="auto"/>
      </w:divBdr>
      <w:divsChild>
        <w:div w:id="1973946266">
          <w:marLeft w:val="0"/>
          <w:marRight w:val="0"/>
          <w:marTop w:val="0"/>
          <w:marBottom w:val="0"/>
          <w:divBdr>
            <w:top w:val="none" w:sz="0" w:space="0" w:color="auto"/>
            <w:left w:val="none" w:sz="0" w:space="0" w:color="auto"/>
            <w:bottom w:val="none" w:sz="0" w:space="0" w:color="auto"/>
            <w:right w:val="none" w:sz="0" w:space="0" w:color="auto"/>
          </w:divBdr>
        </w:div>
      </w:divsChild>
    </w:div>
    <w:div w:id="795685560">
      <w:marLeft w:val="0"/>
      <w:marRight w:val="0"/>
      <w:marTop w:val="0"/>
      <w:marBottom w:val="240"/>
      <w:divBdr>
        <w:top w:val="none" w:sz="0" w:space="0" w:color="auto"/>
        <w:left w:val="none" w:sz="0" w:space="0" w:color="auto"/>
        <w:bottom w:val="none" w:sz="0" w:space="0" w:color="auto"/>
        <w:right w:val="none" w:sz="0" w:space="0" w:color="auto"/>
      </w:divBdr>
    </w:div>
    <w:div w:id="795954572">
      <w:marLeft w:val="0"/>
      <w:marRight w:val="0"/>
      <w:marTop w:val="100"/>
      <w:marBottom w:val="0"/>
      <w:divBdr>
        <w:top w:val="none" w:sz="0" w:space="0" w:color="auto"/>
        <w:left w:val="none" w:sz="0" w:space="0" w:color="auto"/>
        <w:bottom w:val="none" w:sz="0" w:space="0" w:color="auto"/>
        <w:right w:val="none" w:sz="0" w:space="0" w:color="auto"/>
      </w:divBdr>
    </w:div>
    <w:div w:id="796333797">
      <w:marLeft w:val="0"/>
      <w:marRight w:val="0"/>
      <w:marTop w:val="0"/>
      <w:marBottom w:val="0"/>
      <w:divBdr>
        <w:top w:val="none" w:sz="0" w:space="0" w:color="auto"/>
        <w:left w:val="none" w:sz="0" w:space="0" w:color="auto"/>
        <w:bottom w:val="none" w:sz="0" w:space="0" w:color="auto"/>
        <w:right w:val="none" w:sz="0" w:space="0" w:color="auto"/>
      </w:divBdr>
      <w:divsChild>
        <w:div w:id="716009104">
          <w:marLeft w:val="0"/>
          <w:marRight w:val="0"/>
          <w:marTop w:val="0"/>
          <w:marBottom w:val="0"/>
          <w:divBdr>
            <w:top w:val="none" w:sz="0" w:space="0" w:color="auto"/>
            <w:left w:val="none" w:sz="0" w:space="0" w:color="auto"/>
            <w:bottom w:val="none" w:sz="0" w:space="0" w:color="auto"/>
            <w:right w:val="none" w:sz="0" w:space="0" w:color="auto"/>
          </w:divBdr>
        </w:div>
      </w:divsChild>
    </w:div>
    <w:div w:id="796921745">
      <w:marLeft w:val="0"/>
      <w:marRight w:val="0"/>
      <w:marTop w:val="0"/>
      <w:marBottom w:val="240"/>
      <w:divBdr>
        <w:top w:val="none" w:sz="0" w:space="0" w:color="auto"/>
        <w:left w:val="none" w:sz="0" w:space="0" w:color="auto"/>
        <w:bottom w:val="none" w:sz="0" w:space="0" w:color="auto"/>
        <w:right w:val="none" w:sz="0" w:space="0" w:color="auto"/>
      </w:divBdr>
    </w:div>
    <w:div w:id="798106100">
      <w:marLeft w:val="0"/>
      <w:marRight w:val="0"/>
      <w:marTop w:val="100"/>
      <w:marBottom w:val="0"/>
      <w:divBdr>
        <w:top w:val="none" w:sz="0" w:space="0" w:color="auto"/>
        <w:left w:val="none" w:sz="0" w:space="0" w:color="auto"/>
        <w:bottom w:val="none" w:sz="0" w:space="0" w:color="auto"/>
        <w:right w:val="none" w:sz="0" w:space="0" w:color="auto"/>
      </w:divBdr>
    </w:div>
    <w:div w:id="799347252">
      <w:marLeft w:val="0"/>
      <w:marRight w:val="0"/>
      <w:marTop w:val="0"/>
      <w:marBottom w:val="0"/>
      <w:divBdr>
        <w:top w:val="none" w:sz="0" w:space="0" w:color="auto"/>
        <w:left w:val="none" w:sz="0" w:space="0" w:color="auto"/>
        <w:bottom w:val="none" w:sz="0" w:space="0" w:color="auto"/>
        <w:right w:val="none" w:sz="0" w:space="0" w:color="auto"/>
      </w:divBdr>
      <w:divsChild>
        <w:div w:id="817721867">
          <w:marLeft w:val="0"/>
          <w:marRight w:val="0"/>
          <w:marTop w:val="0"/>
          <w:marBottom w:val="0"/>
          <w:divBdr>
            <w:top w:val="none" w:sz="0" w:space="0" w:color="auto"/>
            <w:left w:val="none" w:sz="0" w:space="0" w:color="auto"/>
            <w:bottom w:val="none" w:sz="0" w:space="0" w:color="auto"/>
            <w:right w:val="none" w:sz="0" w:space="0" w:color="auto"/>
          </w:divBdr>
        </w:div>
      </w:divsChild>
    </w:div>
    <w:div w:id="800079619">
      <w:marLeft w:val="0"/>
      <w:marRight w:val="0"/>
      <w:marTop w:val="0"/>
      <w:marBottom w:val="0"/>
      <w:divBdr>
        <w:top w:val="none" w:sz="0" w:space="0" w:color="auto"/>
        <w:left w:val="none" w:sz="0" w:space="0" w:color="auto"/>
        <w:bottom w:val="none" w:sz="0" w:space="0" w:color="auto"/>
        <w:right w:val="none" w:sz="0" w:space="0" w:color="auto"/>
      </w:divBdr>
      <w:divsChild>
        <w:div w:id="1571231153">
          <w:marLeft w:val="0"/>
          <w:marRight w:val="0"/>
          <w:marTop w:val="0"/>
          <w:marBottom w:val="0"/>
          <w:divBdr>
            <w:top w:val="none" w:sz="0" w:space="0" w:color="auto"/>
            <w:left w:val="none" w:sz="0" w:space="0" w:color="auto"/>
            <w:bottom w:val="none" w:sz="0" w:space="0" w:color="auto"/>
            <w:right w:val="none" w:sz="0" w:space="0" w:color="auto"/>
          </w:divBdr>
        </w:div>
      </w:divsChild>
    </w:div>
    <w:div w:id="800851662">
      <w:marLeft w:val="0"/>
      <w:marRight w:val="0"/>
      <w:marTop w:val="0"/>
      <w:marBottom w:val="240"/>
      <w:divBdr>
        <w:top w:val="none" w:sz="0" w:space="0" w:color="auto"/>
        <w:left w:val="none" w:sz="0" w:space="0" w:color="auto"/>
        <w:bottom w:val="none" w:sz="0" w:space="0" w:color="auto"/>
        <w:right w:val="none" w:sz="0" w:space="0" w:color="auto"/>
      </w:divBdr>
    </w:div>
    <w:div w:id="801508728">
      <w:marLeft w:val="0"/>
      <w:marRight w:val="0"/>
      <w:marTop w:val="180"/>
      <w:marBottom w:val="240"/>
      <w:divBdr>
        <w:top w:val="none" w:sz="0" w:space="0" w:color="auto"/>
        <w:left w:val="none" w:sz="0" w:space="0" w:color="auto"/>
        <w:bottom w:val="none" w:sz="0" w:space="0" w:color="auto"/>
        <w:right w:val="none" w:sz="0" w:space="0" w:color="auto"/>
      </w:divBdr>
    </w:div>
    <w:div w:id="801926104">
      <w:marLeft w:val="0"/>
      <w:marRight w:val="0"/>
      <w:marTop w:val="0"/>
      <w:marBottom w:val="0"/>
      <w:divBdr>
        <w:top w:val="none" w:sz="0" w:space="0" w:color="auto"/>
        <w:left w:val="none" w:sz="0" w:space="0" w:color="auto"/>
        <w:bottom w:val="none" w:sz="0" w:space="0" w:color="auto"/>
        <w:right w:val="none" w:sz="0" w:space="0" w:color="auto"/>
      </w:divBdr>
    </w:div>
    <w:div w:id="802191718">
      <w:marLeft w:val="0"/>
      <w:marRight w:val="0"/>
      <w:marTop w:val="180"/>
      <w:marBottom w:val="180"/>
      <w:divBdr>
        <w:top w:val="none" w:sz="0" w:space="0" w:color="auto"/>
        <w:left w:val="none" w:sz="0" w:space="0" w:color="auto"/>
        <w:bottom w:val="none" w:sz="0" w:space="0" w:color="auto"/>
        <w:right w:val="none" w:sz="0" w:space="0" w:color="auto"/>
      </w:divBdr>
    </w:div>
    <w:div w:id="802430003">
      <w:marLeft w:val="0"/>
      <w:marRight w:val="0"/>
      <w:marTop w:val="180"/>
      <w:marBottom w:val="180"/>
      <w:divBdr>
        <w:top w:val="none" w:sz="0" w:space="0" w:color="auto"/>
        <w:left w:val="none" w:sz="0" w:space="0" w:color="auto"/>
        <w:bottom w:val="none" w:sz="0" w:space="0" w:color="auto"/>
        <w:right w:val="none" w:sz="0" w:space="0" w:color="auto"/>
      </w:divBdr>
    </w:div>
    <w:div w:id="803499600">
      <w:marLeft w:val="0"/>
      <w:marRight w:val="0"/>
      <w:marTop w:val="0"/>
      <w:marBottom w:val="180"/>
      <w:divBdr>
        <w:top w:val="none" w:sz="0" w:space="0" w:color="auto"/>
        <w:left w:val="none" w:sz="0" w:space="0" w:color="auto"/>
        <w:bottom w:val="none" w:sz="0" w:space="0" w:color="auto"/>
        <w:right w:val="none" w:sz="0" w:space="0" w:color="auto"/>
      </w:divBdr>
    </w:div>
    <w:div w:id="805119792">
      <w:marLeft w:val="0"/>
      <w:marRight w:val="0"/>
      <w:marTop w:val="0"/>
      <w:marBottom w:val="240"/>
      <w:divBdr>
        <w:top w:val="none" w:sz="0" w:space="0" w:color="auto"/>
        <w:left w:val="none" w:sz="0" w:space="0" w:color="auto"/>
        <w:bottom w:val="none" w:sz="0" w:space="0" w:color="auto"/>
        <w:right w:val="none" w:sz="0" w:space="0" w:color="auto"/>
      </w:divBdr>
    </w:div>
    <w:div w:id="805203405">
      <w:marLeft w:val="0"/>
      <w:marRight w:val="0"/>
      <w:marTop w:val="0"/>
      <w:marBottom w:val="0"/>
      <w:divBdr>
        <w:top w:val="none" w:sz="0" w:space="0" w:color="auto"/>
        <w:left w:val="none" w:sz="0" w:space="0" w:color="auto"/>
        <w:bottom w:val="none" w:sz="0" w:space="0" w:color="auto"/>
        <w:right w:val="none" w:sz="0" w:space="0" w:color="auto"/>
      </w:divBdr>
      <w:divsChild>
        <w:div w:id="1023214513">
          <w:marLeft w:val="0"/>
          <w:marRight w:val="0"/>
          <w:marTop w:val="0"/>
          <w:marBottom w:val="0"/>
          <w:divBdr>
            <w:top w:val="none" w:sz="0" w:space="0" w:color="auto"/>
            <w:left w:val="none" w:sz="0" w:space="0" w:color="auto"/>
            <w:bottom w:val="none" w:sz="0" w:space="0" w:color="auto"/>
            <w:right w:val="none" w:sz="0" w:space="0" w:color="auto"/>
          </w:divBdr>
        </w:div>
      </w:divsChild>
    </w:div>
    <w:div w:id="805974758">
      <w:marLeft w:val="0"/>
      <w:marRight w:val="0"/>
      <w:marTop w:val="0"/>
      <w:marBottom w:val="180"/>
      <w:divBdr>
        <w:top w:val="none" w:sz="0" w:space="0" w:color="auto"/>
        <w:left w:val="none" w:sz="0" w:space="0" w:color="auto"/>
        <w:bottom w:val="none" w:sz="0" w:space="0" w:color="auto"/>
        <w:right w:val="none" w:sz="0" w:space="0" w:color="auto"/>
      </w:divBdr>
    </w:div>
    <w:div w:id="806705844">
      <w:marLeft w:val="0"/>
      <w:marRight w:val="0"/>
      <w:marTop w:val="0"/>
      <w:marBottom w:val="180"/>
      <w:divBdr>
        <w:top w:val="none" w:sz="0" w:space="0" w:color="auto"/>
        <w:left w:val="none" w:sz="0" w:space="0" w:color="auto"/>
        <w:bottom w:val="none" w:sz="0" w:space="0" w:color="auto"/>
        <w:right w:val="none" w:sz="0" w:space="0" w:color="auto"/>
      </w:divBdr>
    </w:div>
    <w:div w:id="808938227">
      <w:marLeft w:val="0"/>
      <w:marRight w:val="0"/>
      <w:marTop w:val="0"/>
      <w:marBottom w:val="240"/>
      <w:divBdr>
        <w:top w:val="none" w:sz="0" w:space="0" w:color="auto"/>
        <w:left w:val="none" w:sz="0" w:space="0" w:color="auto"/>
        <w:bottom w:val="none" w:sz="0" w:space="0" w:color="auto"/>
        <w:right w:val="none" w:sz="0" w:space="0" w:color="auto"/>
      </w:divBdr>
    </w:div>
    <w:div w:id="809202527">
      <w:marLeft w:val="0"/>
      <w:marRight w:val="0"/>
      <w:marTop w:val="0"/>
      <w:marBottom w:val="0"/>
      <w:divBdr>
        <w:top w:val="none" w:sz="0" w:space="0" w:color="auto"/>
        <w:left w:val="none" w:sz="0" w:space="0" w:color="auto"/>
        <w:bottom w:val="none" w:sz="0" w:space="0" w:color="auto"/>
        <w:right w:val="none" w:sz="0" w:space="0" w:color="auto"/>
      </w:divBdr>
    </w:div>
    <w:div w:id="809399562">
      <w:marLeft w:val="0"/>
      <w:marRight w:val="0"/>
      <w:marTop w:val="0"/>
      <w:marBottom w:val="240"/>
      <w:divBdr>
        <w:top w:val="none" w:sz="0" w:space="0" w:color="auto"/>
        <w:left w:val="none" w:sz="0" w:space="0" w:color="auto"/>
        <w:bottom w:val="none" w:sz="0" w:space="0" w:color="auto"/>
        <w:right w:val="none" w:sz="0" w:space="0" w:color="auto"/>
      </w:divBdr>
    </w:div>
    <w:div w:id="809591869">
      <w:marLeft w:val="0"/>
      <w:marRight w:val="0"/>
      <w:marTop w:val="0"/>
      <w:marBottom w:val="180"/>
      <w:divBdr>
        <w:top w:val="none" w:sz="0" w:space="0" w:color="auto"/>
        <w:left w:val="none" w:sz="0" w:space="0" w:color="auto"/>
        <w:bottom w:val="none" w:sz="0" w:space="0" w:color="auto"/>
        <w:right w:val="none" w:sz="0" w:space="0" w:color="auto"/>
      </w:divBdr>
    </w:div>
    <w:div w:id="809598268">
      <w:marLeft w:val="0"/>
      <w:marRight w:val="0"/>
      <w:marTop w:val="180"/>
      <w:marBottom w:val="180"/>
      <w:divBdr>
        <w:top w:val="none" w:sz="0" w:space="0" w:color="auto"/>
        <w:left w:val="none" w:sz="0" w:space="0" w:color="auto"/>
        <w:bottom w:val="none" w:sz="0" w:space="0" w:color="auto"/>
        <w:right w:val="none" w:sz="0" w:space="0" w:color="auto"/>
      </w:divBdr>
    </w:div>
    <w:div w:id="811557628">
      <w:marLeft w:val="0"/>
      <w:marRight w:val="0"/>
      <w:marTop w:val="0"/>
      <w:marBottom w:val="180"/>
      <w:divBdr>
        <w:top w:val="none" w:sz="0" w:space="0" w:color="auto"/>
        <w:left w:val="none" w:sz="0" w:space="0" w:color="auto"/>
        <w:bottom w:val="none" w:sz="0" w:space="0" w:color="auto"/>
        <w:right w:val="none" w:sz="0" w:space="0" w:color="auto"/>
      </w:divBdr>
    </w:div>
    <w:div w:id="813183327">
      <w:marLeft w:val="0"/>
      <w:marRight w:val="0"/>
      <w:marTop w:val="0"/>
      <w:marBottom w:val="180"/>
      <w:divBdr>
        <w:top w:val="none" w:sz="0" w:space="0" w:color="auto"/>
        <w:left w:val="none" w:sz="0" w:space="0" w:color="auto"/>
        <w:bottom w:val="none" w:sz="0" w:space="0" w:color="auto"/>
        <w:right w:val="none" w:sz="0" w:space="0" w:color="auto"/>
      </w:divBdr>
    </w:div>
    <w:div w:id="813301990">
      <w:marLeft w:val="0"/>
      <w:marRight w:val="0"/>
      <w:marTop w:val="0"/>
      <w:marBottom w:val="180"/>
      <w:divBdr>
        <w:top w:val="none" w:sz="0" w:space="0" w:color="auto"/>
        <w:left w:val="none" w:sz="0" w:space="0" w:color="auto"/>
        <w:bottom w:val="none" w:sz="0" w:space="0" w:color="auto"/>
        <w:right w:val="none" w:sz="0" w:space="0" w:color="auto"/>
      </w:divBdr>
    </w:div>
    <w:div w:id="813718495">
      <w:marLeft w:val="0"/>
      <w:marRight w:val="0"/>
      <w:marTop w:val="0"/>
      <w:marBottom w:val="180"/>
      <w:divBdr>
        <w:top w:val="none" w:sz="0" w:space="0" w:color="auto"/>
        <w:left w:val="none" w:sz="0" w:space="0" w:color="auto"/>
        <w:bottom w:val="none" w:sz="0" w:space="0" w:color="auto"/>
        <w:right w:val="none" w:sz="0" w:space="0" w:color="auto"/>
      </w:divBdr>
    </w:div>
    <w:div w:id="815151013">
      <w:marLeft w:val="0"/>
      <w:marRight w:val="0"/>
      <w:marTop w:val="0"/>
      <w:marBottom w:val="180"/>
      <w:divBdr>
        <w:top w:val="none" w:sz="0" w:space="0" w:color="auto"/>
        <w:left w:val="none" w:sz="0" w:space="0" w:color="auto"/>
        <w:bottom w:val="none" w:sz="0" w:space="0" w:color="auto"/>
        <w:right w:val="none" w:sz="0" w:space="0" w:color="auto"/>
      </w:divBdr>
    </w:div>
    <w:div w:id="815336256">
      <w:marLeft w:val="0"/>
      <w:marRight w:val="0"/>
      <w:marTop w:val="0"/>
      <w:marBottom w:val="0"/>
      <w:divBdr>
        <w:top w:val="none" w:sz="0" w:space="0" w:color="auto"/>
        <w:left w:val="none" w:sz="0" w:space="0" w:color="auto"/>
        <w:bottom w:val="none" w:sz="0" w:space="0" w:color="auto"/>
        <w:right w:val="none" w:sz="0" w:space="0" w:color="auto"/>
      </w:divBdr>
    </w:div>
    <w:div w:id="816067767">
      <w:marLeft w:val="0"/>
      <w:marRight w:val="0"/>
      <w:marTop w:val="0"/>
      <w:marBottom w:val="180"/>
      <w:divBdr>
        <w:top w:val="none" w:sz="0" w:space="0" w:color="auto"/>
        <w:left w:val="none" w:sz="0" w:space="0" w:color="auto"/>
        <w:bottom w:val="none" w:sz="0" w:space="0" w:color="auto"/>
        <w:right w:val="none" w:sz="0" w:space="0" w:color="auto"/>
      </w:divBdr>
    </w:div>
    <w:div w:id="817695548">
      <w:marLeft w:val="0"/>
      <w:marRight w:val="0"/>
      <w:marTop w:val="0"/>
      <w:marBottom w:val="240"/>
      <w:divBdr>
        <w:top w:val="none" w:sz="0" w:space="0" w:color="auto"/>
        <w:left w:val="none" w:sz="0" w:space="0" w:color="auto"/>
        <w:bottom w:val="none" w:sz="0" w:space="0" w:color="auto"/>
        <w:right w:val="none" w:sz="0" w:space="0" w:color="auto"/>
      </w:divBdr>
    </w:div>
    <w:div w:id="818544688">
      <w:marLeft w:val="0"/>
      <w:marRight w:val="0"/>
      <w:marTop w:val="0"/>
      <w:marBottom w:val="180"/>
      <w:divBdr>
        <w:top w:val="none" w:sz="0" w:space="0" w:color="auto"/>
        <w:left w:val="none" w:sz="0" w:space="0" w:color="auto"/>
        <w:bottom w:val="none" w:sz="0" w:space="0" w:color="auto"/>
        <w:right w:val="none" w:sz="0" w:space="0" w:color="auto"/>
      </w:divBdr>
    </w:div>
    <w:div w:id="819003694">
      <w:marLeft w:val="0"/>
      <w:marRight w:val="0"/>
      <w:marTop w:val="0"/>
      <w:marBottom w:val="180"/>
      <w:divBdr>
        <w:top w:val="none" w:sz="0" w:space="0" w:color="auto"/>
        <w:left w:val="none" w:sz="0" w:space="0" w:color="auto"/>
        <w:bottom w:val="none" w:sz="0" w:space="0" w:color="auto"/>
        <w:right w:val="none" w:sz="0" w:space="0" w:color="auto"/>
      </w:divBdr>
    </w:div>
    <w:div w:id="819614519">
      <w:marLeft w:val="0"/>
      <w:marRight w:val="0"/>
      <w:marTop w:val="0"/>
      <w:marBottom w:val="240"/>
      <w:divBdr>
        <w:top w:val="none" w:sz="0" w:space="0" w:color="auto"/>
        <w:left w:val="none" w:sz="0" w:space="0" w:color="auto"/>
        <w:bottom w:val="none" w:sz="0" w:space="0" w:color="auto"/>
        <w:right w:val="none" w:sz="0" w:space="0" w:color="auto"/>
      </w:divBdr>
    </w:div>
    <w:div w:id="820392501">
      <w:marLeft w:val="0"/>
      <w:marRight w:val="0"/>
      <w:marTop w:val="180"/>
      <w:marBottom w:val="180"/>
      <w:divBdr>
        <w:top w:val="none" w:sz="0" w:space="0" w:color="auto"/>
        <w:left w:val="none" w:sz="0" w:space="0" w:color="auto"/>
        <w:bottom w:val="none" w:sz="0" w:space="0" w:color="auto"/>
        <w:right w:val="none" w:sz="0" w:space="0" w:color="auto"/>
      </w:divBdr>
    </w:div>
    <w:div w:id="820467520">
      <w:marLeft w:val="0"/>
      <w:marRight w:val="0"/>
      <w:marTop w:val="0"/>
      <w:marBottom w:val="240"/>
      <w:divBdr>
        <w:top w:val="none" w:sz="0" w:space="0" w:color="auto"/>
        <w:left w:val="none" w:sz="0" w:space="0" w:color="auto"/>
        <w:bottom w:val="none" w:sz="0" w:space="0" w:color="auto"/>
        <w:right w:val="none" w:sz="0" w:space="0" w:color="auto"/>
      </w:divBdr>
    </w:div>
    <w:div w:id="820585721">
      <w:marLeft w:val="0"/>
      <w:marRight w:val="0"/>
      <w:marTop w:val="0"/>
      <w:marBottom w:val="180"/>
      <w:divBdr>
        <w:top w:val="none" w:sz="0" w:space="0" w:color="auto"/>
        <w:left w:val="none" w:sz="0" w:space="0" w:color="auto"/>
        <w:bottom w:val="none" w:sz="0" w:space="0" w:color="auto"/>
        <w:right w:val="none" w:sz="0" w:space="0" w:color="auto"/>
      </w:divBdr>
    </w:div>
    <w:div w:id="821972923">
      <w:marLeft w:val="0"/>
      <w:marRight w:val="0"/>
      <w:marTop w:val="180"/>
      <w:marBottom w:val="180"/>
      <w:divBdr>
        <w:top w:val="none" w:sz="0" w:space="0" w:color="auto"/>
        <w:left w:val="none" w:sz="0" w:space="0" w:color="auto"/>
        <w:bottom w:val="none" w:sz="0" w:space="0" w:color="auto"/>
        <w:right w:val="none" w:sz="0" w:space="0" w:color="auto"/>
      </w:divBdr>
    </w:div>
    <w:div w:id="822282057">
      <w:marLeft w:val="0"/>
      <w:marRight w:val="0"/>
      <w:marTop w:val="0"/>
      <w:marBottom w:val="240"/>
      <w:divBdr>
        <w:top w:val="none" w:sz="0" w:space="0" w:color="auto"/>
        <w:left w:val="none" w:sz="0" w:space="0" w:color="auto"/>
        <w:bottom w:val="none" w:sz="0" w:space="0" w:color="auto"/>
        <w:right w:val="none" w:sz="0" w:space="0" w:color="auto"/>
      </w:divBdr>
    </w:div>
    <w:div w:id="825361455">
      <w:marLeft w:val="0"/>
      <w:marRight w:val="0"/>
      <w:marTop w:val="0"/>
      <w:marBottom w:val="0"/>
      <w:divBdr>
        <w:top w:val="none" w:sz="0" w:space="0" w:color="auto"/>
        <w:left w:val="none" w:sz="0" w:space="0" w:color="auto"/>
        <w:bottom w:val="none" w:sz="0" w:space="0" w:color="auto"/>
        <w:right w:val="none" w:sz="0" w:space="0" w:color="auto"/>
      </w:divBdr>
    </w:div>
    <w:div w:id="825823019">
      <w:marLeft w:val="0"/>
      <w:marRight w:val="0"/>
      <w:marTop w:val="0"/>
      <w:marBottom w:val="180"/>
      <w:divBdr>
        <w:top w:val="none" w:sz="0" w:space="0" w:color="auto"/>
        <w:left w:val="none" w:sz="0" w:space="0" w:color="auto"/>
        <w:bottom w:val="none" w:sz="0" w:space="0" w:color="auto"/>
        <w:right w:val="none" w:sz="0" w:space="0" w:color="auto"/>
      </w:divBdr>
    </w:div>
    <w:div w:id="826826447">
      <w:marLeft w:val="0"/>
      <w:marRight w:val="0"/>
      <w:marTop w:val="120"/>
      <w:marBottom w:val="120"/>
      <w:divBdr>
        <w:top w:val="none" w:sz="0" w:space="0" w:color="auto"/>
        <w:left w:val="none" w:sz="0" w:space="0" w:color="auto"/>
        <w:bottom w:val="none" w:sz="0" w:space="0" w:color="auto"/>
        <w:right w:val="none" w:sz="0" w:space="0" w:color="auto"/>
      </w:divBdr>
    </w:div>
    <w:div w:id="827012407">
      <w:marLeft w:val="0"/>
      <w:marRight w:val="0"/>
      <w:marTop w:val="0"/>
      <w:marBottom w:val="0"/>
      <w:divBdr>
        <w:top w:val="none" w:sz="0" w:space="0" w:color="auto"/>
        <w:left w:val="none" w:sz="0" w:space="0" w:color="auto"/>
        <w:bottom w:val="none" w:sz="0" w:space="0" w:color="auto"/>
        <w:right w:val="none" w:sz="0" w:space="0" w:color="auto"/>
      </w:divBdr>
    </w:div>
    <w:div w:id="827597130">
      <w:marLeft w:val="0"/>
      <w:marRight w:val="0"/>
      <w:marTop w:val="120"/>
      <w:marBottom w:val="120"/>
      <w:divBdr>
        <w:top w:val="none" w:sz="0" w:space="0" w:color="auto"/>
        <w:left w:val="none" w:sz="0" w:space="0" w:color="auto"/>
        <w:bottom w:val="none" w:sz="0" w:space="0" w:color="auto"/>
        <w:right w:val="none" w:sz="0" w:space="0" w:color="auto"/>
      </w:divBdr>
    </w:div>
    <w:div w:id="829637497">
      <w:marLeft w:val="0"/>
      <w:marRight w:val="0"/>
      <w:marTop w:val="0"/>
      <w:marBottom w:val="0"/>
      <w:divBdr>
        <w:top w:val="none" w:sz="0" w:space="0" w:color="auto"/>
        <w:left w:val="none" w:sz="0" w:space="0" w:color="auto"/>
        <w:bottom w:val="none" w:sz="0" w:space="0" w:color="auto"/>
        <w:right w:val="none" w:sz="0" w:space="0" w:color="auto"/>
      </w:divBdr>
    </w:div>
    <w:div w:id="829827724">
      <w:marLeft w:val="0"/>
      <w:marRight w:val="0"/>
      <w:marTop w:val="0"/>
      <w:marBottom w:val="180"/>
      <w:divBdr>
        <w:top w:val="none" w:sz="0" w:space="0" w:color="auto"/>
        <w:left w:val="none" w:sz="0" w:space="0" w:color="auto"/>
        <w:bottom w:val="none" w:sz="0" w:space="0" w:color="auto"/>
        <w:right w:val="none" w:sz="0" w:space="0" w:color="auto"/>
      </w:divBdr>
    </w:div>
    <w:div w:id="830752514">
      <w:marLeft w:val="0"/>
      <w:marRight w:val="0"/>
      <w:marTop w:val="0"/>
      <w:marBottom w:val="240"/>
      <w:divBdr>
        <w:top w:val="none" w:sz="0" w:space="0" w:color="auto"/>
        <w:left w:val="none" w:sz="0" w:space="0" w:color="auto"/>
        <w:bottom w:val="none" w:sz="0" w:space="0" w:color="auto"/>
        <w:right w:val="none" w:sz="0" w:space="0" w:color="auto"/>
      </w:divBdr>
    </w:div>
    <w:div w:id="830756499">
      <w:marLeft w:val="0"/>
      <w:marRight w:val="0"/>
      <w:marTop w:val="180"/>
      <w:marBottom w:val="180"/>
      <w:divBdr>
        <w:top w:val="none" w:sz="0" w:space="0" w:color="auto"/>
        <w:left w:val="none" w:sz="0" w:space="0" w:color="auto"/>
        <w:bottom w:val="none" w:sz="0" w:space="0" w:color="auto"/>
        <w:right w:val="none" w:sz="0" w:space="0" w:color="auto"/>
      </w:divBdr>
    </w:div>
    <w:div w:id="830832521">
      <w:marLeft w:val="0"/>
      <w:marRight w:val="0"/>
      <w:marTop w:val="0"/>
      <w:marBottom w:val="0"/>
      <w:divBdr>
        <w:top w:val="none" w:sz="0" w:space="0" w:color="auto"/>
        <w:left w:val="none" w:sz="0" w:space="0" w:color="auto"/>
        <w:bottom w:val="none" w:sz="0" w:space="0" w:color="auto"/>
        <w:right w:val="none" w:sz="0" w:space="0" w:color="auto"/>
      </w:divBdr>
    </w:div>
    <w:div w:id="831065994">
      <w:marLeft w:val="0"/>
      <w:marRight w:val="0"/>
      <w:marTop w:val="180"/>
      <w:marBottom w:val="180"/>
      <w:divBdr>
        <w:top w:val="none" w:sz="0" w:space="0" w:color="auto"/>
        <w:left w:val="none" w:sz="0" w:space="0" w:color="auto"/>
        <w:bottom w:val="none" w:sz="0" w:space="0" w:color="auto"/>
        <w:right w:val="none" w:sz="0" w:space="0" w:color="auto"/>
      </w:divBdr>
    </w:div>
    <w:div w:id="831604154">
      <w:marLeft w:val="0"/>
      <w:marRight w:val="0"/>
      <w:marTop w:val="0"/>
      <w:marBottom w:val="0"/>
      <w:divBdr>
        <w:top w:val="none" w:sz="0" w:space="0" w:color="auto"/>
        <w:left w:val="none" w:sz="0" w:space="0" w:color="auto"/>
        <w:bottom w:val="none" w:sz="0" w:space="0" w:color="auto"/>
        <w:right w:val="none" w:sz="0" w:space="0" w:color="auto"/>
      </w:divBdr>
    </w:div>
    <w:div w:id="831681749">
      <w:marLeft w:val="0"/>
      <w:marRight w:val="0"/>
      <w:marTop w:val="0"/>
      <w:marBottom w:val="180"/>
      <w:divBdr>
        <w:top w:val="none" w:sz="0" w:space="0" w:color="auto"/>
        <w:left w:val="none" w:sz="0" w:space="0" w:color="auto"/>
        <w:bottom w:val="none" w:sz="0" w:space="0" w:color="auto"/>
        <w:right w:val="none" w:sz="0" w:space="0" w:color="auto"/>
      </w:divBdr>
    </w:div>
    <w:div w:id="831877074">
      <w:marLeft w:val="0"/>
      <w:marRight w:val="0"/>
      <w:marTop w:val="180"/>
      <w:marBottom w:val="180"/>
      <w:divBdr>
        <w:top w:val="none" w:sz="0" w:space="0" w:color="auto"/>
        <w:left w:val="none" w:sz="0" w:space="0" w:color="auto"/>
        <w:bottom w:val="none" w:sz="0" w:space="0" w:color="auto"/>
        <w:right w:val="none" w:sz="0" w:space="0" w:color="auto"/>
      </w:divBdr>
    </w:div>
    <w:div w:id="833687584">
      <w:marLeft w:val="0"/>
      <w:marRight w:val="0"/>
      <w:marTop w:val="180"/>
      <w:marBottom w:val="180"/>
      <w:divBdr>
        <w:top w:val="none" w:sz="0" w:space="0" w:color="auto"/>
        <w:left w:val="none" w:sz="0" w:space="0" w:color="auto"/>
        <w:bottom w:val="none" w:sz="0" w:space="0" w:color="auto"/>
        <w:right w:val="none" w:sz="0" w:space="0" w:color="auto"/>
      </w:divBdr>
    </w:div>
    <w:div w:id="833957255">
      <w:marLeft w:val="0"/>
      <w:marRight w:val="0"/>
      <w:marTop w:val="0"/>
      <w:marBottom w:val="0"/>
      <w:divBdr>
        <w:top w:val="none" w:sz="0" w:space="0" w:color="auto"/>
        <w:left w:val="none" w:sz="0" w:space="0" w:color="auto"/>
        <w:bottom w:val="none" w:sz="0" w:space="0" w:color="auto"/>
        <w:right w:val="none" w:sz="0" w:space="0" w:color="auto"/>
      </w:divBdr>
    </w:div>
    <w:div w:id="834302616">
      <w:marLeft w:val="0"/>
      <w:marRight w:val="0"/>
      <w:marTop w:val="0"/>
      <w:marBottom w:val="180"/>
      <w:divBdr>
        <w:top w:val="none" w:sz="0" w:space="0" w:color="auto"/>
        <w:left w:val="none" w:sz="0" w:space="0" w:color="auto"/>
        <w:bottom w:val="none" w:sz="0" w:space="0" w:color="auto"/>
        <w:right w:val="none" w:sz="0" w:space="0" w:color="auto"/>
      </w:divBdr>
    </w:div>
    <w:div w:id="834802550">
      <w:marLeft w:val="0"/>
      <w:marRight w:val="0"/>
      <w:marTop w:val="0"/>
      <w:marBottom w:val="0"/>
      <w:divBdr>
        <w:top w:val="none" w:sz="0" w:space="0" w:color="auto"/>
        <w:left w:val="none" w:sz="0" w:space="0" w:color="auto"/>
        <w:bottom w:val="none" w:sz="0" w:space="0" w:color="auto"/>
        <w:right w:val="none" w:sz="0" w:space="0" w:color="auto"/>
      </w:divBdr>
    </w:div>
    <w:div w:id="836775574">
      <w:marLeft w:val="0"/>
      <w:marRight w:val="0"/>
      <w:marTop w:val="0"/>
      <w:marBottom w:val="180"/>
      <w:divBdr>
        <w:top w:val="none" w:sz="0" w:space="0" w:color="auto"/>
        <w:left w:val="none" w:sz="0" w:space="0" w:color="auto"/>
        <w:bottom w:val="none" w:sz="0" w:space="0" w:color="auto"/>
        <w:right w:val="none" w:sz="0" w:space="0" w:color="auto"/>
      </w:divBdr>
    </w:div>
    <w:div w:id="837962282">
      <w:marLeft w:val="0"/>
      <w:marRight w:val="0"/>
      <w:marTop w:val="0"/>
      <w:marBottom w:val="0"/>
      <w:divBdr>
        <w:top w:val="none" w:sz="0" w:space="0" w:color="auto"/>
        <w:left w:val="none" w:sz="0" w:space="0" w:color="auto"/>
        <w:bottom w:val="none" w:sz="0" w:space="0" w:color="auto"/>
        <w:right w:val="none" w:sz="0" w:space="0" w:color="auto"/>
      </w:divBdr>
    </w:div>
    <w:div w:id="838152922">
      <w:marLeft w:val="0"/>
      <w:marRight w:val="0"/>
      <w:marTop w:val="0"/>
      <w:marBottom w:val="240"/>
      <w:divBdr>
        <w:top w:val="none" w:sz="0" w:space="0" w:color="auto"/>
        <w:left w:val="none" w:sz="0" w:space="0" w:color="auto"/>
        <w:bottom w:val="none" w:sz="0" w:space="0" w:color="auto"/>
        <w:right w:val="none" w:sz="0" w:space="0" w:color="auto"/>
      </w:divBdr>
    </w:div>
    <w:div w:id="838234307">
      <w:marLeft w:val="0"/>
      <w:marRight w:val="0"/>
      <w:marTop w:val="0"/>
      <w:marBottom w:val="180"/>
      <w:divBdr>
        <w:top w:val="none" w:sz="0" w:space="0" w:color="auto"/>
        <w:left w:val="none" w:sz="0" w:space="0" w:color="auto"/>
        <w:bottom w:val="none" w:sz="0" w:space="0" w:color="auto"/>
        <w:right w:val="none" w:sz="0" w:space="0" w:color="auto"/>
      </w:divBdr>
    </w:div>
    <w:div w:id="838275818">
      <w:marLeft w:val="0"/>
      <w:marRight w:val="0"/>
      <w:marTop w:val="0"/>
      <w:marBottom w:val="240"/>
      <w:divBdr>
        <w:top w:val="none" w:sz="0" w:space="0" w:color="auto"/>
        <w:left w:val="none" w:sz="0" w:space="0" w:color="auto"/>
        <w:bottom w:val="none" w:sz="0" w:space="0" w:color="auto"/>
        <w:right w:val="none" w:sz="0" w:space="0" w:color="auto"/>
      </w:divBdr>
    </w:div>
    <w:div w:id="838928026">
      <w:marLeft w:val="0"/>
      <w:marRight w:val="0"/>
      <w:marTop w:val="0"/>
      <w:marBottom w:val="180"/>
      <w:divBdr>
        <w:top w:val="none" w:sz="0" w:space="0" w:color="auto"/>
        <w:left w:val="none" w:sz="0" w:space="0" w:color="auto"/>
        <w:bottom w:val="none" w:sz="0" w:space="0" w:color="auto"/>
        <w:right w:val="none" w:sz="0" w:space="0" w:color="auto"/>
      </w:divBdr>
    </w:div>
    <w:div w:id="839076770">
      <w:marLeft w:val="0"/>
      <w:marRight w:val="0"/>
      <w:marTop w:val="0"/>
      <w:marBottom w:val="240"/>
      <w:divBdr>
        <w:top w:val="none" w:sz="0" w:space="0" w:color="auto"/>
        <w:left w:val="none" w:sz="0" w:space="0" w:color="auto"/>
        <w:bottom w:val="none" w:sz="0" w:space="0" w:color="auto"/>
        <w:right w:val="none" w:sz="0" w:space="0" w:color="auto"/>
      </w:divBdr>
    </w:div>
    <w:div w:id="840050060">
      <w:marLeft w:val="0"/>
      <w:marRight w:val="0"/>
      <w:marTop w:val="0"/>
      <w:marBottom w:val="240"/>
      <w:divBdr>
        <w:top w:val="none" w:sz="0" w:space="0" w:color="auto"/>
        <w:left w:val="none" w:sz="0" w:space="0" w:color="auto"/>
        <w:bottom w:val="none" w:sz="0" w:space="0" w:color="auto"/>
        <w:right w:val="none" w:sz="0" w:space="0" w:color="auto"/>
      </w:divBdr>
    </w:div>
    <w:div w:id="840125828">
      <w:marLeft w:val="0"/>
      <w:marRight w:val="0"/>
      <w:marTop w:val="120"/>
      <w:marBottom w:val="120"/>
      <w:divBdr>
        <w:top w:val="none" w:sz="0" w:space="0" w:color="auto"/>
        <w:left w:val="none" w:sz="0" w:space="0" w:color="auto"/>
        <w:bottom w:val="none" w:sz="0" w:space="0" w:color="auto"/>
        <w:right w:val="none" w:sz="0" w:space="0" w:color="auto"/>
      </w:divBdr>
    </w:div>
    <w:div w:id="840313544">
      <w:marLeft w:val="0"/>
      <w:marRight w:val="0"/>
      <w:marTop w:val="120"/>
      <w:marBottom w:val="120"/>
      <w:divBdr>
        <w:top w:val="none" w:sz="0" w:space="0" w:color="auto"/>
        <w:left w:val="none" w:sz="0" w:space="0" w:color="auto"/>
        <w:bottom w:val="none" w:sz="0" w:space="0" w:color="auto"/>
        <w:right w:val="none" w:sz="0" w:space="0" w:color="auto"/>
      </w:divBdr>
    </w:div>
    <w:div w:id="840464822">
      <w:marLeft w:val="0"/>
      <w:marRight w:val="0"/>
      <w:marTop w:val="0"/>
      <w:marBottom w:val="240"/>
      <w:divBdr>
        <w:top w:val="none" w:sz="0" w:space="0" w:color="auto"/>
        <w:left w:val="none" w:sz="0" w:space="0" w:color="auto"/>
        <w:bottom w:val="none" w:sz="0" w:space="0" w:color="auto"/>
        <w:right w:val="none" w:sz="0" w:space="0" w:color="auto"/>
      </w:divBdr>
    </w:div>
    <w:div w:id="841090917">
      <w:marLeft w:val="0"/>
      <w:marRight w:val="0"/>
      <w:marTop w:val="0"/>
      <w:marBottom w:val="0"/>
      <w:divBdr>
        <w:top w:val="none" w:sz="0" w:space="0" w:color="auto"/>
        <w:left w:val="none" w:sz="0" w:space="0" w:color="auto"/>
        <w:bottom w:val="none" w:sz="0" w:space="0" w:color="auto"/>
        <w:right w:val="none" w:sz="0" w:space="0" w:color="auto"/>
      </w:divBdr>
    </w:div>
    <w:div w:id="842554039">
      <w:marLeft w:val="0"/>
      <w:marRight w:val="0"/>
      <w:marTop w:val="0"/>
      <w:marBottom w:val="0"/>
      <w:divBdr>
        <w:top w:val="none" w:sz="0" w:space="0" w:color="auto"/>
        <w:left w:val="none" w:sz="0" w:space="0" w:color="auto"/>
        <w:bottom w:val="none" w:sz="0" w:space="0" w:color="auto"/>
        <w:right w:val="none" w:sz="0" w:space="0" w:color="auto"/>
      </w:divBdr>
      <w:divsChild>
        <w:div w:id="1492214562">
          <w:marLeft w:val="0"/>
          <w:marRight w:val="0"/>
          <w:marTop w:val="0"/>
          <w:marBottom w:val="0"/>
          <w:divBdr>
            <w:top w:val="none" w:sz="0" w:space="0" w:color="auto"/>
            <w:left w:val="none" w:sz="0" w:space="0" w:color="auto"/>
            <w:bottom w:val="none" w:sz="0" w:space="0" w:color="auto"/>
            <w:right w:val="none" w:sz="0" w:space="0" w:color="auto"/>
          </w:divBdr>
        </w:div>
      </w:divsChild>
    </w:div>
    <w:div w:id="843519074">
      <w:marLeft w:val="0"/>
      <w:marRight w:val="0"/>
      <w:marTop w:val="0"/>
      <w:marBottom w:val="0"/>
      <w:divBdr>
        <w:top w:val="none" w:sz="0" w:space="0" w:color="auto"/>
        <w:left w:val="none" w:sz="0" w:space="0" w:color="auto"/>
        <w:bottom w:val="none" w:sz="0" w:space="0" w:color="auto"/>
        <w:right w:val="none" w:sz="0" w:space="0" w:color="auto"/>
      </w:divBdr>
    </w:div>
    <w:div w:id="843982808">
      <w:marLeft w:val="0"/>
      <w:marRight w:val="0"/>
      <w:marTop w:val="0"/>
      <w:marBottom w:val="180"/>
      <w:divBdr>
        <w:top w:val="none" w:sz="0" w:space="0" w:color="auto"/>
        <w:left w:val="none" w:sz="0" w:space="0" w:color="auto"/>
        <w:bottom w:val="none" w:sz="0" w:space="0" w:color="auto"/>
        <w:right w:val="none" w:sz="0" w:space="0" w:color="auto"/>
      </w:divBdr>
    </w:div>
    <w:div w:id="844051193">
      <w:marLeft w:val="0"/>
      <w:marRight w:val="0"/>
      <w:marTop w:val="0"/>
      <w:marBottom w:val="180"/>
      <w:divBdr>
        <w:top w:val="none" w:sz="0" w:space="0" w:color="auto"/>
        <w:left w:val="none" w:sz="0" w:space="0" w:color="auto"/>
        <w:bottom w:val="none" w:sz="0" w:space="0" w:color="auto"/>
        <w:right w:val="none" w:sz="0" w:space="0" w:color="auto"/>
      </w:divBdr>
    </w:div>
    <w:div w:id="844511993">
      <w:marLeft w:val="0"/>
      <w:marRight w:val="0"/>
      <w:marTop w:val="0"/>
      <w:marBottom w:val="180"/>
      <w:divBdr>
        <w:top w:val="none" w:sz="0" w:space="0" w:color="auto"/>
        <w:left w:val="none" w:sz="0" w:space="0" w:color="auto"/>
        <w:bottom w:val="none" w:sz="0" w:space="0" w:color="auto"/>
        <w:right w:val="none" w:sz="0" w:space="0" w:color="auto"/>
      </w:divBdr>
    </w:div>
    <w:div w:id="846360457">
      <w:marLeft w:val="0"/>
      <w:marRight w:val="0"/>
      <w:marTop w:val="0"/>
      <w:marBottom w:val="0"/>
      <w:divBdr>
        <w:top w:val="none" w:sz="0" w:space="0" w:color="auto"/>
        <w:left w:val="none" w:sz="0" w:space="0" w:color="auto"/>
        <w:bottom w:val="none" w:sz="0" w:space="0" w:color="auto"/>
        <w:right w:val="none" w:sz="0" w:space="0" w:color="auto"/>
      </w:divBdr>
      <w:divsChild>
        <w:div w:id="662244097">
          <w:marLeft w:val="0"/>
          <w:marRight w:val="0"/>
          <w:marTop w:val="0"/>
          <w:marBottom w:val="0"/>
          <w:divBdr>
            <w:top w:val="none" w:sz="0" w:space="0" w:color="auto"/>
            <w:left w:val="none" w:sz="0" w:space="0" w:color="auto"/>
            <w:bottom w:val="none" w:sz="0" w:space="0" w:color="auto"/>
            <w:right w:val="none" w:sz="0" w:space="0" w:color="auto"/>
          </w:divBdr>
        </w:div>
      </w:divsChild>
    </w:div>
    <w:div w:id="846748572">
      <w:marLeft w:val="0"/>
      <w:marRight w:val="0"/>
      <w:marTop w:val="0"/>
      <w:marBottom w:val="0"/>
      <w:divBdr>
        <w:top w:val="none" w:sz="0" w:space="0" w:color="auto"/>
        <w:left w:val="none" w:sz="0" w:space="0" w:color="auto"/>
        <w:bottom w:val="none" w:sz="0" w:space="0" w:color="auto"/>
        <w:right w:val="none" w:sz="0" w:space="0" w:color="auto"/>
      </w:divBdr>
      <w:divsChild>
        <w:div w:id="1713730463">
          <w:marLeft w:val="0"/>
          <w:marRight w:val="0"/>
          <w:marTop w:val="0"/>
          <w:marBottom w:val="0"/>
          <w:divBdr>
            <w:top w:val="none" w:sz="0" w:space="0" w:color="auto"/>
            <w:left w:val="none" w:sz="0" w:space="0" w:color="auto"/>
            <w:bottom w:val="none" w:sz="0" w:space="0" w:color="auto"/>
            <w:right w:val="none" w:sz="0" w:space="0" w:color="auto"/>
          </w:divBdr>
        </w:div>
      </w:divsChild>
    </w:div>
    <w:div w:id="847258723">
      <w:marLeft w:val="0"/>
      <w:marRight w:val="0"/>
      <w:marTop w:val="0"/>
      <w:marBottom w:val="180"/>
      <w:divBdr>
        <w:top w:val="none" w:sz="0" w:space="0" w:color="auto"/>
        <w:left w:val="none" w:sz="0" w:space="0" w:color="auto"/>
        <w:bottom w:val="none" w:sz="0" w:space="0" w:color="auto"/>
        <w:right w:val="none" w:sz="0" w:space="0" w:color="auto"/>
      </w:divBdr>
    </w:div>
    <w:div w:id="847671310">
      <w:marLeft w:val="0"/>
      <w:marRight w:val="0"/>
      <w:marTop w:val="0"/>
      <w:marBottom w:val="180"/>
      <w:divBdr>
        <w:top w:val="none" w:sz="0" w:space="0" w:color="auto"/>
        <w:left w:val="none" w:sz="0" w:space="0" w:color="auto"/>
        <w:bottom w:val="none" w:sz="0" w:space="0" w:color="auto"/>
        <w:right w:val="none" w:sz="0" w:space="0" w:color="auto"/>
      </w:divBdr>
    </w:div>
    <w:div w:id="847911577">
      <w:marLeft w:val="0"/>
      <w:marRight w:val="0"/>
      <w:marTop w:val="0"/>
      <w:marBottom w:val="240"/>
      <w:divBdr>
        <w:top w:val="none" w:sz="0" w:space="0" w:color="auto"/>
        <w:left w:val="none" w:sz="0" w:space="0" w:color="auto"/>
        <w:bottom w:val="none" w:sz="0" w:space="0" w:color="auto"/>
        <w:right w:val="none" w:sz="0" w:space="0" w:color="auto"/>
      </w:divBdr>
    </w:div>
    <w:div w:id="848101566">
      <w:marLeft w:val="0"/>
      <w:marRight w:val="0"/>
      <w:marTop w:val="0"/>
      <w:marBottom w:val="240"/>
      <w:divBdr>
        <w:top w:val="none" w:sz="0" w:space="0" w:color="auto"/>
        <w:left w:val="none" w:sz="0" w:space="0" w:color="auto"/>
        <w:bottom w:val="none" w:sz="0" w:space="0" w:color="auto"/>
        <w:right w:val="none" w:sz="0" w:space="0" w:color="auto"/>
      </w:divBdr>
    </w:div>
    <w:div w:id="848562931">
      <w:marLeft w:val="0"/>
      <w:marRight w:val="0"/>
      <w:marTop w:val="0"/>
      <w:marBottom w:val="0"/>
      <w:divBdr>
        <w:top w:val="none" w:sz="0" w:space="0" w:color="auto"/>
        <w:left w:val="none" w:sz="0" w:space="0" w:color="auto"/>
        <w:bottom w:val="none" w:sz="0" w:space="0" w:color="auto"/>
        <w:right w:val="none" w:sz="0" w:space="0" w:color="auto"/>
      </w:divBdr>
    </w:div>
    <w:div w:id="849026440">
      <w:marLeft w:val="0"/>
      <w:marRight w:val="0"/>
      <w:marTop w:val="0"/>
      <w:marBottom w:val="0"/>
      <w:divBdr>
        <w:top w:val="none" w:sz="0" w:space="0" w:color="auto"/>
        <w:left w:val="none" w:sz="0" w:space="0" w:color="auto"/>
        <w:bottom w:val="none" w:sz="0" w:space="0" w:color="auto"/>
        <w:right w:val="none" w:sz="0" w:space="0" w:color="auto"/>
      </w:divBdr>
    </w:div>
    <w:div w:id="850873887">
      <w:marLeft w:val="0"/>
      <w:marRight w:val="0"/>
      <w:marTop w:val="0"/>
      <w:marBottom w:val="240"/>
      <w:divBdr>
        <w:top w:val="none" w:sz="0" w:space="0" w:color="auto"/>
        <w:left w:val="none" w:sz="0" w:space="0" w:color="auto"/>
        <w:bottom w:val="none" w:sz="0" w:space="0" w:color="auto"/>
        <w:right w:val="none" w:sz="0" w:space="0" w:color="auto"/>
      </w:divBdr>
    </w:div>
    <w:div w:id="850988950">
      <w:marLeft w:val="0"/>
      <w:marRight w:val="0"/>
      <w:marTop w:val="0"/>
      <w:marBottom w:val="180"/>
      <w:divBdr>
        <w:top w:val="none" w:sz="0" w:space="0" w:color="auto"/>
        <w:left w:val="none" w:sz="0" w:space="0" w:color="auto"/>
        <w:bottom w:val="none" w:sz="0" w:space="0" w:color="auto"/>
        <w:right w:val="none" w:sz="0" w:space="0" w:color="auto"/>
      </w:divBdr>
    </w:div>
    <w:div w:id="851070596">
      <w:marLeft w:val="0"/>
      <w:marRight w:val="0"/>
      <w:marTop w:val="100"/>
      <w:marBottom w:val="180"/>
      <w:divBdr>
        <w:top w:val="none" w:sz="0" w:space="0" w:color="auto"/>
        <w:left w:val="none" w:sz="0" w:space="0" w:color="auto"/>
        <w:bottom w:val="none" w:sz="0" w:space="0" w:color="auto"/>
        <w:right w:val="none" w:sz="0" w:space="0" w:color="auto"/>
      </w:divBdr>
    </w:div>
    <w:div w:id="853153638">
      <w:marLeft w:val="0"/>
      <w:marRight w:val="0"/>
      <w:marTop w:val="0"/>
      <w:marBottom w:val="0"/>
      <w:divBdr>
        <w:top w:val="none" w:sz="0" w:space="0" w:color="auto"/>
        <w:left w:val="none" w:sz="0" w:space="0" w:color="auto"/>
        <w:bottom w:val="none" w:sz="0" w:space="0" w:color="auto"/>
        <w:right w:val="none" w:sz="0" w:space="0" w:color="auto"/>
      </w:divBdr>
      <w:divsChild>
        <w:div w:id="430125077">
          <w:marLeft w:val="0"/>
          <w:marRight w:val="0"/>
          <w:marTop w:val="0"/>
          <w:marBottom w:val="0"/>
          <w:divBdr>
            <w:top w:val="none" w:sz="0" w:space="0" w:color="auto"/>
            <w:left w:val="none" w:sz="0" w:space="0" w:color="auto"/>
            <w:bottom w:val="none" w:sz="0" w:space="0" w:color="auto"/>
            <w:right w:val="none" w:sz="0" w:space="0" w:color="auto"/>
          </w:divBdr>
        </w:div>
      </w:divsChild>
    </w:div>
    <w:div w:id="853416554">
      <w:marLeft w:val="0"/>
      <w:marRight w:val="0"/>
      <w:marTop w:val="0"/>
      <w:marBottom w:val="240"/>
      <w:divBdr>
        <w:top w:val="none" w:sz="0" w:space="0" w:color="auto"/>
        <w:left w:val="none" w:sz="0" w:space="0" w:color="auto"/>
        <w:bottom w:val="none" w:sz="0" w:space="0" w:color="auto"/>
        <w:right w:val="none" w:sz="0" w:space="0" w:color="auto"/>
      </w:divBdr>
    </w:div>
    <w:div w:id="853499751">
      <w:marLeft w:val="0"/>
      <w:marRight w:val="0"/>
      <w:marTop w:val="0"/>
      <w:marBottom w:val="0"/>
      <w:divBdr>
        <w:top w:val="none" w:sz="0" w:space="0" w:color="auto"/>
        <w:left w:val="none" w:sz="0" w:space="0" w:color="auto"/>
        <w:bottom w:val="none" w:sz="0" w:space="0" w:color="auto"/>
        <w:right w:val="none" w:sz="0" w:space="0" w:color="auto"/>
      </w:divBdr>
      <w:divsChild>
        <w:div w:id="1344281043">
          <w:marLeft w:val="0"/>
          <w:marRight w:val="0"/>
          <w:marTop w:val="0"/>
          <w:marBottom w:val="0"/>
          <w:divBdr>
            <w:top w:val="none" w:sz="0" w:space="0" w:color="auto"/>
            <w:left w:val="none" w:sz="0" w:space="0" w:color="auto"/>
            <w:bottom w:val="none" w:sz="0" w:space="0" w:color="auto"/>
            <w:right w:val="none" w:sz="0" w:space="0" w:color="auto"/>
          </w:divBdr>
        </w:div>
      </w:divsChild>
    </w:div>
    <w:div w:id="855970902">
      <w:marLeft w:val="0"/>
      <w:marRight w:val="0"/>
      <w:marTop w:val="0"/>
      <w:marBottom w:val="240"/>
      <w:divBdr>
        <w:top w:val="none" w:sz="0" w:space="0" w:color="auto"/>
        <w:left w:val="none" w:sz="0" w:space="0" w:color="auto"/>
        <w:bottom w:val="none" w:sz="0" w:space="0" w:color="auto"/>
        <w:right w:val="none" w:sz="0" w:space="0" w:color="auto"/>
      </w:divBdr>
    </w:div>
    <w:div w:id="857156340">
      <w:marLeft w:val="0"/>
      <w:marRight w:val="0"/>
      <w:marTop w:val="0"/>
      <w:marBottom w:val="180"/>
      <w:divBdr>
        <w:top w:val="none" w:sz="0" w:space="0" w:color="auto"/>
        <w:left w:val="none" w:sz="0" w:space="0" w:color="auto"/>
        <w:bottom w:val="none" w:sz="0" w:space="0" w:color="auto"/>
        <w:right w:val="none" w:sz="0" w:space="0" w:color="auto"/>
      </w:divBdr>
    </w:div>
    <w:div w:id="858275262">
      <w:marLeft w:val="0"/>
      <w:marRight w:val="0"/>
      <w:marTop w:val="0"/>
      <w:marBottom w:val="0"/>
      <w:divBdr>
        <w:top w:val="none" w:sz="0" w:space="0" w:color="auto"/>
        <w:left w:val="none" w:sz="0" w:space="0" w:color="auto"/>
        <w:bottom w:val="none" w:sz="0" w:space="0" w:color="auto"/>
        <w:right w:val="none" w:sz="0" w:space="0" w:color="auto"/>
      </w:divBdr>
      <w:divsChild>
        <w:div w:id="1630280107">
          <w:marLeft w:val="0"/>
          <w:marRight w:val="0"/>
          <w:marTop w:val="0"/>
          <w:marBottom w:val="0"/>
          <w:divBdr>
            <w:top w:val="none" w:sz="0" w:space="0" w:color="auto"/>
            <w:left w:val="none" w:sz="0" w:space="0" w:color="auto"/>
            <w:bottom w:val="none" w:sz="0" w:space="0" w:color="auto"/>
            <w:right w:val="none" w:sz="0" w:space="0" w:color="auto"/>
          </w:divBdr>
        </w:div>
      </w:divsChild>
    </w:div>
    <w:div w:id="858394104">
      <w:marLeft w:val="0"/>
      <w:marRight w:val="0"/>
      <w:marTop w:val="0"/>
      <w:marBottom w:val="0"/>
      <w:divBdr>
        <w:top w:val="none" w:sz="0" w:space="0" w:color="auto"/>
        <w:left w:val="none" w:sz="0" w:space="0" w:color="auto"/>
        <w:bottom w:val="none" w:sz="0" w:space="0" w:color="auto"/>
        <w:right w:val="none" w:sz="0" w:space="0" w:color="auto"/>
      </w:divBdr>
      <w:divsChild>
        <w:div w:id="1884975133">
          <w:marLeft w:val="0"/>
          <w:marRight w:val="0"/>
          <w:marTop w:val="0"/>
          <w:marBottom w:val="0"/>
          <w:divBdr>
            <w:top w:val="none" w:sz="0" w:space="0" w:color="auto"/>
            <w:left w:val="none" w:sz="0" w:space="0" w:color="auto"/>
            <w:bottom w:val="none" w:sz="0" w:space="0" w:color="auto"/>
            <w:right w:val="none" w:sz="0" w:space="0" w:color="auto"/>
          </w:divBdr>
        </w:div>
      </w:divsChild>
    </w:div>
    <w:div w:id="858474744">
      <w:marLeft w:val="0"/>
      <w:marRight w:val="0"/>
      <w:marTop w:val="0"/>
      <w:marBottom w:val="0"/>
      <w:divBdr>
        <w:top w:val="none" w:sz="0" w:space="0" w:color="auto"/>
        <w:left w:val="none" w:sz="0" w:space="0" w:color="auto"/>
        <w:bottom w:val="none" w:sz="0" w:space="0" w:color="auto"/>
        <w:right w:val="none" w:sz="0" w:space="0" w:color="auto"/>
      </w:divBdr>
      <w:divsChild>
        <w:div w:id="1500610203">
          <w:marLeft w:val="0"/>
          <w:marRight w:val="0"/>
          <w:marTop w:val="0"/>
          <w:marBottom w:val="0"/>
          <w:divBdr>
            <w:top w:val="none" w:sz="0" w:space="0" w:color="auto"/>
            <w:left w:val="none" w:sz="0" w:space="0" w:color="auto"/>
            <w:bottom w:val="none" w:sz="0" w:space="0" w:color="auto"/>
            <w:right w:val="none" w:sz="0" w:space="0" w:color="auto"/>
          </w:divBdr>
        </w:div>
      </w:divsChild>
    </w:div>
    <w:div w:id="858740387">
      <w:marLeft w:val="0"/>
      <w:marRight w:val="0"/>
      <w:marTop w:val="120"/>
      <w:marBottom w:val="120"/>
      <w:divBdr>
        <w:top w:val="none" w:sz="0" w:space="0" w:color="auto"/>
        <w:left w:val="none" w:sz="0" w:space="0" w:color="auto"/>
        <w:bottom w:val="none" w:sz="0" w:space="0" w:color="auto"/>
        <w:right w:val="none" w:sz="0" w:space="0" w:color="auto"/>
      </w:divBdr>
    </w:div>
    <w:div w:id="858856802">
      <w:marLeft w:val="0"/>
      <w:marRight w:val="0"/>
      <w:marTop w:val="120"/>
      <w:marBottom w:val="120"/>
      <w:divBdr>
        <w:top w:val="none" w:sz="0" w:space="0" w:color="auto"/>
        <w:left w:val="none" w:sz="0" w:space="0" w:color="auto"/>
        <w:bottom w:val="none" w:sz="0" w:space="0" w:color="auto"/>
        <w:right w:val="none" w:sz="0" w:space="0" w:color="auto"/>
      </w:divBdr>
    </w:div>
    <w:div w:id="859050827">
      <w:marLeft w:val="0"/>
      <w:marRight w:val="0"/>
      <w:marTop w:val="0"/>
      <w:marBottom w:val="0"/>
      <w:divBdr>
        <w:top w:val="none" w:sz="0" w:space="0" w:color="auto"/>
        <w:left w:val="none" w:sz="0" w:space="0" w:color="auto"/>
        <w:bottom w:val="none" w:sz="0" w:space="0" w:color="auto"/>
        <w:right w:val="none" w:sz="0" w:space="0" w:color="auto"/>
      </w:divBdr>
    </w:div>
    <w:div w:id="859508092">
      <w:marLeft w:val="0"/>
      <w:marRight w:val="0"/>
      <w:marTop w:val="0"/>
      <w:marBottom w:val="180"/>
      <w:divBdr>
        <w:top w:val="none" w:sz="0" w:space="0" w:color="auto"/>
        <w:left w:val="none" w:sz="0" w:space="0" w:color="auto"/>
        <w:bottom w:val="none" w:sz="0" w:space="0" w:color="auto"/>
        <w:right w:val="none" w:sz="0" w:space="0" w:color="auto"/>
      </w:divBdr>
    </w:div>
    <w:div w:id="859977198">
      <w:marLeft w:val="0"/>
      <w:marRight w:val="0"/>
      <w:marTop w:val="0"/>
      <w:marBottom w:val="0"/>
      <w:divBdr>
        <w:top w:val="none" w:sz="0" w:space="0" w:color="auto"/>
        <w:left w:val="none" w:sz="0" w:space="0" w:color="auto"/>
        <w:bottom w:val="none" w:sz="0" w:space="0" w:color="auto"/>
        <w:right w:val="none" w:sz="0" w:space="0" w:color="auto"/>
      </w:divBdr>
    </w:div>
    <w:div w:id="861281953">
      <w:marLeft w:val="0"/>
      <w:marRight w:val="0"/>
      <w:marTop w:val="0"/>
      <w:marBottom w:val="0"/>
      <w:divBdr>
        <w:top w:val="none" w:sz="0" w:space="0" w:color="auto"/>
        <w:left w:val="none" w:sz="0" w:space="0" w:color="auto"/>
        <w:bottom w:val="none" w:sz="0" w:space="0" w:color="auto"/>
        <w:right w:val="none" w:sz="0" w:space="0" w:color="auto"/>
      </w:divBdr>
      <w:divsChild>
        <w:div w:id="990913877">
          <w:marLeft w:val="0"/>
          <w:marRight w:val="0"/>
          <w:marTop w:val="0"/>
          <w:marBottom w:val="0"/>
          <w:divBdr>
            <w:top w:val="none" w:sz="0" w:space="0" w:color="auto"/>
            <w:left w:val="none" w:sz="0" w:space="0" w:color="auto"/>
            <w:bottom w:val="none" w:sz="0" w:space="0" w:color="auto"/>
            <w:right w:val="none" w:sz="0" w:space="0" w:color="auto"/>
          </w:divBdr>
        </w:div>
      </w:divsChild>
    </w:div>
    <w:div w:id="861630866">
      <w:marLeft w:val="0"/>
      <w:marRight w:val="0"/>
      <w:marTop w:val="120"/>
      <w:marBottom w:val="120"/>
      <w:divBdr>
        <w:top w:val="none" w:sz="0" w:space="0" w:color="auto"/>
        <w:left w:val="none" w:sz="0" w:space="0" w:color="auto"/>
        <w:bottom w:val="none" w:sz="0" w:space="0" w:color="auto"/>
        <w:right w:val="none" w:sz="0" w:space="0" w:color="auto"/>
      </w:divBdr>
    </w:div>
    <w:div w:id="863325674">
      <w:marLeft w:val="0"/>
      <w:marRight w:val="0"/>
      <w:marTop w:val="0"/>
      <w:marBottom w:val="240"/>
      <w:divBdr>
        <w:top w:val="none" w:sz="0" w:space="0" w:color="auto"/>
        <w:left w:val="none" w:sz="0" w:space="0" w:color="auto"/>
        <w:bottom w:val="none" w:sz="0" w:space="0" w:color="auto"/>
        <w:right w:val="none" w:sz="0" w:space="0" w:color="auto"/>
      </w:divBdr>
    </w:div>
    <w:div w:id="864290761">
      <w:marLeft w:val="0"/>
      <w:marRight w:val="0"/>
      <w:marTop w:val="0"/>
      <w:marBottom w:val="180"/>
      <w:divBdr>
        <w:top w:val="none" w:sz="0" w:space="0" w:color="auto"/>
        <w:left w:val="none" w:sz="0" w:space="0" w:color="auto"/>
        <w:bottom w:val="none" w:sz="0" w:space="0" w:color="auto"/>
        <w:right w:val="none" w:sz="0" w:space="0" w:color="auto"/>
      </w:divBdr>
    </w:div>
    <w:div w:id="865555726">
      <w:marLeft w:val="0"/>
      <w:marRight w:val="0"/>
      <w:marTop w:val="0"/>
      <w:marBottom w:val="0"/>
      <w:divBdr>
        <w:top w:val="none" w:sz="0" w:space="0" w:color="auto"/>
        <w:left w:val="none" w:sz="0" w:space="0" w:color="auto"/>
        <w:bottom w:val="none" w:sz="0" w:space="0" w:color="auto"/>
        <w:right w:val="none" w:sz="0" w:space="0" w:color="auto"/>
      </w:divBdr>
    </w:div>
    <w:div w:id="865749495">
      <w:marLeft w:val="0"/>
      <w:marRight w:val="0"/>
      <w:marTop w:val="0"/>
      <w:marBottom w:val="0"/>
      <w:divBdr>
        <w:top w:val="none" w:sz="0" w:space="0" w:color="auto"/>
        <w:left w:val="none" w:sz="0" w:space="0" w:color="auto"/>
        <w:bottom w:val="none" w:sz="0" w:space="0" w:color="auto"/>
        <w:right w:val="none" w:sz="0" w:space="0" w:color="auto"/>
      </w:divBdr>
    </w:div>
    <w:div w:id="866527084">
      <w:marLeft w:val="0"/>
      <w:marRight w:val="0"/>
      <w:marTop w:val="0"/>
      <w:marBottom w:val="180"/>
      <w:divBdr>
        <w:top w:val="none" w:sz="0" w:space="0" w:color="auto"/>
        <w:left w:val="none" w:sz="0" w:space="0" w:color="auto"/>
        <w:bottom w:val="none" w:sz="0" w:space="0" w:color="auto"/>
        <w:right w:val="none" w:sz="0" w:space="0" w:color="auto"/>
      </w:divBdr>
    </w:div>
    <w:div w:id="867911099">
      <w:marLeft w:val="0"/>
      <w:marRight w:val="0"/>
      <w:marTop w:val="0"/>
      <w:marBottom w:val="180"/>
      <w:divBdr>
        <w:top w:val="none" w:sz="0" w:space="0" w:color="auto"/>
        <w:left w:val="none" w:sz="0" w:space="0" w:color="auto"/>
        <w:bottom w:val="none" w:sz="0" w:space="0" w:color="auto"/>
        <w:right w:val="none" w:sz="0" w:space="0" w:color="auto"/>
      </w:divBdr>
    </w:div>
    <w:div w:id="868105776">
      <w:marLeft w:val="0"/>
      <w:marRight w:val="0"/>
      <w:marTop w:val="0"/>
      <w:marBottom w:val="0"/>
      <w:divBdr>
        <w:top w:val="none" w:sz="0" w:space="0" w:color="auto"/>
        <w:left w:val="none" w:sz="0" w:space="0" w:color="auto"/>
        <w:bottom w:val="none" w:sz="0" w:space="0" w:color="auto"/>
        <w:right w:val="none" w:sz="0" w:space="0" w:color="auto"/>
      </w:divBdr>
      <w:divsChild>
        <w:div w:id="682434834">
          <w:marLeft w:val="0"/>
          <w:marRight w:val="0"/>
          <w:marTop w:val="0"/>
          <w:marBottom w:val="0"/>
          <w:divBdr>
            <w:top w:val="none" w:sz="0" w:space="0" w:color="auto"/>
            <w:left w:val="none" w:sz="0" w:space="0" w:color="auto"/>
            <w:bottom w:val="none" w:sz="0" w:space="0" w:color="auto"/>
            <w:right w:val="none" w:sz="0" w:space="0" w:color="auto"/>
          </w:divBdr>
        </w:div>
      </w:divsChild>
    </w:div>
    <w:div w:id="868640764">
      <w:marLeft w:val="0"/>
      <w:marRight w:val="0"/>
      <w:marTop w:val="0"/>
      <w:marBottom w:val="0"/>
      <w:divBdr>
        <w:top w:val="none" w:sz="0" w:space="0" w:color="auto"/>
        <w:left w:val="none" w:sz="0" w:space="0" w:color="auto"/>
        <w:bottom w:val="none" w:sz="0" w:space="0" w:color="auto"/>
        <w:right w:val="none" w:sz="0" w:space="0" w:color="auto"/>
      </w:divBdr>
    </w:div>
    <w:div w:id="868840714">
      <w:marLeft w:val="0"/>
      <w:marRight w:val="0"/>
      <w:marTop w:val="120"/>
      <w:marBottom w:val="120"/>
      <w:divBdr>
        <w:top w:val="none" w:sz="0" w:space="0" w:color="auto"/>
        <w:left w:val="none" w:sz="0" w:space="0" w:color="auto"/>
        <w:bottom w:val="none" w:sz="0" w:space="0" w:color="auto"/>
        <w:right w:val="none" w:sz="0" w:space="0" w:color="auto"/>
      </w:divBdr>
    </w:div>
    <w:div w:id="869027434">
      <w:marLeft w:val="0"/>
      <w:marRight w:val="0"/>
      <w:marTop w:val="180"/>
      <w:marBottom w:val="180"/>
      <w:divBdr>
        <w:top w:val="none" w:sz="0" w:space="0" w:color="auto"/>
        <w:left w:val="none" w:sz="0" w:space="0" w:color="auto"/>
        <w:bottom w:val="none" w:sz="0" w:space="0" w:color="auto"/>
        <w:right w:val="none" w:sz="0" w:space="0" w:color="auto"/>
      </w:divBdr>
    </w:div>
    <w:div w:id="869532640">
      <w:marLeft w:val="0"/>
      <w:marRight w:val="0"/>
      <w:marTop w:val="100"/>
      <w:marBottom w:val="240"/>
      <w:divBdr>
        <w:top w:val="none" w:sz="0" w:space="0" w:color="auto"/>
        <w:left w:val="none" w:sz="0" w:space="0" w:color="auto"/>
        <w:bottom w:val="none" w:sz="0" w:space="0" w:color="auto"/>
        <w:right w:val="none" w:sz="0" w:space="0" w:color="auto"/>
      </w:divBdr>
    </w:div>
    <w:div w:id="872573139">
      <w:marLeft w:val="0"/>
      <w:marRight w:val="0"/>
      <w:marTop w:val="0"/>
      <w:marBottom w:val="0"/>
      <w:divBdr>
        <w:top w:val="none" w:sz="0" w:space="0" w:color="auto"/>
        <w:left w:val="none" w:sz="0" w:space="0" w:color="auto"/>
        <w:bottom w:val="none" w:sz="0" w:space="0" w:color="auto"/>
        <w:right w:val="none" w:sz="0" w:space="0" w:color="auto"/>
      </w:divBdr>
    </w:div>
    <w:div w:id="873034863">
      <w:marLeft w:val="0"/>
      <w:marRight w:val="0"/>
      <w:marTop w:val="0"/>
      <w:marBottom w:val="0"/>
      <w:divBdr>
        <w:top w:val="none" w:sz="0" w:space="0" w:color="auto"/>
        <w:left w:val="none" w:sz="0" w:space="0" w:color="auto"/>
        <w:bottom w:val="none" w:sz="0" w:space="0" w:color="auto"/>
        <w:right w:val="none" w:sz="0" w:space="0" w:color="auto"/>
      </w:divBdr>
      <w:divsChild>
        <w:div w:id="168955486">
          <w:marLeft w:val="0"/>
          <w:marRight w:val="0"/>
          <w:marTop w:val="0"/>
          <w:marBottom w:val="0"/>
          <w:divBdr>
            <w:top w:val="none" w:sz="0" w:space="0" w:color="auto"/>
            <w:left w:val="none" w:sz="0" w:space="0" w:color="auto"/>
            <w:bottom w:val="none" w:sz="0" w:space="0" w:color="auto"/>
            <w:right w:val="none" w:sz="0" w:space="0" w:color="auto"/>
          </w:divBdr>
        </w:div>
      </w:divsChild>
    </w:div>
    <w:div w:id="873731134">
      <w:marLeft w:val="0"/>
      <w:marRight w:val="0"/>
      <w:marTop w:val="0"/>
      <w:marBottom w:val="180"/>
      <w:divBdr>
        <w:top w:val="none" w:sz="0" w:space="0" w:color="auto"/>
        <w:left w:val="none" w:sz="0" w:space="0" w:color="auto"/>
        <w:bottom w:val="none" w:sz="0" w:space="0" w:color="auto"/>
        <w:right w:val="none" w:sz="0" w:space="0" w:color="auto"/>
      </w:divBdr>
    </w:div>
    <w:div w:id="874343266">
      <w:marLeft w:val="0"/>
      <w:marRight w:val="0"/>
      <w:marTop w:val="0"/>
      <w:marBottom w:val="180"/>
      <w:divBdr>
        <w:top w:val="none" w:sz="0" w:space="0" w:color="auto"/>
        <w:left w:val="none" w:sz="0" w:space="0" w:color="auto"/>
        <w:bottom w:val="none" w:sz="0" w:space="0" w:color="auto"/>
        <w:right w:val="none" w:sz="0" w:space="0" w:color="auto"/>
      </w:divBdr>
    </w:div>
    <w:div w:id="874580753">
      <w:marLeft w:val="0"/>
      <w:marRight w:val="0"/>
      <w:marTop w:val="0"/>
      <w:marBottom w:val="0"/>
      <w:divBdr>
        <w:top w:val="none" w:sz="0" w:space="0" w:color="auto"/>
        <w:left w:val="none" w:sz="0" w:space="0" w:color="auto"/>
        <w:bottom w:val="none" w:sz="0" w:space="0" w:color="auto"/>
        <w:right w:val="none" w:sz="0" w:space="0" w:color="auto"/>
      </w:divBdr>
    </w:div>
    <w:div w:id="874998099">
      <w:marLeft w:val="0"/>
      <w:marRight w:val="0"/>
      <w:marTop w:val="0"/>
      <w:marBottom w:val="240"/>
      <w:divBdr>
        <w:top w:val="none" w:sz="0" w:space="0" w:color="auto"/>
        <w:left w:val="none" w:sz="0" w:space="0" w:color="auto"/>
        <w:bottom w:val="none" w:sz="0" w:space="0" w:color="auto"/>
        <w:right w:val="none" w:sz="0" w:space="0" w:color="auto"/>
      </w:divBdr>
    </w:div>
    <w:div w:id="876233119">
      <w:marLeft w:val="0"/>
      <w:marRight w:val="0"/>
      <w:marTop w:val="0"/>
      <w:marBottom w:val="180"/>
      <w:divBdr>
        <w:top w:val="none" w:sz="0" w:space="0" w:color="auto"/>
        <w:left w:val="none" w:sz="0" w:space="0" w:color="auto"/>
        <w:bottom w:val="none" w:sz="0" w:space="0" w:color="auto"/>
        <w:right w:val="none" w:sz="0" w:space="0" w:color="auto"/>
      </w:divBdr>
    </w:div>
    <w:div w:id="876434375">
      <w:marLeft w:val="0"/>
      <w:marRight w:val="0"/>
      <w:marTop w:val="0"/>
      <w:marBottom w:val="240"/>
      <w:divBdr>
        <w:top w:val="none" w:sz="0" w:space="0" w:color="auto"/>
        <w:left w:val="none" w:sz="0" w:space="0" w:color="auto"/>
        <w:bottom w:val="none" w:sz="0" w:space="0" w:color="auto"/>
        <w:right w:val="none" w:sz="0" w:space="0" w:color="auto"/>
      </w:divBdr>
    </w:div>
    <w:div w:id="877663609">
      <w:marLeft w:val="0"/>
      <w:marRight w:val="0"/>
      <w:marTop w:val="0"/>
      <w:marBottom w:val="0"/>
      <w:divBdr>
        <w:top w:val="none" w:sz="0" w:space="0" w:color="auto"/>
        <w:left w:val="none" w:sz="0" w:space="0" w:color="auto"/>
        <w:bottom w:val="none" w:sz="0" w:space="0" w:color="auto"/>
        <w:right w:val="none" w:sz="0" w:space="0" w:color="auto"/>
      </w:divBdr>
    </w:div>
    <w:div w:id="878316582">
      <w:marLeft w:val="0"/>
      <w:marRight w:val="0"/>
      <w:marTop w:val="100"/>
      <w:marBottom w:val="0"/>
      <w:divBdr>
        <w:top w:val="none" w:sz="0" w:space="0" w:color="auto"/>
        <w:left w:val="none" w:sz="0" w:space="0" w:color="auto"/>
        <w:bottom w:val="none" w:sz="0" w:space="0" w:color="auto"/>
        <w:right w:val="none" w:sz="0" w:space="0" w:color="auto"/>
      </w:divBdr>
      <w:divsChild>
        <w:div w:id="413402141">
          <w:marLeft w:val="0"/>
          <w:marRight w:val="0"/>
          <w:marTop w:val="0"/>
          <w:marBottom w:val="0"/>
          <w:divBdr>
            <w:top w:val="none" w:sz="0" w:space="0" w:color="auto"/>
            <w:left w:val="none" w:sz="0" w:space="0" w:color="auto"/>
            <w:bottom w:val="none" w:sz="0" w:space="0" w:color="auto"/>
            <w:right w:val="none" w:sz="0" w:space="0" w:color="auto"/>
          </w:divBdr>
        </w:div>
      </w:divsChild>
    </w:div>
    <w:div w:id="879436155">
      <w:marLeft w:val="0"/>
      <w:marRight w:val="0"/>
      <w:marTop w:val="180"/>
      <w:marBottom w:val="180"/>
      <w:divBdr>
        <w:top w:val="none" w:sz="0" w:space="0" w:color="auto"/>
        <w:left w:val="none" w:sz="0" w:space="0" w:color="auto"/>
        <w:bottom w:val="none" w:sz="0" w:space="0" w:color="auto"/>
        <w:right w:val="none" w:sz="0" w:space="0" w:color="auto"/>
      </w:divBdr>
    </w:div>
    <w:div w:id="879512847">
      <w:marLeft w:val="0"/>
      <w:marRight w:val="0"/>
      <w:marTop w:val="0"/>
      <w:marBottom w:val="180"/>
      <w:divBdr>
        <w:top w:val="none" w:sz="0" w:space="0" w:color="auto"/>
        <w:left w:val="none" w:sz="0" w:space="0" w:color="auto"/>
        <w:bottom w:val="none" w:sz="0" w:space="0" w:color="auto"/>
        <w:right w:val="none" w:sz="0" w:space="0" w:color="auto"/>
      </w:divBdr>
    </w:div>
    <w:div w:id="880019105">
      <w:marLeft w:val="0"/>
      <w:marRight w:val="0"/>
      <w:marTop w:val="0"/>
      <w:marBottom w:val="180"/>
      <w:divBdr>
        <w:top w:val="none" w:sz="0" w:space="0" w:color="auto"/>
        <w:left w:val="none" w:sz="0" w:space="0" w:color="auto"/>
        <w:bottom w:val="none" w:sz="0" w:space="0" w:color="auto"/>
        <w:right w:val="none" w:sz="0" w:space="0" w:color="auto"/>
      </w:divBdr>
    </w:div>
    <w:div w:id="880628848">
      <w:marLeft w:val="0"/>
      <w:marRight w:val="0"/>
      <w:marTop w:val="0"/>
      <w:marBottom w:val="240"/>
      <w:divBdr>
        <w:top w:val="none" w:sz="0" w:space="0" w:color="auto"/>
        <w:left w:val="none" w:sz="0" w:space="0" w:color="auto"/>
        <w:bottom w:val="none" w:sz="0" w:space="0" w:color="auto"/>
        <w:right w:val="none" w:sz="0" w:space="0" w:color="auto"/>
      </w:divBdr>
    </w:div>
    <w:div w:id="880745321">
      <w:marLeft w:val="0"/>
      <w:marRight w:val="0"/>
      <w:marTop w:val="0"/>
      <w:marBottom w:val="0"/>
      <w:divBdr>
        <w:top w:val="none" w:sz="0" w:space="0" w:color="auto"/>
        <w:left w:val="none" w:sz="0" w:space="0" w:color="auto"/>
        <w:bottom w:val="none" w:sz="0" w:space="0" w:color="auto"/>
        <w:right w:val="none" w:sz="0" w:space="0" w:color="auto"/>
      </w:divBdr>
    </w:div>
    <w:div w:id="880902054">
      <w:marLeft w:val="0"/>
      <w:marRight w:val="0"/>
      <w:marTop w:val="0"/>
      <w:marBottom w:val="180"/>
      <w:divBdr>
        <w:top w:val="none" w:sz="0" w:space="0" w:color="auto"/>
        <w:left w:val="none" w:sz="0" w:space="0" w:color="auto"/>
        <w:bottom w:val="none" w:sz="0" w:space="0" w:color="auto"/>
        <w:right w:val="none" w:sz="0" w:space="0" w:color="auto"/>
      </w:divBdr>
    </w:div>
    <w:div w:id="881093007">
      <w:marLeft w:val="0"/>
      <w:marRight w:val="0"/>
      <w:marTop w:val="0"/>
      <w:marBottom w:val="0"/>
      <w:divBdr>
        <w:top w:val="none" w:sz="0" w:space="0" w:color="auto"/>
        <w:left w:val="none" w:sz="0" w:space="0" w:color="auto"/>
        <w:bottom w:val="none" w:sz="0" w:space="0" w:color="auto"/>
        <w:right w:val="none" w:sz="0" w:space="0" w:color="auto"/>
      </w:divBdr>
    </w:div>
    <w:div w:id="881942688">
      <w:marLeft w:val="0"/>
      <w:marRight w:val="0"/>
      <w:marTop w:val="0"/>
      <w:marBottom w:val="0"/>
      <w:divBdr>
        <w:top w:val="none" w:sz="0" w:space="0" w:color="auto"/>
        <w:left w:val="none" w:sz="0" w:space="0" w:color="auto"/>
        <w:bottom w:val="none" w:sz="0" w:space="0" w:color="auto"/>
        <w:right w:val="none" w:sz="0" w:space="0" w:color="auto"/>
      </w:divBdr>
      <w:divsChild>
        <w:div w:id="732852680">
          <w:marLeft w:val="0"/>
          <w:marRight w:val="0"/>
          <w:marTop w:val="0"/>
          <w:marBottom w:val="0"/>
          <w:divBdr>
            <w:top w:val="none" w:sz="0" w:space="0" w:color="auto"/>
            <w:left w:val="none" w:sz="0" w:space="0" w:color="auto"/>
            <w:bottom w:val="none" w:sz="0" w:space="0" w:color="auto"/>
            <w:right w:val="none" w:sz="0" w:space="0" w:color="auto"/>
          </w:divBdr>
        </w:div>
      </w:divsChild>
    </w:div>
    <w:div w:id="884409545">
      <w:marLeft w:val="0"/>
      <w:marRight w:val="0"/>
      <w:marTop w:val="0"/>
      <w:marBottom w:val="0"/>
      <w:divBdr>
        <w:top w:val="none" w:sz="0" w:space="0" w:color="auto"/>
        <w:left w:val="none" w:sz="0" w:space="0" w:color="auto"/>
        <w:bottom w:val="none" w:sz="0" w:space="0" w:color="auto"/>
        <w:right w:val="none" w:sz="0" w:space="0" w:color="auto"/>
      </w:divBdr>
      <w:divsChild>
        <w:div w:id="483593652">
          <w:marLeft w:val="0"/>
          <w:marRight w:val="0"/>
          <w:marTop w:val="0"/>
          <w:marBottom w:val="0"/>
          <w:divBdr>
            <w:top w:val="none" w:sz="0" w:space="0" w:color="auto"/>
            <w:left w:val="none" w:sz="0" w:space="0" w:color="auto"/>
            <w:bottom w:val="none" w:sz="0" w:space="0" w:color="auto"/>
            <w:right w:val="none" w:sz="0" w:space="0" w:color="auto"/>
          </w:divBdr>
        </w:div>
      </w:divsChild>
    </w:div>
    <w:div w:id="885721550">
      <w:marLeft w:val="0"/>
      <w:marRight w:val="0"/>
      <w:marTop w:val="180"/>
      <w:marBottom w:val="180"/>
      <w:divBdr>
        <w:top w:val="none" w:sz="0" w:space="0" w:color="auto"/>
        <w:left w:val="none" w:sz="0" w:space="0" w:color="auto"/>
        <w:bottom w:val="none" w:sz="0" w:space="0" w:color="auto"/>
        <w:right w:val="none" w:sz="0" w:space="0" w:color="auto"/>
      </w:divBdr>
    </w:div>
    <w:div w:id="886838583">
      <w:marLeft w:val="0"/>
      <w:marRight w:val="0"/>
      <w:marTop w:val="120"/>
      <w:marBottom w:val="240"/>
      <w:divBdr>
        <w:top w:val="none" w:sz="0" w:space="0" w:color="auto"/>
        <w:left w:val="none" w:sz="0" w:space="0" w:color="auto"/>
        <w:bottom w:val="none" w:sz="0" w:space="0" w:color="auto"/>
        <w:right w:val="none" w:sz="0" w:space="0" w:color="auto"/>
      </w:divBdr>
    </w:div>
    <w:div w:id="888302372">
      <w:marLeft w:val="0"/>
      <w:marRight w:val="0"/>
      <w:marTop w:val="120"/>
      <w:marBottom w:val="120"/>
      <w:divBdr>
        <w:top w:val="none" w:sz="0" w:space="0" w:color="auto"/>
        <w:left w:val="none" w:sz="0" w:space="0" w:color="auto"/>
        <w:bottom w:val="none" w:sz="0" w:space="0" w:color="auto"/>
        <w:right w:val="none" w:sz="0" w:space="0" w:color="auto"/>
      </w:divBdr>
    </w:div>
    <w:div w:id="889610348">
      <w:marLeft w:val="0"/>
      <w:marRight w:val="0"/>
      <w:marTop w:val="0"/>
      <w:marBottom w:val="0"/>
      <w:divBdr>
        <w:top w:val="none" w:sz="0" w:space="0" w:color="auto"/>
        <w:left w:val="none" w:sz="0" w:space="0" w:color="auto"/>
        <w:bottom w:val="none" w:sz="0" w:space="0" w:color="auto"/>
        <w:right w:val="none" w:sz="0" w:space="0" w:color="auto"/>
      </w:divBdr>
      <w:divsChild>
        <w:div w:id="548685076">
          <w:marLeft w:val="0"/>
          <w:marRight w:val="0"/>
          <w:marTop w:val="0"/>
          <w:marBottom w:val="0"/>
          <w:divBdr>
            <w:top w:val="none" w:sz="0" w:space="0" w:color="auto"/>
            <w:left w:val="none" w:sz="0" w:space="0" w:color="auto"/>
            <w:bottom w:val="none" w:sz="0" w:space="0" w:color="auto"/>
            <w:right w:val="none" w:sz="0" w:space="0" w:color="auto"/>
          </w:divBdr>
        </w:div>
      </w:divsChild>
    </w:div>
    <w:div w:id="890656006">
      <w:marLeft w:val="0"/>
      <w:marRight w:val="0"/>
      <w:marTop w:val="0"/>
      <w:marBottom w:val="180"/>
      <w:divBdr>
        <w:top w:val="none" w:sz="0" w:space="0" w:color="auto"/>
        <w:left w:val="none" w:sz="0" w:space="0" w:color="auto"/>
        <w:bottom w:val="none" w:sz="0" w:space="0" w:color="auto"/>
        <w:right w:val="none" w:sz="0" w:space="0" w:color="auto"/>
      </w:divBdr>
    </w:div>
    <w:div w:id="890775534">
      <w:marLeft w:val="0"/>
      <w:marRight w:val="0"/>
      <w:marTop w:val="0"/>
      <w:marBottom w:val="0"/>
      <w:divBdr>
        <w:top w:val="none" w:sz="0" w:space="0" w:color="auto"/>
        <w:left w:val="none" w:sz="0" w:space="0" w:color="auto"/>
        <w:bottom w:val="none" w:sz="0" w:space="0" w:color="auto"/>
        <w:right w:val="none" w:sz="0" w:space="0" w:color="auto"/>
      </w:divBdr>
    </w:div>
    <w:div w:id="891425367">
      <w:marLeft w:val="0"/>
      <w:marRight w:val="0"/>
      <w:marTop w:val="0"/>
      <w:marBottom w:val="0"/>
      <w:divBdr>
        <w:top w:val="none" w:sz="0" w:space="0" w:color="auto"/>
        <w:left w:val="none" w:sz="0" w:space="0" w:color="auto"/>
        <w:bottom w:val="none" w:sz="0" w:space="0" w:color="auto"/>
        <w:right w:val="none" w:sz="0" w:space="0" w:color="auto"/>
      </w:divBdr>
    </w:div>
    <w:div w:id="892348874">
      <w:marLeft w:val="0"/>
      <w:marRight w:val="0"/>
      <w:marTop w:val="0"/>
      <w:marBottom w:val="240"/>
      <w:divBdr>
        <w:top w:val="none" w:sz="0" w:space="0" w:color="auto"/>
        <w:left w:val="none" w:sz="0" w:space="0" w:color="auto"/>
        <w:bottom w:val="none" w:sz="0" w:space="0" w:color="auto"/>
        <w:right w:val="none" w:sz="0" w:space="0" w:color="auto"/>
      </w:divBdr>
    </w:div>
    <w:div w:id="892697427">
      <w:marLeft w:val="0"/>
      <w:marRight w:val="0"/>
      <w:marTop w:val="0"/>
      <w:marBottom w:val="0"/>
      <w:divBdr>
        <w:top w:val="none" w:sz="0" w:space="0" w:color="auto"/>
        <w:left w:val="none" w:sz="0" w:space="0" w:color="auto"/>
        <w:bottom w:val="none" w:sz="0" w:space="0" w:color="auto"/>
        <w:right w:val="none" w:sz="0" w:space="0" w:color="auto"/>
      </w:divBdr>
    </w:div>
    <w:div w:id="894704022">
      <w:marLeft w:val="0"/>
      <w:marRight w:val="0"/>
      <w:marTop w:val="0"/>
      <w:marBottom w:val="0"/>
      <w:divBdr>
        <w:top w:val="none" w:sz="0" w:space="0" w:color="auto"/>
        <w:left w:val="none" w:sz="0" w:space="0" w:color="auto"/>
        <w:bottom w:val="none" w:sz="0" w:space="0" w:color="auto"/>
        <w:right w:val="none" w:sz="0" w:space="0" w:color="auto"/>
      </w:divBdr>
    </w:div>
    <w:div w:id="894896935">
      <w:marLeft w:val="0"/>
      <w:marRight w:val="0"/>
      <w:marTop w:val="0"/>
      <w:marBottom w:val="240"/>
      <w:divBdr>
        <w:top w:val="none" w:sz="0" w:space="0" w:color="auto"/>
        <w:left w:val="none" w:sz="0" w:space="0" w:color="auto"/>
        <w:bottom w:val="none" w:sz="0" w:space="0" w:color="auto"/>
        <w:right w:val="none" w:sz="0" w:space="0" w:color="auto"/>
      </w:divBdr>
    </w:div>
    <w:div w:id="895359287">
      <w:marLeft w:val="0"/>
      <w:marRight w:val="0"/>
      <w:marTop w:val="0"/>
      <w:marBottom w:val="240"/>
      <w:divBdr>
        <w:top w:val="none" w:sz="0" w:space="0" w:color="auto"/>
        <w:left w:val="none" w:sz="0" w:space="0" w:color="auto"/>
        <w:bottom w:val="none" w:sz="0" w:space="0" w:color="auto"/>
        <w:right w:val="none" w:sz="0" w:space="0" w:color="auto"/>
      </w:divBdr>
    </w:div>
    <w:div w:id="896359558">
      <w:marLeft w:val="0"/>
      <w:marRight w:val="0"/>
      <w:marTop w:val="0"/>
      <w:marBottom w:val="0"/>
      <w:divBdr>
        <w:top w:val="none" w:sz="0" w:space="0" w:color="auto"/>
        <w:left w:val="none" w:sz="0" w:space="0" w:color="auto"/>
        <w:bottom w:val="none" w:sz="0" w:space="0" w:color="auto"/>
        <w:right w:val="none" w:sz="0" w:space="0" w:color="auto"/>
      </w:divBdr>
    </w:div>
    <w:div w:id="896941558">
      <w:marLeft w:val="0"/>
      <w:marRight w:val="0"/>
      <w:marTop w:val="0"/>
      <w:marBottom w:val="0"/>
      <w:divBdr>
        <w:top w:val="none" w:sz="0" w:space="0" w:color="auto"/>
        <w:left w:val="none" w:sz="0" w:space="0" w:color="auto"/>
        <w:bottom w:val="none" w:sz="0" w:space="0" w:color="auto"/>
        <w:right w:val="none" w:sz="0" w:space="0" w:color="auto"/>
      </w:divBdr>
    </w:div>
    <w:div w:id="897743759">
      <w:marLeft w:val="0"/>
      <w:marRight w:val="0"/>
      <w:marTop w:val="180"/>
      <w:marBottom w:val="180"/>
      <w:divBdr>
        <w:top w:val="none" w:sz="0" w:space="0" w:color="auto"/>
        <w:left w:val="none" w:sz="0" w:space="0" w:color="auto"/>
        <w:bottom w:val="none" w:sz="0" w:space="0" w:color="auto"/>
        <w:right w:val="none" w:sz="0" w:space="0" w:color="auto"/>
      </w:divBdr>
    </w:div>
    <w:div w:id="898828886">
      <w:marLeft w:val="0"/>
      <w:marRight w:val="0"/>
      <w:marTop w:val="0"/>
      <w:marBottom w:val="180"/>
      <w:divBdr>
        <w:top w:val="none" w:sz="0" w:space="0" w:color="auto"/>
        <w:left w:val="none" w:sz="0" w:space="0" w:color="auto"/>
        <w:bottom w:val="none" w:sz="0" w:space="0" w:color="auto"/>
        <w:right w:val="none" w:sz="0" w:space="0" w:color="auto"/>
      </w:divBdr>
    </w:div>
    <w:div w:id="900748021">
      <w:marLeft w:val="0"/>
      <w:marRight w:val="0"/>
      <w:marTop w:val="220"/>
      <w:marBottom w:val="180"/>
      <w:divBdr>
        <w:top w:val="none" w:sz="0" w:space="0" w:color="auto"/>
        <w:left w:val="none" w:sz="0" w:space="0" w:color="auto"/>
        <w:bottom w:val="none" w:sz="0" w:space="0" w:color="auto"/>
        <w:right w:val="none" w:sz="0" w:space="0" w:color="auto"/>
      </w:divBdr>
    </w:div>
    <w:div w:id="901448258">
      <w:marLeft w:val="0"/>
      <w:marRight w:val="0"/>
      <w:marTop w:val="0"/>
      <w:marBottom w:val="0"/>
      <w:divBdr>
        <w:top w:val="none" w:sz="0" w:space="0" w:color="auto"/>
        <w:left w:val="none" w:sz="0" w:space="0" w:color="auto"/>
        <w:bottom w:val="none" w:sz="0" w:space="0" w:color="auto"/>
        <w:right w:val="none" w:sz="0" w:space="0" w:color="auto"/>
      </w:divBdr>
      <w:divsChild>
        <w:div w:id="661591877">
          <w:marLeft w:val="0"/>
          <w:marRight w:val="0"/>
          <w:marTop w:val="0"/>
          <w:marBottom w:val="0"/>
          <w:divBdr>
            <w:top w:val="none" w:sz="0" w:space="0" w:color="auto"/>
            <w:left w:val="none" w:sz="0" w:space="0" w:color="auto"/>
            <w:bottom w:val="none" w:sz="0" w:space="0" w:color="auto"/>
            <w:right w:val="none" w:sz="0" w:space="0" w:color="auto"/>
          </w:divBdr>
        </w:div>
      </w:divsChild>
    </w:div>
    <w:div w:id="902566349">
      <w:marLeft w:val="0"/>
      <w:marRight w:val="0"/>
      <w:marTop w:val="180"/>
      <w:marBottom w:val="180"/>
      <w:divBdr>
        <w:top w:val="none" w:sz="0" w:space="0" w:color="auto"/>
        <w:left w:val="none" w:sz="0" w:space="0" w:color="auto"/>
        <w:bottom w:val="none" w:sz="0" w:space="0" w:color="auto"/>
        <w:right w:val="none" w:sz="0" w:space="0" w:color="auto"/>
      </w:divBdr>
    </w:div>
    <w:div w:id="902910313">
      <w:marLeft w:val="0"/>
      <w:marRight w:val="0"/>
      <w:marTop w:val="0"/>
      <w:marBottom w:val="0"/>
      <w:divBdr>
        <w:top w:val="none" w:sz="0" w:space="0" w:color="auto"/>
        <w:left w:val="none" w:sz="0" w:space="0" w:color="auto"/>
        <w:bottom w:val="none" w:sz="0" w:space="0" w:color="auto"/>
        <w:right w:val="none" w:sz="0" w:space="0" w:color="auto"/>
      </w:divBdr>
    </w:div>
    <w:div w:id="904146049">
      <w:marLeft w:val="0"/>
      <w:marRight w:val="0"/>
      <w:marTop w:val="0"/>
      <w:marBottom w:val="180"/>
      <w:divBdr>
        <w:top w:val="none" w:sz="0" w:space="0" w:color="auto"/>
        <w:left w:val="none" w:sz="0" w:space="0" w:color="auto"/>
        <w:bottom w:val="none" w:sz="0" w:space="0" w:color="auto"/>
        <w:right w:val="none" w:sz="0" w:space="0" w:color="auto"/>
      </w:divBdr>
    </w:div>
    <w:div w:id="904493248">
      <w:marLeft w:val="0"/>
      <w:marRight w:val="0"/>
      <w:marTop w:val="100"/>
      <w:marBottom w:val="180"/>
      <w:divBdr>
        <w:top w:val="none" w:sz="0" w:space="0" w:color="auto"/>
        <w:left w:val="none" w:sz="0" w:space="0" w:color="auto"/>
        <w:bottom w:val="none" w:sz="0" w:space="0" w:color="auto"/>
        <w:right w:val="none" w:sz="0" w:space="0" w:color="auto"/>
      </w:divBdr>
    </w:div>
    <w:div w:id="906258575">
      <w:marLeft w:val="0"/>
      <w:marRight w:val="0"/>
      <w:marTop w:val="0"/>
      <w:marBottom w:val="0"/>
      <w:divBdr>
        <w:top w:val="none" w:sz="0" w:space="0" w:color="auto"/>
        <w:left w:val="none" w:sz="0" w:space="0" w:color="auto"/>
        <w:bottom w:val="none" w:sz="0" w:space="0" w:color="auto"/>
        <w:right w:val="none" w:sz="0" w:space="0" w:color="auto"/>
      </w:divBdr>
      <w:divsChild>
        <w:div w:id="1420757608">
          <w:marLeft w:val="0"/>
          <w:marRight w:val="0"/>
          <w:marTop w:val="0"/>
          <w:marBottom w:val="0"/>
          <w:divBdr>
            <w:top w:val="none" w:sz="0" w:space="0" w:color="auto"/>
            <w:left w:val="none" w:sz="0" w:space="0" w:color="auto"/>
            <w:bottom w:val="none" w:sz="0" w:space="0" w:color="auto"/>
            <w:right w:val="none" w:sz="0" w:space="0" w:color="auto"/>
          </w:divBdr>
        </w:div>
      </w:divsChild>
    </w:div>
    <w:div w:id="909538730">
      <w:marLeft w:val="0"/>
      <w:marRight w:val="0"/>
      <w:marTop w:val="180"/>
      <w:marBottom w:val="180"/>
      <w:divBdr>
        <w:top w:val="none" w:sz="0" w:space="0" w:color="auto"/>
        <w:left w:val="none" w:sz="0" w:space="0" w:color="auto"/>
        <w:bottom w:val="none" w:sz="0" w:space="0" w:color="auto"/>
        <w:right w:val="none" w:sz="0" w:space="0" w:color="auto"/>
      </w:divBdr>
    </w:div>
    <w:div w:id="909927050">
      <w:marLeft w:val="0"/>
      <w:marRight w:val="0"/>
      <w:marTop w:val="180"/>
      <w:marBottom w:val="180"/>
      <w:divBdr>
        <w:top w:val="none" w:sz="0" w:space="0" w:color="auto"/>
        <w:left w:val="none" w:sz="0" w:space="0" w:color="auto"/>
        <w:bottom w:val="none" w:sz="0" w:space="0" w:color="auto"/>
        <w:right w:val="none" w:sz="0" w:space="0" w:color="auto"/>
      </w:divBdr>
    </w:div>
    <w:div w:id="910122049">
      <w:marLeft w:val="0"/>
      <w:marRight w:val="0"/>
      <w:marTop w:val="0"/>
      <w:marBottom w:val="0"/>
      <w:divBdr>
        <w:top w:val="none" w:sz="0" w:space="0" w:color="auto"/>
        <w:left w:val="none" w:sz="0" w:space="0" w:color="auto"/>
        <w:bottom w:val="none" w:sz="0" w:space="0" w:color="auto"/>
        <w:right w:val="none" w:sz="0" w:space="0" w:color="auto"/>
      </w:divBdr>
    </w:div>
    <w:div w:id="910850656">
      <w:marLeft w:val="0"/>
      <w:marRight w:val="0"/>
      <w:marTop w:val="0"/>
      <w:marBottom w:val="0"/>
      <w:divBdr>
        <w:top w:val="none" w:sz="0" w:space="0" w:color="auto"/>
        <w:left w:val="none" w:sz="0" w:space="0" w:color="auto"/>
        <w:bottom w:val="none" w:sz="0" w:space="0" w:color="auto"/>
        <w:right w:val="none" w:sz="0" w:space="0" w:color="auto"/>
      </w:divBdr>
    </w:div>
    <w:div w:id="911043121">
      <w:marLeft w:val="0"/>
      <w:marRight w:val="0"/>
      <w:marTop w:val="0"/>
      <w:marBottom w:val="0"/>
      <w:divBdr>
        <w:top w:val="none" w:sz="0" w:space="0" w:color="auto"/>
        <w:left w:val="none" w:sz="0" w:space="0" w:color="auto"/>
        <w:bottom w:val="none" w:sz="0" w:space="0" w:color="auto"/>
        <w:right w:val="none" w:sz="0" w:space="0" w:color="auto"/>
      </w:divBdr>
    </w:div>
    <w:div w:id="911354993">
      <w:marLeft w:val="0"/>
      <w:marRight w:val="0"/>
      <w:marTop w:val="100"/>
      <w:marBottom w:val="180"/>
      <w:divBdr>
        <w:top w:val="none" w:sz="0" w:space="0" w:color="auto"/>
        <w:left w:val="none" w:sz="0" w:space="0" w:color="auto"/>
        <w:bottom w:val="none" w:sz="0" w:space="0" w:color="auto"/>
        <w:right w:val="none" w:sz="0" w:space="0" w:color="auto"/>
      </w:divBdr>
    </w:div>
    <w:div w:id="912355384">
      <w:marLeft w:val="0"/>
      <w:marRight w:val="0"/>
      <w:marTop w:val="0"/>
      <w:marBottom w:val="0"/>
      <w:divBdr>
        <w:top w:val="none" w:sz="0" w:space="0" w:color="auto"/>
        <w:left w:val="none" w:sz="0" w:space="0" w:color="auto"/>
        <w:bottom w:val="none" w:sz="0" w:space="0" w:color="auto"/>
        <w:right w:val="none" w:sz="0" w:space="0" w:color="auto"/>
      </w:divBdr>
    </w:div>
    <w:div w:id="912617618">
      <w:marLeft w:val="0"/>
      <w:marRight w:val="0"/>
      <w:marTop w:val="0"/>
      <w:marBottom w:val="180"/>
      <w:divBdr>
        <w:top w:val="none" w:sz="0" w:space="0" w:color="auto"/>
        <w:left w:val="none" w:sz="0" w:space="0" w:color="auto"/>
        <w:bottom w:val="none" w:sz="0" w:space="0" w:color="auto"/>
        <w:right w:val="none" w:sz="0" w:space="0" w:color="auto"/>
      </w:divBdr>
    </w:div>
    <w:div w:id="914241200">
      <w:marLeft w:val="0"/>
      <w:marRight w:val="0"/>
      <w:marTop w:val="0"/>
      <w:marBottom w:val="180"/>
      <w:divBdr>
        <w:top w:val="none" w:sz="0" w:space="0" w:color="auto"/>
        <w:left w:val="none" w:sz="0" w:space="0" w:color="auto"/>
        <w:bottom w:val="none" w:sz="0" w:space="0" w:color="auto"/>
        <w:right w:val="none" w:sz="0" w:space="0" w:color="auto"/>
      </w:divBdr>
    </w:div>
    <w:div w:id="914781133">
      <w:marLeft w:val="0"/>
      <w:marRight w:val="0"/>
      <w:marTop w:val="0"/>
      <w:marBottom w:val="180"/>
      <w:divBdr>
        <w:top w:val="none" w:sz="0" w:space="0" w:color="auto"/>
        <w:left w:val="none" w:sz="0" w:space="0" w:color="auto"/>
        <w:bottom w:val="none" w:sz="0" w:space="0" w:color="auto"/>
        <w:right w:val="none" w:sz="0" w:space="0" w:color="auto"/>
      </w:divBdr>
    </w:div>
    <w:div w:id="914820329">
      <w:marLeft w:val="0"/>
      <w:marRight w:val="0"/>
      <w:marTop w:val="120"/>
      <w:marBottom w:val="240"/>
      <w:divBdr>
        <w:top w:val="none" w:sz="0" w:space="0" w:color="auto"/>
        <w:left w:val="none" w:sz="0" w:space="0" w:color="auto"/>
        <w:bottom w:val="none" w:sz="0" w:space="0" w:color="auto"/>
        <w:right w:val="none" w:sz="0" w:space="0" w:color="auto"/>
      </w:divBdr>
    </w:div>
    <w:div w:id="914900376">
      <w:marLeft w:val="0"/>
      <w:marRight w:val="0"/>
      <w:marTop w:val="0"/>
      <w:marBottom w:val="240"/>
      <w:divBdr>
        <w:top w:val="none" w:sz="0" w:space="0" w:color="auto"/>
        <w:left w:val="none" w:sz="0" w:space="0" w:color="auto"/>
        <w:bottom w:val="none" w:sz="0" w:space="0" w:color="auto"/>
        <w:right w:val="none" w:sz="0" w:space="0" w:color="auto"/>
      </w:divBdr>
    </w:div>
    <w:div w:id="916011805">
      <w:marLeft w:val="0"/>
      <w:marRight w:val="0"/>
      <w:marTop w:val="180"/>
      <w:marBottom w:val="180"/>
      <w:divBdr>
        <w:top w:val="none" w:sz="0" w:space="0" w:color="auto"/>
        <w:left w:val="none" w:sz="0" w:space="0" w:color="auto"/>
        <w:bottom w:val="none" w:sz="0" w:space="0" w:color="auto"/>
        <w:right w:val="none" w:sz="0" w:space="0" w:color="auto"/>
      </w:divBdr>
    </w:div>
    <w:div w:id="916474290">
      <w:marLeft w:val="0"/>
      <w:marRight w:val="0"/>
      <w:marTop w:val="0"/>
      <w:marBottom w:val="0"/>
      <w:divBdr>
        <w:top w:val="none" w:sz="0" w:space="0" w:color="auto"/>
        <w:left w:val="none" w:sz="0" w:space="0" w:color="auto"/>
        <w:bottom w:val="none" w:sz="0" w:space="0" w:color="auto"/>
        <w:right w:val="none" w:sz="0" w:space="0" w:color="auto"/>
      </w:divBdr>
      <w:divsChild>
        <w:div w:id="827936822">
          <w:marLeft w:val="0"/>
          <w:marRight w:val="0"/>
          <w:marTop w:val="0"/>
          <w:marBottom w:val="0"/>
          <w:divBdr>
            <w:top w:val="none" w:sz="0" w:space="0" w:color="auto"/>
            <w:left w:val="none" w:sz="0" w:space="0" w:color="auto"/>
            <w:bottom w:val="none" w:sz="0" w:space="0" w:color="auto"/>
            <w:right w:val="none" w:sz="0" w:space="0" w:color="auto"/>
          </w:divBdr>
        </w:div>
      </w:divsChild>
    </w:div>
    <w:div w:id="916553323">
      <w:marLeft w:val="0"/>
      <w:marRight w:val="0"/>
      <w:marTop w:val="0"/>
      <w:marBottom w:val="240"/>
      <w:divBdr>
        <w:top w:val="none" w:sz="0" w:space="0" w:color="auto"/>
        <w:left w:val="none" w:sz="0" w:space="0" w:color="auto"/>
        <w:bottom w:val="none" w:sz="0" w:space="0" w:color="auto"/>
        <w:right w:val="none" w:sz="0" w:space="0" w:color="auto"/>
      </w:divBdr>
    </w:div>
    <w:div w:id="916599973">
      <w:marLeft w:val="0"/>
      <w:marRight w:val="0"/>
      <w:marTop w:val="0"/>
      <w:marBottom w:val="240"/>
      <w:divBdr>
        <w:top w:val="none" w:sz="0" w:space="0" w:color="auto"/>
        <w:left w:val="none" w:sz="0" w:space="0" w:color="auto"/>
        <w:bottom w:val="none" w:sz="0" w:space="0" w:color="auto"/>
        <w:right w:val="none" w:sz="0" w:space="0" w:color="auto"/>
      </w:divBdr>
    </w:div>
    <w:div w:id="916859330">
      <w:marLeft w:val="0"/>
      <w:marRight w:val="0"/>
      <w:marTop w:val="0"/>
      <w:marBottom w:val="240"/>
      <w:divBdr>
        <w:top w:val="none" w:sz="0" w:space="0" w:color="auto"/>
        <w:left w:val="none" w:sz="0" w:space="0" w:color="auto"/>
        <w:bottom w:val="none" w:sz="0" w:space="0" w:color="auto"/>
        <w:right w:val="none" w:sz="0" w:space="0" w:color="auto"/>
      </w:divBdr>
    </w:div>
    <w:div w:id="917178738">
      <w:marLeft w:val="0"/>
      <w:marRight w:val="0"/>
      <w:marTop w:val="0"/>
      <w:marBottom w:val="240"/>
      <w:divBdr>
        <w:top w:val="none" w:sz="0" w:space="0" w:color="auto"/>
        <w:left w:val="none" w:sz="0" w:space="0" w:color="auto"/>
        <w:bottom w:val="none" w:sz="0" w:space="0" w:color="auto"/>
        <w:right w:val="none" w:sz="0" w:space="0" w:color="auto"/>
      </w:divBdr>
    </w:div>
    <w:div w:id="918104234">
      <w:marLeft w:val="0"/>
      <w:marRight w:val="0"/>
      <w:marTop w:val="0"/>
      <w:marBottom w:val="0"/>
      <w:divBdr>
        <w:top w:val="none" w:sz="0" w:space="0" w:color="auto"/>
        <w:left w:val="none" w:sz="0" w:space="0" w:color="auto"/>
        <w:bottom w:val="none" w:sz="0" w:space="0" w:color="auto"/>
        <w:right w:val="none" w:sz="0" w:space="0" w:color="auto"/>
      </w:divBdr>
    </w:div>
    <w:div w:id="919172167">
      <w:marLeft w:val="0"/>
      <w:marRight w:val="0"/>
      <w:marTop w:val="0"/>
      <w:marBottom w:val="0"/>
      <w:divBdr>
        <w:top w:val="none" w:sz="0" w:space="0" w:color="auto"/>
        <w:left w:val="none" w:sz="0" w:space="0" w:color="auto"/>
        <w:bottom w:val="none" w:sz="0" w:space="0" w:color="auto"/>
        <w:right w:val="none" w:sz="0" w:space="0" w:color="auto"/>
      </w:divBdr>
      <w:divsChild>
        <w:div w:id="554439259">
          <w:marLeft w:val="0"/>
          <w:marRight w:val="0"/>
          <w:marTop w:val="0"/>
          <w:marBottom w:val="0"/>
          <w:divBdr>
            <w:top w:val="none" w:sz="0" w:space="0" w:color="auto"/>
            <w:left w:val="none" w:sz="0" w:space="0" w:color="auto"/>
            <w:bottom w:val="none" w:sz="0" w:space="0" w:color="auto"/>
            <w:right w:val="none" w:sz="0" w:space="0" w:color="auto"/>
          </w:divBdr>
        </w:div>
      </w:divsChild>
    </w:div>
    <w:div w:id="919339179">
      <w:marLeft w:val="0"/>
      <w:marRight w:val="0"/>
      <w:marTop w:val="100"/>
      <w:marBottom w:val="0"/>
      <w:divBdr>
        <w:top w:val="none" w:sz="0" w:space="0" w:color="auto"/>
        <w:left w:val="none" w:sz="0" w:space="0" w:color="auto"/>
        <w:bottom w:val="none" w:sz="0" w:space="0" w:color="auto"/>
        <w:right w:val="none" w:sz="0" w:space="0" w:color="auto"/>
      </w:divBdr>
    </w:div>
    <w:div w:id="919681823">
      <w:marLeft w:val="0"/>
      <w:marRight w:val="0"/>
      <w:marTop w:val="0"/>
      <w:marBottom w:val="180"/>
      <w:divBdr>
        <w:top w:val="none" w:sz="0" w:space="0" w:color="auto"/>
        <w:left w:val="none" w:sz="0" w:space="0" w:color="auto"/>
        <w:bottom w:val="none" w:sz="0" w:space="0" w:color="auto"/>
        <w:right w:val="none" w:sz="0" w:space="0" w:color="auto"/>
      </w:divBdr>
    </w:div>
    <w:div w:id="919828104">
      <w:marLeft w:val="0"/>
      <w:marRight w:val="0"/>
      <w:marTop w:val="0"/>
      <w:marBottom w:val="0"/>
      <w:divBdr>
        <w:top w:val="none" w:sz="0" w:space="0" w:color="auto"/>
        <w:left w:val="none" w:sz="0" w:space="0" w:color="auto"/>
        <w:bottom w:val="none" w:sz="0" w:space="0" w:color="auto"/>
        <w:right w:val="none" w:sz="0" w:space="0" w:color="auto"/>
      </w:divBdr>
    </w:div>
    <w:div w:id="923149985">
      <w:marLeft w:val="0"/>
      <w:marRight w:val="0"/>
      <w:marTop w:val="0"/>
      <w:marBottom w:val="240"/>
      <w:divBdr>
        <w:top w:val="none" w:sz="0" w:space="0" w:color="auto"/>
        <w:left w:val="none" w:sz="0" w:space="0" w:color="auto"/>
        <w:bottom w:val="none" w:sz="0" w:space="0" w:color="auto"/>
        <w:right w:val="none" w:sz="0" w:space="0" w:color="auto"/>
      </w:divBdr>
    </w:div>
    <w:div w:id="923296653">
      <w:marLeft w:val="0"/>
      <w:marRight w:val="0"/>
      <w:marTop w:val="0"/>
      <w:marBottom w:val="0"/>
      <w:divBdr>
        <w:top w:val="none" w:sz="0" w:space="0" w:color="auto"/>
        <w:left w:val="none" w:sz="0" w:space="0" w:color="auto"/>
        <w:bottom w:val="none" w:sz="0" w:space="0" w:color="auto"/>
        <w:right w:val="none" w:sz="0" w:space="0" w:color="auto"/>
      </w:divBdr>
    </w:div>
    <w:div w:id="923537535">
      <w:marLeft w:val="0"/>
      <w:marRight w:val="0"/>
      <w:marTop w:val="0"/>
      <w:marBottom w:val="240"/>
      <w:divBdr>
        <w:top w:val="none" w:sz="0" w:space="0" w:color="auto"/>
        <w:left w:val="none" w:sz="0" w:space="0" w:color="auto"/>
        <w:bottom w:val="none" w:sz="0" w:space="0" w:color="auto"/>
        <w:right w:val="none" w:sz="0" w:space="0" w:color="auto"/>
      </w:divBdr>
    </w:div>
    <w:div w:id="925303022">
      <w:marLeft w:val="0"/>
      <w:marRight w:val="0"/>
      <w:marTop w:val="0"/>
      <w:marBottom w:val="240"/>
      <w:divBdr>
        <w:top w:val="none" w:sz="0" w:space="0" w:color="auto"/>
        <w:left w:val="none" w:sz="0" w:space="0" w:color="auto"/>
        <w:bottom w:val="none" w:sz="0" w:space="0" w:color="auto"/>
        <w:right w:val="none" w:sz="0" w:space="0" w:color="auto"/>
      </w:divBdr>
    </w:div>
    <w:div w:id="925384107">
      <w:marLeft w:val="0"/>
      <w:marRight w:val="0"/>
      <w:marTop w:val="0"/>
      <w:marBottom w:val="240"/>
      <w:divBdr>
        <w:top w:val="none" w:sz="0" w:space="0" w:color="auto"/>
        <w:left w:val="none" w:sz="0" w:space="0" w:color="auto"/>
        <w:bottom w:val="none" w:sz="0" w:space="0" w:color="auto"/>
        <w:right w:val="none" w:sz="0" w:space="0" w:color="auto"/>
      </w:divBdr>
    </w:div>
    <w:div w:id="925502764">
      <w:marLeft w:val="0"/>
      <w:marRight w:val="0"/>
      <w:marTop w:val="0"/>
      <w:marBottom w:val="180"/>
      <w:divBdr>
        <w:top w:val="none" w:sz="0" w:space="0" w:color="auto"/>
        <w:left w:val="none" w:sz="0" w:space="0" w:color="auto"/>
        <w:bottom w:val="none" w:sz="0" w:space="0" w:color="auto"/>
        <w:right w:val="none" w:sz="0" w:space="0" w:color="auto"/>
      </w:divBdr>
    </w:div>
    <w:div w:id="925577845">
      <w:marLeft w:val="0"/>
      <w:marRight w:val="0"/>
      <w:marTop w:val="0"/>
      <w:marBottom w:val="0"/>
      <w:divBdr>
        <w:top w:val="none" w:sz="0" w:space="0" w:color="auto"/>
        <w:left w:val="none" w:sz="0" w:space="0" w:color="auto"/>
        <w:bottom w:val="none" w:sz="0" w:space="0" w:color="auto"/>
        <w:right w:val="none" w:sz="0" w:space="0" w:color="auto"/>
      </w:divBdr>
    </w:div>
    <w:div w:id="926155210">
      <w:marLeft w:val="0"/>
      <w:marRight w:val="0"/>
      <w:marTop w:val="120"/>
      <w:marBottom w:val="180"/>
      <w:divBdr>
        <w:top w:val="none" w:sz="0" w:space="0" w:color="auto"/>
        <w:left w:val="none" w:sz="0" w:space="0" w:color="auto"/>
        <w:bottom w:val="none" w:sz="0" w:space="0" w:color="auto"/>
        <w:right w:val="none" w:sz="0" w:space="0" w:color="auto"/>
      </w:divBdr>
    </w:div>
    <w:div w:id="927614252">
      <w:marLeft w:val="0"/>
      <w:marRight w:val="0"/>
      <w:marTop w:val="0"/>
      <w:marBottom w:val="180"/>
      <w:divBdr>
        <w:top w:val="none" w:sz="0" w:space="0" w:color="auto"/>
        <w:left w:val="none" w:sz="0" w:space="0" w:color="auto"/>
        <w:bottom w:val="none" w:sz="0" w:space="0" w:color="auto"/>
        <w:right w:val="none" w:sz="0" w:space="0" w:color="auto"/>
      </w:divBdr>
    </w:div>
    <w:div w:id="928270874">
      <w:marLeft w:val="0"/>
      <w:marRight w:val="0"/>
      <w:marTop w:val="180"/>
      <w:marBottom w:val="180"/>
      <w:divBdr>
        <w:top w:val="none" w:sz="0" w:space="0" w:color="auto"/>
        <w:left w:val="none" w:sz="0" w:space="0" w:color="auto"/>
        <w:bottom w:val="none" w:sz="0" w:space="0" w:color="auto"/>
        <w:right w:val="none" w:sz="0" w:space="0" w:color="auto"/>
      </w:divBdr>
    </w:div>
    <w:div w:id="928928708">
      <w:marLeft w:val="0"/>
      <w:marRight w:val="0"/>
      <w:marTop w:val="0"/>
      <w:marBottom w:val="240"/>
      <w:divBdr>
        <w:top w:val="none" w:sz="0" w:space="0" w:color="auto"/>
        <w:left w:val="none" w:sz="0" w:space="0" w:color="auto"/>
        <w:bottom w:val="none" w:sz="0" w:space="0" w:color="auto"/>
        <w:right w:val="none" w:sz="0" w:space="0" w:color="auto"/>
      </w:divBdr>
    </w:div>
    <w:div w:id="929658174">
      <w:marLeft w:val="0"/>
      <w:marRight w:val="0"/>
      <w:marTop w:val="120"/>
      <w:marBottom w:val="120"/>
      <w:divBdr>
        <w:top w:val="none" w:sz="0" w:space="0" w:color="auto"/>
        <w:left w:val="none" w:sz="0" w:space="0" w:color="auto"/>
        <w:bottom w:val="none" w:sz="0" w:space="0" w:color="auto"/>
        <w:right w:val="none" w:sz="0" w:space="0" w:color="auto"/>
      </w:divBdr>
    </w:div>
    <w:div w:id="930284869">
      <w:marLeft w:val="0"/>
      <w:marRight w:val="0"/>
      <w:marTop w:val="0"/>
      <w:marBottom w:val="240"/>
      <w:divBdr>
        <w:top w:val="none" w:sz="0" w:space="0" w:color="auto"/>
        <w:left w:val="none" w:sz="0" w:space="0" w:color="auto"/>
        <w:bottom w:val="none" w:sz="0" w:space="0" w:color="auto"/>
        <w:right w:val="none" w:sz="0" w:space="0" w:color="auto"/>
      </w:divBdr>
    </w:div>
    <w:div w:id="930510921">
      <w:marLeft w:val="0"/>
      <w:marRight w:val="0"/>
      <w:marTop w:val="0"/>
      <w:marBottom w:val="0"/>
      <w:divBdr>
        <w:top w:val="none" w:sz="0" w:space="0" w:color="auto"/>
        <w:left w:val="none" w:sz="0" w:space="0" w:color="auto"/>
        <w:bottom w:val="none" w:sz="0" w:space="0" w:color="auto"/>
        <w:right w:val="none" w:sz="0" w:space="0" w:color="auto"/>
      </w:divBdr>
      <w:divsChild>
        <w:div w:id="1290092833">
          <w:marLeft w:val="0"/>
          <w:marRight w:val="0"/>
          <w:marTop w:val="0"/>
          <w:marBottom w:val="0"/>
          <w:divBdr>
            <w:top w:val="none" w:sz="0" w:space="0" w:color="auto"/>
            <w:left w:val="none" w:sz="0" w:space="0" w:color="auto"/>
            <w:bottom w:val="none" w:sz="0" w:space="0" w:color="auto"/>
            <w:right w:val="none" w:sz="0" w:space="0" w:color="auto"/>
          </w:divBdr>
        </w:div>
      </w:divsChild>
    </w:div>
    <w:div w:id="930546519">
      <w:marLeft w:val="0"/>
      <w:marRight w:val="0"/>
      <w:marTop w:val="0"/>
      <w:marBottom w:val="240"/>
      <w:divBdr>
        <w:top w:val="none" w:sz="0" w:space="0" w:color="auto"/>
        <w:left w:val="none" w:sz="0" w:space="0" w:color="auto"/>
        <w:bottom w:val="none" w:sz="0" w:space="0" w:color="auto"/>
        <w:right w:val="none" w:sz="0" w:space="0" w:color="auto"/>
      </w:divBdr>
    </w:div>
    <w:div w:id="931082413">
      <w:marLeft w:val="0"/>
      <w:marRight w:val="0"/>
      <w:marTop w:val="120"/>
      <w:marBottom w:val="120"/>
      <w:divBdr>
        <w:top w:val="none" w:sz="0" w:space="0" w:color="auto"/>
        <w:left w:val="none" w:sz="0" w:space="0" w:color="auto"/>
        <w:bottom w:val="none" w:sz="0" w:space="0" w:color="auto"/>
        <w:right w:val="none" w:sz="0" w:space="0" w:color="auto"/>
      </w:divBdr>
    </w:div>
    <w:div w:id="932249787">
      <w:marLeft w:val="0"/>
      <w:marRight w:val="0"/>
      <w:marTop w:val="120"/>
      <w:marBottom w:val="240"/>
      <w:divBdr>
        <w:top w:val="none" w:sz="0" w:space="0" w:color="auto"/>
        <w:left w:val="none" w:sz="0" w:space="0" w:color="auto"/>
        <w:bottom w:val="none" w:sz="0" w:space="0" w:color="auto"/>
        <w:right w:val="none" w:sz="0" w:space="0" w:color="auto"/>
      </w:divBdr>
    </w:div>
    <w:div w:id="933130868">
      <w:marLeft w:val="0"/>
      <w:marRight w:val="0"/>
      <w:marTop w:val="0"/>
      <w:marBottom w:val="180"/>
      <w:divBdr>
        <w:top w:val="none" w:sz="0" w:space="0" w:color="auto"/>
        <w:left w:val="none" w:sz="0" w:space="0" w:color="auto"/>
        <w:bottom w:val="none" w:sz="0" w:space="0" w:color="auto"/>
        <w:right w:val="none" w:sz="0" w:space="0" w:color="auto"/>
      </w:divBdr>
    </w:div>
    <w:div w:id="933199129">
      <w:marLeft w:val="0"/>
      <w:marRight w:val="0"/>
      <w:marTop w:val="0"/>
      <w:marBottom w:val="0"/>
      <w:divBdr>
        <w:top w:val="none" w:sz="0" w:space="0" w:color="auto"/>
        <w:left w:val="none" w:sz="0" w:space="0" w:color="auto"/>
        <w:bottom w:val="none" w:sz="0" w:space="0" w:color="auto"/>
        <w:right w:val="none" w:sz="0" w:space="0" w:color="auto"/>
      </w:divBdr>
    </w:div>
    <w:div w:id="934048945">
      <w:marLeft w:val="0"/>
      <w:marRight w:val="0"/>
      <w:marTop w:val="0"/>
      <w:marBottom w:val="240"/>
      <w:divBdr>
        <w:top w:val="none" w:sz="0" w:space="0" w:color="auto"/>
        <w:left w:val="none" w:sz="0" w:space="0" w:color="auto"/>
        <w:bottom w:val="none" w:sz="0" w:space="0" w:color="auto"/>
        <w:right w:val="none" w:sz="0" w:space="0" w:color="auto"/>
      </w:divBdr>
    </w:div>
    <w:div w:id="934243214">
      <w:marLeft w:val="0"/>
      <w:marRight w:val="0"/>
      <w:marTop w:val="0"/>
      <w:marBottom w:val="240"/>
      <w:divBdr>
        <w:top w:val="none" w:sz="0" w:space="0" w:color="auto"/>
        <w:left w:val="none" w:sz="0" w:space="0" w:color="auto"/>
        <w:bottom w:val="none" w:sz="0" w:space="0" w:color="auto"/>
        <w:right w:val="none" w:sz="0" w:space="0" w:color="auto"/>
      </w:divBdr>
    </w:div>
    <w:div w:id="934436775">
      <w:marLeft w:val="0"/>
      <w:marRight w:val="0"/>
      <w:marTop w:val="0"/>
      <w:marBottom w:val="0"/>
      <w:divBdr>
        <w:top w:val="none" w:sz="0" w:space="0" w:color="auto"/>
        <w:left w:val="none" w:sz="0" w:space="0" w:color="auto"/>
        <w:bottom w:val="none" w:sz="0" w:space="0" w:color="auto"/>
        <w:right w:val="none" w:sz="0" w:space="0" w:color="auto"/>
      </w:divBdr>
    </w:div>
    <w:div w:id="935406050">
      <w:marLeft w:val="0"/>
      <w:marRight w:val="0"/>
      <w:marTop w:val="0"/>
      <w:marBottom w:val="240"/>
      <w:divBdr>
        <w:top w:val="none" w:sz="0" w:space="0" w:color="auto"/>
        <w:left w:val="none" w:sz="0" w:space="0" w:color="auto"/>
        <w:bottom w:val="none" w:sz="0" w:space="0" w:color="auto"/>
        <w:right w:val="none" w:sz="0" w:space="0" w:color="auto"/>
      </w:divBdr>
    </w:div>
    <w:div w:id="935671252">
      <w:marLeft w:val="0"/>
      <w:marRight w:val="0"/>
      <w:marTop w:val="0"/>
      <w:marBottom w:val="180"/>
      <w:divBdr>
        <w:top w:val="none" w:sz="0" w:space="0" w:color="auto"/>
        <w:left w:val="none" w:sz="0" w:space="0" w:color="auto"/>
        <w:bottom w:val="none" w:sz="0" w:space="0" w:color="auto"/>
        <w:right w:val="none" w:sz="0" w:space="0" w:color="auto"/>
      </w:divBdr>
    </w:div>
    <w:div w:id="936983919">
      <w:marLeft w:val="0"/>
      <w:marRight w:val="0"/>
      <w:marTop w:val="0"/>
      <w:marBottom w:val="240"/>
      <w:divBdr>
        <w:top w:val="none" w:sz="0" w:space="0" w:color="auto"/>
        <w:left w:val="none" w:sz="0" w:space="0" w:color="auto"/>
        <w:bottom w:val="none" w:sz="0" w:space="0" w:color="auto"/>
        <w:right w:val="none" w:sz="0" w:space="0" w:color="auto"/>
      </w:divBdr>
    </w:div>
    <w:div w:id="937523940">
      <w:marLeft w:val="0"/>
      <w:marRight w:val="0"/>
      <w:marTop w:val="0"/>
      <w:marBottom w:val="240"/>
      <w:divBdr>
        <w:top w:val="none" w:sz="0" w:space="0" w:color="auto"/>
        <w:left w:val="none" w:sz="0" w:space="0" w:color="auto"/>
        <w:bottom w:val="none" w:sz="0" w:space="0" w:color="auto"/>
        <w:right w:val="none" w:sz="0" w:space="0" w:color="auto"/>
      </w:divBdr>
    </w:div>
    <w:div w:id="938416719">
      <w:marLeft w:val="0"/>
      <w:marRight w:val="0"/>
      <w:marTop w:val="100"/>
      <w:marBottom w:val="0"/>
      <w:divBdr>
        <w:top w:val="none" w:sz="0" w:space="0" w:color="auto"/>
        <w:left w:val="none" w:sz="0" w:space="0" w:color="auto"/>
        <w:bottom w:val="none" w:sz="0" w:space="0" w:color="auto"/>
        <w:right w:val="none" w:sz="0" w:space="0" w:color="auto"/>
      </w:divBdr>
      <w:divsChild>
        <w:div w:id="1490947329">
          <w:marLeft w:val="0"/>
          <w:marRight w:val="0"/>
          <w:marTop w:val="0"/>
          <w:marBottom w:val="0"/>
          <w:divBdr>
            <w:top w:val="none" w:sz="0" w:space="0" w:color="auto"/>
            <w:left w:val="none" w:sz="0" w:space="0" w:color="auto"/>
            <w:bottom w:val="none" w:sz="0" w:space="0" w:color="auto"/>
            <w:right w:val="none" w:sz="0" w:space="0" w:color="auto"/>
          </w:divBdr>
        </w:div>
        <w:div w:id="1566605305">
          <w:marLeft w:val="0"/>
          <w:marRight w:val="0"/>
          <w:marTop w:val="0"/>
          <w:marBottom w:val="0"/>
          <w:divBdr>
            <w:top w:val="none" w:sz="0" w:space="0" w:color="auto"/>
            <w:left w:val="none" w:sz="0" w:space="0" w:color="auto"/>
            <w:bottom w:val="none" w:sz="0" w:space="0" w:color="auto"/>
            <w:right w:val="none" w:sz="0" w:space="0" w:color="auto"/>
          </w:divBdr>
        </w:div>
      </w:divsChild>
    </w:div>
    <w:div w:id="938871737">
      <w:marLeft w:val="0"/>
      <w:marRight w:val="0"/>
      <w:marTop w:val="0"/>
      <w:marBottom w:val="0"/>
      <w:divBdr>
        <w:top w:val="none" w:sz="0" w:space="0" w:color="auto"/>
        <w:left w:val="none" w:sz="0" w:space="0" w:color="auto"/>
        <w:bottom w:val="none" w:sz="0" w:space="0" w:color="auto"/>
        <w:right w:val="none" w:sz="0" w:space="0" w:color="auto"/>
      </w:divBdr>
    </w:div>
    <w:div w:id="938874279">
      <w:marLeft w:val="0"/>
      <w:marRight w:val="0"/>
      <w:marTop w:val="0"/>
      <w:marBottom w:val="0"/>
      <w:divBdr>
        <w:top w:val="none" w:sz="0" w:space="0" w:color="auto"/>
        <w:left w:val="none" w:sz="0" w:space="0" w:color="auto"/>
        <w:bottom w:val="none" w:sz="0" w:space="0" w:color="auto"/>
        <w:right w:val="none" w:sz="0" w:space="0" w:color="auto"/>
      </w:divBdr>
    </w:div>
    <w:div w:id="939414476">
      <w:marLeft w:val="0"/>
      <w:marRight w:val="0"/>
      <w:marTop w:val="180"/>
      <w:marBottom w:val="180"/>
      <w:divBdr>
        <w:top w:val="none" w:sz="0" w:space="0" w:color="auto"/>
        <w:left w:val="none" w:sz="0" w:space="0" w:color="auto"/>
        <w:bottom w:val="none" w:sz="0" w:space="0" w:color="auto"/>
        <w:right w:val="none" w:sz="0" w:space="0" w:color="auto"/>
      </w:divBdr>
    </w:div>
    <w:div w:id="940601861">
      <w:marLeft w:val="0"/>
      <w:marRight w:val="0"/>
      <w:marTop w:val="0"/>
      <w:marBottom w:val="180"/>
      <w:divBdr>
        <w:top w:val="none" w:sz="0" w:space="0" w:color="auto"/>
        <w:left w:val="none" w:sz="0" w:space="0" w:color="auto"/>
        <w:bottom w:val="none" w:sz="0" w:space="0" w:color="auto"/>
        <w:right w:val="none" w:sz="0" w:space="0" w:color="auto"/>
      </w:divBdr>
    </w:div>
    <w:div w:id="940727099">
      <w:marLeft w:val="0"/>
      <w:marRight w:val="0"/>
      <w:marTop w:val="180"/>
      <w:marBottom w:val="180"/>
      <w:divBdr>
        <w:top w:val="none" w:sz="0" w:space="0" w:color="auto"/>
        <w:left w:val="none" w:sz="0" w:space="0" w:color="auto"/>
        <w:bottom w:val="none" w:sz="0" w:space="0" w:color="auto"/>
        <w:right w:val="none" w:sz="0" w:space="0" w:color="auto"/>
      </w:divBdr>
    </w:div>
    <w:div w:id="940841747">
      <w:marLeft w:val="0"/>
      <w:marRight w:val="0"/>
      <w:marTop w:val="0"/>
      <w:marBottom w:val="240"/>
      <w:divBdr>
        <w:top w:val="none" w:sz="0" w:space="0" w:color="auto"/>
        <w:left w:val="none" w:sz="0" w:space="0" w:color="auto"/>
        <w:bottom w:val="none" w:sz="0" w:space="0" w:color="auto"/>
        <w:right w:val="none" w:sz="0" w:space="0" w:color="auto"/>
      </w:divBdr>
    </w:div>
    <w:div w:id="941575450">
      <w:marLeft w:val="0"/>
      <w:marRight w:val="0"/>
      <w:marTop w:val="100"/>
      <w:marBottom w:val="240"/>
      <w:divBdr>
        <w:top w:val="none" w:sz="0" w:space="0" w:color="auto"/>
        <w:left w:val="none" w:sz="0" w:space="0" w:color="auto"/>
        <w:bottom w:val="none" w:sz="0" w:space="0" w:color="auto"/>
        <w:right w:val="none" w:sz="0" w:space="0" w:color="auto"/>
      </w:divBdr>
    </w:div>
    <w:div w:id="942106091">
      <w:marLeft w:val="0"/>
      <w:marRight w:val="0"/>
      <w:marTop w:val="180"/>
      <w:marBottom w:val="180"/>
      <w:divBdr>
        <w:top w:val="none" w:sz="0" w:space="0" w:color="auto"/>
        <w:left w:val="none" w:sz="0" w:space="0" w:color="auto"/>
        <w:bottom w:val="none" w:sz="0" w:space="0" w:color="auto"/>
        <w:right w:val="none" w:sz="0" w:space="0" w:color="auto"/>
      </w:divBdr>
    </w:div>
    <w:div w:id="942999785">
      <w:marLeft w:val="0"/>
      <w:marRight w:val="0"/>
      <w:marTop w:val="0"/>
      <w:marBottom w:val="240"/>
      <w:divBdr>
        <w:top w:val="none" w:sz="0" w:space="0" w:color="auto"/>
        <w:left w:val="none" w:sz="0" w:space="0" w:color="auto"/>
        <w:bottom w:val="none" w:sz="0" w:space="0" w:color="auto"/>
        <w:right w:val="none" w:sz="0" w:space="0" w:color="auto"/>
      </w:divBdr>
    </w:div>
    <w:div w:id="944117689">
      <w:marLeft w:val="0"/>
      <w:marRight w:val="0"/>
      <w:marTop w:val="180"/>
      <w:marBottom w:val="180"/>
      <w:divBdr>
        <w:top w:val="none" w:sz="0" w:space="0" w:color="auto"/>
        <w:left w:val="none" w:sz="0" w:space="0" w:color="auto"/>
        <w:bottom w:val="none" w:sz="0" w:space="0" w:color="auto"/>
        <w:right w:val="none" w:sz="0" w:space="0" w:color="auto"/>
      </w:divBdr>
    </w:div>
    <w:div w:id="944727377">
      <w:marLeft w:val="0"/>
      <w:marRight w:val="0"/>
      <w:marTop w:val="0"/>
      <w:marBottom w:val="240"/>
      <w:divBdr>
        <w:top w:val="none" w:sz="0" w:space="0" w:color="auto"/>
        <w:left w:val="none" w:sz="0" w:space="0" w:color="auto"/>
        <w:bottom w:val="none" w:sz="0" w:space="0" w:color="auto"/>
        <w:right w:val="none" w:sz="0" w:space="0" w:color="auto"/>
      </w:divBdr>
    </w:div>
    <w:div w:id="944924977">
      <w:marLeft w:val="0"/>
      <w:marRight w:val="0"/>
      <w:marTop w:val="0"/>
      <w:marBottom w:val="0"/>
      <w:divBdr>
        <w:top w:val="none" w:sz="0" w:space="0" w:color="auto"/>
        <w:left w:val="none" w:sz="0" w:space="0" w:color="auto"/>
        <w:bottom w:val="none" w:sz="0" w:space="0" w:color="auto"/>
        <w:right w:val="none" w:sz="0" w:space="0" w:color="auto"/>
      </w:divBdr>
    </w:div>
    <w:div w:id="946162917">
      <w:marLeft w:val="0"/>
      <w:marRight w:val="0"/>
      <w:marTop w:val="60"/>
      <w:marBottom w:val="0"/>
      <w:divBdr>
        <w:top w:val="none" w:sz="0" w:space="0" w:color="auto"/>
        <w:left w:val="none" w:sz="0" w:space="0" w:color="auto"/>
        <w:bottom w:val="none" w:sz="0" w:space="0" w:color="auto"/>
        <w:right w:val="none" w:sz="0" w:space="0" w:color="auto"/>
      </w:divBdr>
    </w:div>
    <w:div w:id="946960744">
      <w:marLeft w:val="0"/>
      <w:marRight w:val="0"/>
      <w:marTop w:val="0"/>
      <w:marBottom w:val="240"/>
      <w:divBdr>
        <w:top w:val="none" w:sz="0" w:space="0" w:color="auto"/>
        <w:left w:val="none" w:sz="0" w:space="0" w:color="auto"/>
        <w:bottom w:val="none" w:sz="0" w:space="0" w:color="auto"/>
        <w:right w:val="none" w:sz="0" w:space="0" w:color="auto"/>
      </w:divBdr>
    </w:div>
    <w:div w:id="948584346">
      <w:marLeft w:val="0"/>
      <w:marRight w:val="0"/>
      <w:marTop w:val="0"/>
      <w:marBottom w:val="0"/>
      <w:divBdr>
        <w:top w:val="none" w:sz="0" w:space="0" w:color="auto"/>
        <w:left w:val="none" w:sz="0" w:space="0" w:color="auto"/>
        <w:bottom w:val="none" w:sz="0" w:space="0" w:color="auto"/>
        <w:right w:val="none" w:sz="0" w:space="0" w:color="auto"/>
      </w:divBdr>
    </w:div>
    <w:div w:id="948707241">
      <w:marLeft w:val="0"/>
      <w:marRight w:val="0"/>
      <w:marTop w:val="0"/>
      <w:marBottom w:val="180"/>
      <w:divBdr>
        <w:top w:val="none" w:sz="0" w:space="0" w:color="auto"/>
        <w:left w:val="none" w:sz="0" w:space="0" w:color="auto"/>
        <w:bottom w:val="none" w:sz="0" w:space="0" w:color="auto"/>
        <w:right w:val="none" w:sz="0" w:space="0" w:color="auto"/>
      </w:divBdr>
    </w:div>
    <w:div w:id="948781318">
      <w:marLeft w:val="0"/>
      <w:marRight w:val="0"/>
      <w:marTop w:val="0"/>
      <w:marBottom w:val="240"/>
      <w:divBdr>
        <w:top w:val="none" w:sz="0" w:space="0" w:color="auto"/>
        <w:left w:val="none" w:sz="0" w:space="0" w:color="auto"/>
        <w:bottom w:val="none" w:sz="0" w:space="0" w:color="auto"/>
        <w:right w:val="none" w:sz="0" w:space="0" w:color="auto"/>
      </w:divBdr>
    </w:div>
    <w:div w:id="948782061">
      <w:marLeft w:val="0"/>
      <w:marRight w:val="0"/>
      <w:marTop w:val="0"/>
      <w:marBottom w:val="240"/>
      <w:divBdr>
        <w:top w:val="none" w:sz="0" w:space="0" w:color="auto"/>
        <w:left w:val="none" w:sz="0" w:space="0" w:color="auto"/>
        <w:bottom w:val="none" w:sz="0" w:space="0" w:color="auto"/>
        <w:right w:val="none" w:sz="0" w:space="0" w:color="auto"/>
      </w:divBdr>
    </w:div>
    <w:div w:id="949819358">
      <w:marLeft w:val="0"/>
      <w:marRight w:val="0"/>
      <w:marTop w:val="0"/>
      <w:marBottom w:val="0"/>
      <w:divBdr>
        <w:top w:val="none" w:sz="0" w:space="0" w:color="auto"/>
        <w:left w:val="none" w:sz="0" w:space="0" w:color="auto"/>
        <w:bottom w:val="none" w:sz="0" w:space="0" w:color="auto"/>
        <w:right w:val="none" w:sz="0" w:space="0" w:color="auto"/>
      </w:divBdr>
    </w:div>
    <w:div w:id="949825501">
      <w:marLeft w:val="0"/>
      <w:marRight w:val="0"/>
      <w:marTop w:val="0"/>
      <w:marBottom w:val="240"/>
      <w:divBdr>
        <w:top w:val="none" w:sz="0" w:space="0" w:color="auto"/>
        <w:left w:val="none" w:sz="0" w:space="0" w:color="auto"/>
        <w:bottom w:val="none" w:sz="0" w:space="0" w:color="auto"/>
        <w:right w:val="none" w:sz="0" w:space="0" w:color="auto"/>
      </w:divBdr>
    </w:div>
    <w:div w:id="950016240">
      <w:marLeft w:val="0"/>
      <w:marRight w:val="0"/>
      <w:marTop w:val="0"/>
      <w:marBottom w:val="0"/>
      <w:divBdr>
        <w:top w:val="none" w:sz="0" w:space="0" w:color="auto"/>
        <w:left w:val="none" w:sz="0" w:space="0" w:color="auto"/>
        <w:bottom w:val="none" w:sz="0" w:space="0" w:color="auto"/>
        <w:right w:val="none" w:sz="0" w:space="0" w:color="auto"/>
      </w:divBdr>
    </w:div>
    <w:div w:id="950164297">
      <w:marLeft w:val="0"/>
      <w:marRight w:val="0"/>
      <w:marTop w:val="180"/>
      <w:marBottom w:val="180"/>
      <w:divBdr>
        <w:top w:val="none" w:sz="0" w:space="0" w:color="auto"/>
        <w:left w:val="none" w:sz="0" w:space="0" w:color="auto"/>
        <w:bottom w:val="none" w:sz="0" w:space="0" w:color="auto"/>
        <w:right w:val="none" w:sz="0" w:space="0" w:color="auto"/>
      </w:divBdr>
    </w:div>
    <w:div w:id="950210779">
      <w:marLeft w:val="0"/>
      <w:marRight w:val="0"/>
      <w:marTop w:val="0"/>
      <w:marBottom w:val="0"/>
      <w:divBdr>
        <w:top w:val="none" w:sz="0" w:space="0" w:color="auto"/>
        <w:left w:val="none" w:sz="0" w:space="0" w:color="auto"/>
        <w:bottom w:val="none" w:sz="0" w:space="0" w:color="auto"/>
        <w:right w:val="none" w:sz="0" w:space="0" w:color="auto"/>
      </w:divBdr>
      <w:divsChild>
        <w:div w:id="1538002980">
          <w:marLeft w:val="0"/>
          <w:marRight w:val="0"/>
          <w:marTop w:val="0"/>
          <w:marBottom w:val="0"/>
          <w:divBdr>
            <w:top w:val="none" w:sz="0" w:space="0" w:color="auto"/>
            <w:left w:val="none" w:sz="0" w:space="0" w:color="auto"/>
            <w:bottom w:val="none" w:sz="0" w:space="0" w:color="auto"/>
            <w:right w:val="none" w:sz="0" w:space="0" w:color="auto"/>
          </w:divBdr>
        </w:div>
      </w:divsChild>
    </w:div>
    <w:div w:id="950472268">
      <w:marLeft w:val="0"/>
      <w:marRight w:val="0"/>
      <w:marTop w:val="120"/>
      <w:marBottom w:val="120"/>
      <w:divBdr>
        <w:top w:val="none" w:sz="0" w:space="0" w:color="auto"/>
        <w:left w:val="none" w:sz="0" w:space="0" w:color="auto"/>
        <w:bottom w:val="none" w:sz="0" w:space="0" w:color="auto"/>
        <w:right w:val="none" w:sz="0" w:space="0" w:color="auto"/>
      </w:divBdr>
    </w:div>
    <w:div w:id="950820113">
      <w:marLeft w:val="0"/>
      <w:marRight w:val="0"/>
      <w:marTop w:val="0"/>
      <w:marBottom w:val="180"/>
      <w:divBdr>
        <w:top w:val="none" w:sz="0" w:space="0" w:color="auto"/>
        <w:left w:val="none" w:sz="0" w:space="0" w:color="auto"/>
        <w:bottom w:val="none" w:sz="0" w:space="0" w:color="auto"/>
        <w:right w:val="none" w:sz="0" w:space="0" w:color="auto"/>
      </w:divBdr>
    </w:div>
    <w:div w:id="951398304">
      <w:marLeft w:val="0"/>
      <w:marRight w:val="0"/>
      <w:marTop w:val="0"/>
      <w:marBottom w:val="120"/>
      <w:divBdr>
        <w:top w:val="none" w:sz="0" w:space="0" w:color="auto"/>
        <w:left w:val="none" w:sz="0" w:space="0" w:color="auto"/>
        <w:bottom w:val="none" w:sz="0" w:space="0" w:color="auto"/>
        <w:right w:val="none" w:sz="0" w:space="0" w:color="auto"/>
      </w:divBdr>
    </w:div>
    <w:div w:id="952663929">
      <w:marLeft w:val="0"/>
      <w:marRight w:val="0"/>
      <w:marTop w:val="0"/>
      <w:marBottom w:val="0"/>
      <w:divBdr>
        <w:top w:val="none" w:sz="0" w:space="0" w:color="auto"/>
        <w:left w:val="none" w:sz="0" w:space="0" w:color="auto"/>
        <w:bottom w:val="none" w:sz="0" w:space="0" w:color="auto"/>
        <w:right w:val="none" w:sz="0" w:space="0" w:color="auto"/>
      </w:divBdr>
    </w:div>
    <w:div w:id="952832780">
      <w:marLeft w:val="0"/>
      <w:marRight w:val="0"/>
      <w:marTop w:val="0"/>
      <w:marBottom w:val="240"/>
      <w:divBdr>
        <w:top w:val="none" w:sz="0" w:space="0" w:color="auto"/>
        <w:left w:val="none" w:sz="0" w:space="0" w:color="auto"/>
        <w:bottom w:val="none" w:sz="0" w:space="0" w:color="auto"/>
        <w:right w:val="none" w:sz="0" w:space="0" w:color="auto"/>
      </w:divBdr>
    </w:div>
    <w:div w:id="952903573">
      <w:marLeft w:val="0"/>
      <w:marRight w:val="0"/>
      <w:marTop w:val="0"/>
      <w:marBottom w:val="60"/>
      <w:divBdr>
        <w:top w:val="none" w:sz="0" w:space="0" w:color="auto"/>
        <w:left w:val="none" w:sz="0" w:space="0" w:color="auto"/>
        <w:bottom w:val="none" w:sz="0" w:space="0" w:color="auto"/>
        <w:right w:val="none" w:sz="0" w:space="0" w:color="auto"/>
      </w:divBdr>
    </w:div>
    <w:div w:id="953486340">
      <w:marLeft w:val="0"/>
      <w:marRight w:val="0"/>
      <w:marTop w:val="0"/>
      <w:marBottom w:val="0"/>
      <w:divBdr>
        <w:top w:val="none" w:sz="0" w:space="0" w:color="auto"/>
        <w:left w:val="none" w:sz="0" w:space="0" w:color="auto"/>
        <w:bottom w:val="none" w:sz="0" w:space="0" w:color="auto"/>
        <w:right w:val="none" w:sz="0" w:space="0" w:color="auto"/>
      </w:divBdr>
    </w:div>
    <w:div w:id="954603874">
      <w:marLeft w:val="0"/>
      <w:marRight w:val="0"/>
      <w:marTop w:val="0"/>
      <w:marBottom w:val="180"/>
      <w:divBdr>
        <w:top w:val="none" w:sz="0" w:space="0" w:color="auto"/>
        <w:left w:val="none" w:sz="0" w:space="0" w:color="auto"/>
        <w:bottom w:val="none" w:sz="0" w:space="0" w:color="auto"/>
        <w:right w:val="none" w:sz="0" w:space="0" w:color="auto"/>
      </w:divBdr>
    </w:div>
    <w:div w:id="955023044">
      <w:marLeft w:val="0"/>
      <w:marRight w:val="0"/>
      <w:marTop w:val="0"/>
      <w:marBottom w:val="180"/>
      <w:divBdr>
        <w:top w:val="none" w:sz="0" w:space="0" w:color="auto"/>
        <w:left w:val="none" w:sz="0" w:space="0" w:color="auto"/>
        <w:bottom w:val="none" w:sz="0" w:space="0" w:color="auto"/>
        <w:right w:val="none" w:sz="0" w:space="0" w:color="auto"/>
      </w:divBdr>
    </w:div>
    <w:div w:id="955065253">
      <w:marLeft w:val="0"/>
      <w:marRight w:val="0"/>
      <w:marTop w:val="120"/>
      <w:marBottom w:val="180"/>
      <w:divBdr>
        <w:top w:val="none" w:sz="0" w:space="0" w:color="auto"/>
        <w:left w:val="none" w:sz="0" w:space="0" w:color="auto"/>
        <w:bottom w:val="none" w:sz="0" w:space="0" w:color="auto"/>
        <w:right w:val="none" w:sz="0" w:space="0" w:color="auto"/>
      </w:divBdr>
    </w:div>
    <w:div w:id="955140729">
      <w:marLeft w:val="0"/>
      <w:marRight w:val="0"/>
      <w:marTop w:val="0"/>
      <w:marBottom w:val="240"/>
      <w:divBdr>
        <w:top w:val="none" w:sz="0" w:space="0" w:color="auto"/>
        <w:left w:val="none" w:sz="0" w:space="0" w:color="auto"/>
        <w:bottom w:val="none" w:sz="0" w:space="0" w:color="auto"/>
        <w:right w:val="none" w:sz="0" w:space="0" w:color="auto"/>
      </w:divBdr>
    </w:div>
    <w:div w:id="955984631">
      <w:marLeft w:val="0"/>
      <w:marRight w:val="0"/>
      <w:marTop w:val="0"/>
      <w:marBottom w:val="240"/>
      <w:divBdr>
        <w:top w:val="none" w:sz="0" w:space="0" w:color="auto"/>
        <w:left w:val="none" w:sz="0" w:space="0" w:color="auto"/>
        <w:bottom w:val="none" w:sz="0" w:space="0" w:color="auto"/>
        <w:right w:val="none" w:sz="0" w:space="0" w:color="auto"/>
      </w:divBdr>
    </w:div>
    <w:div w:id="956329148">
      <w:marLeft w:val="0"/>
      <w:marRight w:val="0"/>
      <w:marTop w:val="0"/>
      <w:marBottom w:val="0"/>
      <w:divBdr>
        <w:top w:val="none" w:sz="0" w:space="0" w:color="auto"/>
        <w:left w:val="none" w:sz="0" w:space="0" w:color="auto"/>
        <w:bottom w:val="none" w:sz="0" w:space="0" w:color="auto"/>
        <w:right w:val="none" w:sz="0" w:space="0" w:color="auto"/>
      </w:divBdr>
      <w:divsChild>
        <w:div w:id="187763557">
          <w:marLeft w:val="0"/>
          <w:marRight w:val="0"/>
          <w:marTop w:val="0"/>
          <w:marBottom w:val="0"/>
          <w:divBdr>
            <w:top w:val="none" w:sz="0" w:space="0" w:color="auto"/>
            <w:left w:val="none" w:sz="0" w:space="0" w:color="auto"/>
            <w:bottom w:val="none" w:sz="0" w:space="0" w:color="auto"/>
            <w:right w:val="none" w:sz="0" w:space="0" w:color="auto"/>
          </w:divBdr>
        </w:div>
      </w:divsChild>
    </w:div>
    <w:div w:id="956370329">
      <w:marLeft w:val="0"/>
      <w:marRight w:val="0"/>
      <w:marTop w:val="0"/>
      <w:marBottom w:val="240"/>
      <w:divBdr>
        <w:top w:val="none" w:sz="0" w:space="0" w:color="auto"/>
        <w:left w:val="none" w:sz="0" w:space="0" w:color="auto"/>
        <w:bottom w:val="none" w:sz="0" w:space="0" w:color="auto"/>
        <w:right w:val="none" w:sz="0" w:space="0" w:color="auto"/>
      </w:divBdr>
    </w:div>
    <w:div w:id="958075282">
      <w:marLeft w:val="0"/>
      <w:marRight w:val="0"/>
      <w:marTop w:val="0"/>
      <w:marBottom w:val="0"/>
      <w:divBdr>
        <w:top w:val="none" w:sz="0" w:space="0" w:color="auto"/>
        <w:left w:val="none" w:sz="0" w:space="0" w:color="auto"/>
        <w:bottom w:val="none" w:sz="0" w:space="0" w:color="auto"/>
        <w:right w:val="none" w:sz="0" w:space="0" w:color="auto"/>
      </w:divBdr>
      <w:divsChild>
        <w:div w:id="2096587731">
          <w:marLeft w:val="0"/>
          <w:marRight w:val="0"/>
          <w:marTop w:val="0"/>
          <w:marBottom w:val="0"/>
          <w:divBdr>
            <w:top w:val="none" w:sz="0" w:space="0" w:color="auto"/>
            <w:left w:val="none" w:sz="0" w:space="0" w:color="auto"/>
            <w:bottom w:val="none" w:sz="0" w:space="0" w:color="auto"/>
            <w:right w:val="none" w:sz="0" w:space="0" w:color="auto"/>
          </w:divBdr>
        </w:div>
      </w:divsChild>
    </w:div>
    <w:div w:id="959381613">
      <w:marLeft w:val="0"/>
      <w:marRight w:val="0"/>
      <w:marTop w:val="0"/>
      <w:marBottom w:val="0"/>
      <w:divBdr>
        <w:top w:val="none" w:sz="0" w:space="0" w:color="auto"/>
        <w:left w:val="none" w:sz="0" w:space="0" w:color="auto"/>
        <w:bottom w:val="none" w:sz="0" w:space="0" w:color="auto"/>
        <w:right w:val="none" w:sz="0" w:space="0" w:color="auto"/>
      </w:divBdr>
      <w:divsChild>
        <w:div w:id="1647734176">
          <w:marLeft w:val="0"/>
          <w:marRight w:val="0"/>
          <w:marTop w:val="0"/>
          <w:marBottom w:val="0"/>
          <w:divBdr>
            <w:top w:val="none" w:sz="0" w:space="0" w:color="auto"/>
            <w:left w:val="none" w:sz="0" w:space="0" w:color="auto"/>
            <w:bottom w:val="none" w:sz="0" w:space="0" w:color="auto"/>
            <w:right w:val="none" w:sz="0" w:space="0" w:color="auto"/>
          </w:divBdr>
        </w:div>
        <w:div w:id="795679246">
          <w:marLeft w:val="0"/>
          <w:marRight w:val="0"/>
          <w:marTop w:val="0"/>
          <w:marBottom w:val="0"/>
          <w:divBdr>
            <w:top w:val="none" w:sz="0" w:space="0" w:color="auto"/>
            <w:left w:val="none" w:sz="0" w:space="0" w:color="auto"/>
            <w:bottom w:val="none" w:sz="0" w:space="0" w:color="auto"/>
            <w:right w:val="none" w:sz="0" w:space="0" w:color="auto"/>
          </w:divBdr>
        </w:div>
        <w:div w:id="743573550">
          <w:marLeft w:val="0"/>
          <w:marRight w:val="0"/>
          <w:marTop w:val="0"/>
          <w:marBottom w:val="0"/>
          <w:divBdr>
            <w:top w:val="none" w:sz="0" w:space="0" w:color="auto"/>
            <w:left w:val="none" w:sz="0" w:space="0" w:color="auto"/>
            <w:bottom w:val="none" w:sz="0" w:space="0" w:color="auto"/>
            <w:right w:val="none" w:sz="0" w:space="0" w:color="auto"/>
          </w:divBdr>
        </w:div>
      </w:divsChild>
    </w:div>
    <w:div w:id="960184902">
      <w:marLeft w:val="0"/>
      <w:marRight w:val="0"/>
      <w:marTop w:val="0"/>
      <w:marBottom w:val="240"/>
      <w:divBdr>
        <w:top w:val="none" w:sz="0" w:space="0" w:color="auto"/>
        <w:left w:val="none" w:sz="0" w:space="0" w:color="auto"/>
        <w:bottom w:val="none" w:sz="0" w:space="0" w:color="auto"/>
        <w:right w:val="none" w:sz="0" w:space="0" w:color="auto"/>
      </w:divBdr>
    </w:div>
    <w:div w:id="961183680">
      <w:marLeft w:val="0"/>
      <w:marRight w:val="0"/>
      <w:marTop w:val="0"/>
      <w:marBottom w:val="180"/>
      <w:divBdr>
        <w:top w:val="none" w:sz="0" w:space="0" w:color="auto"/>
        <w:left w:val="none" w:sz="0" w:space="0" w:color="auto"/>
        <w:bottom w:val="none" w:sz="0" w:space="0" w:color="auto"/>
        <w:right w:val="none" w:sz="0" w:space="0" w:color="auto"/>
      </w:divBdr>
    </w:div>
    <w:div w:id="961230018">
      <w:marLeft w:val="0"/>
      <w:marRight w:val="0"/>
      <w:marTop w:val="180"/>
      <w:marBottom w:val="180"/>
      <w:divBdr>
        <w:top w:val="none" w:sz="0" w:space="0" w:color="auto"/>
        <w:left w:val="none" w:sz="0" w:space="0" w:color="auto"/>
        <w:bottom w:val="none" w:sz="0" w:space="0" w:color="auto"/>
        <w:right w:val="none" w:sz="0" w:space="0" w:color="auto"/>
      </w:divBdr>
    </w:div>
    <w:div w:id="961301969">
      <w:marLeft w:val="0"/>
      <w:marRight w:val="0"/>
      <w:marTop w:val="180"/>
      <w:marBottom w:val="180"/>
      <w:divBdr>
        <w:top w:val="none" w:sz="0" w:space="0" w:color="auto"/>
        <w:left w:val="none" w:sz="0" w:space="0" w:color="auto"/>
        <w:bottom w:val="none" w:sz="0" w:space="0" w:color="auto"/>
        <w:right w:val="none" w:sz="0" w:space="0" w:color="auto"/>
      </w:divBdr>
    </w:div>
    <w:div w:id="961694956">
      <w:marLeft w:val="0"/>
      <w:marRight w:val="0"/>
      <w:marTop w:val="0"/>
      <w:marBottom w:val="180"/>
      <w:divBdr>
        <w:top w:val="none" w:sz="0" w:space="0" w:color="auto"/>
        <w:left w:val="none" w:sz="0" w:space="0" w:color="auto"/>
        <w:bottom w:val="none" w:sz="0" w:space="0" w:color="auto"/>
        <w:right w:val="none" w:sz="0" w:space="0" w:color="auto"/>
      </w:divBdr>
    </w:div>
    <w:div w:id="964116960">
      <w:marLeft w:val="0"/>
      <w:marRight w:val="0"/>
      <w:marTop w:val="180"/>
      <w:marBottom w:val="180"/>
      <w:divBdr>
        <w:top w:val="none" w:sz="0" w:space="0" w:color="auto"/>
        <w:left w:val="none" w:sz="0" w:space="0" w:color="auto"/>
        <w:bottom w:val="none" w:sz="0" w:space="0" w:color="auto"/>
        <w:right w:val="none" w:sz="0" w:space="0" w:color="auto"/>
      </w:divBdr>
    </w:div>
    <w:div w:id="964382894">
      <w:marLeft w:val="0"/>
      <w:marRight w:val="0"/>
      <w:marTop w:val="0"/>
      <w:marBottom w:val="180"/>
      <w:divBdr>
        <w:top w:val="none" w:sz="0" w:space="0" w:color="auto"/>
        <w:left w:val="none" w:sz="0" w:space="0" w:color="auto"/>
        <w:bottom w:val="none" w:sz="0" w:space="0" w:color="auto"/>
        <w:right w:val="none" w:sz="0" w:space="0" w:color="auto"/>
      </w:divBdr>
    </w:div>
    <w:div w:id="964578876">
      <w:marLeft w:val="0"/>
      <w:marRight w:val="0"/>
      <w:marTop w:val="0"/>
      <w:marBottom w:val="240"/>
      <w:divBdr>
        <w:top w:val="none" w:sz="0" w:space="0" w:color="auto"/>
        <w:left w:val="none" w:sz="0" w:space="0" w:color="auto"/>
        <w:bottom w:val="none" w:sz="0" w:space="0" w:color="auto"/>
        <w:right w:val="none" w:sz="0" w:space="0" w:color="auto"/>
      </w:divBdr>
    </w:div>
    <w:div w:id="964848177">
      <w:marLeft w:val="0"/>
      <w:marRight w:val="0"/>
      <w:marTop w:val="0"/>
      <w:marBottom w:val="180"/>
      <w:divBdr>
        <w:top w:val="none" w:sz="0" w:space="0" w:color="auto"/>
        <w:left w:val="none" w:sz="0" w:space="0" w:color="auto"/>
        <w:bottom w:val="none" w:sz="0" w:space="0" w:color="auto"/>
        <w:right w:val="none" w:sz="0" w:space="0" w:color="auto"/>
      </w:divBdr>
    </w:div>
    <w:div w:id="965424846">
      <w:marLeft w:val="0"/>
      <w:marRight w:val="0"/>
      <w:marTop w:val="120"/>
      <w:marBottom w:val="120"/>
      <w:divBdr>
        <w:top w:val="none" w:sz="0" w:space="0" w:color="auto"/>
        <w:left w:val="none" w:sz="0" w:space="0" w:color="auto"/>
        <w:bottom w:val="none" w:sz="0" w:space="0" w:color="auto"/>
        <w:right w:val="none" w:sz="0" w:space="0" w:color="auto"/>
      </w:divBdr>
    </w:div>
    <w:div w:id="965701342">
      <w:marLeft w:val="0"/>
      <w:marRight w:val="0"/>
      <w:marTop w:val="0"/>
      <w:marBottom w:val="240"/>
      <w:divBdr>
        <w:top w:val="none" w:sz="0" w:space="0" w:color="auto"/>
        <w:left w:val="none" w:sz="0" w:space="0" w:color="auto"/>
        <w:bottom w:val="none" w:sz="0" w:space="0" w:color="auto"/>
        <w:right w:val="none" w:sz="0" w:space="0" w:color="auto"/>
      </w:divBdr>
    </w:div>
    <w:div w:id="965817718">
      <w:marLeft w:val="0"/>
      <w:marRight w:val="0"/>
      <w:marTop w:val="40"/>
      <w:marBottom w:val="0"/>
      <w:divBdr>
        <w:top w:val="none" w:sz="0" w:space="0" w:color="auto"/>
        <w:left w:val="none" w:sz="0" w:space="0" w:color="auto"/>
        <w:bottom w:val="none" w:sz="0" w:space="0" w:color="auto"/>
        <w:right w:val="none" w:sz="0" w:space="0" w:color="auto"/>
      </w:divBdr>
      <w:divsChild>
        <w:div w:id="1488673193">
          <w:marLeft w:val="0"/>
          <w:marRight w:val="0"/>
          <w:marTop w:val="60"/>
          <w:marBottom w:val="180"/>
          <w:divBdr>
            <w:top w:val="none" w:sz="0" w:space="0" w:color="auto"/>
            <w:left w:val="none" w:sz="0" w:space="0" w:color="auto"/>
            <w:bottom w:val="none" w:sz="0" w:space="0" w:color="auto"/>
            <w:right w:val="none" w:sz="0" w:space="0" w:color="auto"/>
          </w:divBdr>
        </w:div>
        <w:div w:id="1104306753">
          <w:marLeft w:val="0"/>
          <w:marRight w:val="0"/>
          <w:marTop w:val="60"/>
          <w:marBottom w:val="180"/>
          <w:divBdr>
            <w:top w:val="none" w:sz="0" w:space="0" w:color="auto"/>
            <w:left w:val="none" w:sz="0" w:space="0" w:color="auto"/>
            <w:bottom w:val="none" w:sz="0" w:space="0" w:color="auto"/>
            <w:right w:val="none" w:sz="0" w:space="0" w:color="auto"/>
          </w:divBdr>
        </w:div>
        <w:div w:id="2088572996">
          <w:marLeft w:val="0"/>
          <w:marRight w:val="0"/>
          <w:marTop w:val="60"/>
          <w:marBottom w:val="180"/>
          <w:divBdr>
            <w:top w:val="none" w:sz="0" w:space="0" w:color="auto"/>
            <w:left w:val="none" w:sz="0" w:space="0" w:color="auto"/>
            <w:bottom w:val="none" w:sz="0" w:space="0" w:color="auto"/>
            <w:right w:val="none" w:sz="0" w:space="0" w:color="auto"/>
          </w:divBdr>
        </w:div>
        <w:div w:id="23677839">
          <w:marLeft w:val="0"/>
          <w:marRight w:val="0"/>
          <w:marTop w:val="60"/>
          <w:marBottom w:val="180"/>
          <w:divBdr>
            <w:top w:val="none" w:sz="0" w:space="0" w:color="auto"/>
            <w:left w:val="none" w:sz="0" w:space="0" w:color="auto"/>
            <w:bottom w:val="none" w:sz="0" w:space="0" w:color="auto"/>
            <w:right w:val="none" w:sz="0" w:space="0" w:color="auto"/>
          </w:divBdr>
        </w:div>
        <w:div w:id="1471022798">
          <w:marLeft w:val="0"/>
          <w:marRight w:val="0"/>
          <w:marTop w:val="60"/>
          <w:marBottom w:val="180"/>
          <w:divBdr>
            <w:top w:val="none" w:sz="0" w:space="0" w:color="auto"/>
            <w:left w:val="none" w:sz="0" w:space="0" w:color="auto"/>
            <w:bottom w:val="none" w:sz="0" w:space="0" w:color="auto"/>
            <w:right w:val="none" w:sz="0" w:space="0" w:color="auto"/>
          </w:divBdr>
        </w:div>
      </w:divsChild>
    </w:div>
    <w:div w:id="966467551">
      <w:marLeft w:val="0"/>
      <w:marRight w:val="0"/>
      <w:marTop w:val="0"/>
      <w:marBottom w:val="0"/>
      <w:divBdr>
        <w:top w:val="none" w:sz="0" w:space="0" w:color="auto"/>
        <w:left w:val="none" w:sz="0" w:space="0" w:color="auto"/>
        <w:bottom w:val="none" w:sz="0" w:space="0" w:color="auto"/>
        <w:right w:val="none" w:sz="0" w:space="0" w:color="auto"/>
      </w:divBdr>
      <w:divsChild>
        <w:div w:id="1917786422">
          <w:marLeft w:val="0"/>
          <w:marRight w:val="0"/>
          <w:marTop w:val="0"/>
          <w:marBottom w:val="0"/>
          <w:divBdr>
            <w:top w:val="none" w:sz="0" w:space="0" w:color="auto"/>
            <w:left w:val="none" w:sz="0" w:space="0" w:color="auto"/>
            <w:bottom w:val="none" w:sz="0" w:space="0" w:color="auto"/>
            <w:right w:val="none" w:sz="0" w:space="0" w:color="auto"/>
          </w:divBdr>
        </w:div>
      </w:divsChild>
    </w:div>
    <w:div w:id="967198164">
      <w:marLeft w:val="0"/>
      <w:marRight w:val="0"/>
      <w:marTop w:val="0"/>
      <w:marBottom w:val="0"/>
      <w:divBdr>
        <w:top w:val="none" w:sz="0" w:space="0" w:color="auto"/>
        <w:left w:val="none" w:sz="0" w:space="0" w:color="auto"/>
        <w:bottom w:val="none" w:sz="0" w:space="0" w:color="auto"/>
        <w:right w:val="none" w:sz="0" w:space="0" w:color="auto"/>
      </w:divBdr>
      <w:divsChild>
        <w:div w:id="378168522">
          <w:marLeft w:val="0"/>
          <w:marRight w:val="0"/>
          <w:marTop w:val="0"/>
          <w:marBottom w:val="0"/>
          <w:divBdr>
            <w:top w:val="none" w:sz="0" w:space="0" w:color="auto"/>
            <w:left w:val="none" w:sz="0" w:space="0" w:color="auto"/>
            <w:bottom w:val="none" w:sz="0" w:space="0" w:color="auto"/>
            <w:right w:val="none" w:sz="0" w:space="0" w:color="auto"/>
          </w:divBdr>
        </w:div>
      </w:divsChild>
    </w:div>
    <w:div w:id="968360068">
      <w:marLeft w:val="0"/>
      <w:marRight w:val="0"/>
      <w:marTop w:val="0"/>
      <w:marBottom w:val="240"/>
      <w:divBdr>
        <w:top w:val="none" w:sz="0" w:space="0" w:color="auto"/>
        <w:left w:val="none" w:sz="0" w:space="0" w:color="auto"/>
        <w:bottom w:val="none" w:sz="0" w:space="0" w:color="auto"/>
        <w:right w:val="none" w:sz="0" w:space="0" w:color="auto"/>
      </w:divBdr>
    </w:div>
    <w:div w:id="968437167">
      <w:marLeft w:val="0"/>
      <w:marRight w:val="0"/>
      <w:marTop w:val="0"/>
      <w:marBottom w:val="180"/>
      <w:divBdr>
        <w:top w:val="none" w:sz="0" w:space="0" w:color="auto"/>
        <w:left w:val="none" w:sz="0" w:space="0" w:color="auto"/>
        <w:bottom w:val="none" w:sz="0" w:space="0" w:color="auto"/>
        <w:right w:val="none" w:sz="0" w:space="0" w:color="auto"/>
      </w:divBdr>
    </w:div>
    <w:div w:id="969045646">
      <w:marLeft w:val="0"/>
      <w:marRight w:val="0"/>
      <w:marTop w:val="0"/>
      <w:marBottom w:val="0"/>
      <w:divBdr>
        <w:top w:val="none" w:sz="0" w:space="0" w:color="auto"/>
        <w:left w:val="none" w:sz="0" w:space="0" w:color="auto"/>
        <w:bottom w:val="none" w:sz="0" w:space="0" w:color="auto"/>
        <w:right w:val="none" w:sz="0" w:space="0" w:color="auto"/>
      </w:divBdr>
    </w:div>
    <w:div w:id="969477658">
      <w:marLeft w:val="0"/>
      <w:marRight w:val="0"/>
      <w:marTop w:val="0"/>
      <w:marBottom w:val="240"/>
      <w:divBdr>
        <w:top w:val="none" w:sz="0" w:space="0" w:color="auto"/>
        <w:left w:val="none" w:sz="0" w:space="0" w:color="auto"/>
        <w:bottom w:val="none" w:sz="0" w:space="0" w:color="auto"/>
        <w:right w:val="none" w:sz="0" w:space="0" w:color="auto"/>
      </w:divBdr>
    </w:div>
    <w:div w:id="970092474">
      <w:marLeft w:val="0"/>
      <w:marRight w:val="0"/>
      <w:marTop w:val="0"/>
      <w:marBottom w:val="240"/>
      <w:divBdr>
        <w:top w:val="none" w:sz="0" w:space="0" w:color="auto"/>
        <w:left w:val="none" w:sz="0" w:space="0" w:color="auto"/>
        <w:bottom w:val="none" w:sz="0" w:space="0" w:color="auto"/>
        <w:right w:val="none" w:sz="0" w:space="0" w:color="auto"/>
      </w:divBdr>
    </w:div>
    <w:div w:id="970213965">
      <w:marLeft w:val="0"/>
      <w:marRight w:val="0"/>
      <w:marTop w:val="0"/>
      <w:marBottom w:val="0"/>
      <w:divBdr>
        <w:top w:val="none" w:sz="0" w:space="0" w:color="auto"/>
        <w:left w:val="none" w:sz="0" w:space="0" w:color="auto"/>
        <w:bottom w:val="none" w:sz="0" w:space="0" w:color="auto"/>
        <w:right w:val="none" w:sz="0" w:space="0" w:color="auto"/>
      </w:divBdr>
    </w:div>
    <w:div w:id="970283388">
      <w:marLeft w:val="0"/>
      <w:marRight w:val="0"/>
      <w:marTop w:val="120"/>
      <w:marBottom w:val="120"/>
      <w:divBdr>
        <w:top w:val="none" w:sz="0" w:space="0" w:color="auto"/>
        <w:left w:val="none" w:sz="0" w:space="0" w:color="auto"/>
        <w:bottom w:val="none" w:sz="0" w:space="0" w:color="auto"/>
        <w:right w:val="none" w:sz="0" w:space="0" w:color="auto"/>
      </w:divBdr>
    </w:div>
    <w:div w:id="971596652">
      <w:marLeft w:val="0"/>
      <w:marRight w:val="0"/>
      <w:marTop w:val="0"/>
      <w:marBottom w:val="240"/>
      <w:divBdr>
        <w:top w:val="none" w:sz="0" w:space="0" w:color="auto"/>
        <w:left w:val="none" w:sz="0" w:space="0" w:color="auto"/>
        <w:bottom w:val="none" w:sz="0" w:space="0" w:color="auto"/>
        <w:right w:val="none" w:sz="0" w:space="0" w:color="auto"/>
      </w:divBdr>
    </w:div>
    <w:div w:id="972443026">
      <w:marLeft w:val="0"/>
      <w:marRight w:val="0"/>
      <w:marTop w:val="0"/>
      <w:marBottom w:val="180"/>
      <w:divBdr>
        <w:top w:val="none" w:sz="0" w:space="0" w:color="auto"/>
        <w:left w:val="none" w:sz="0" w:space="0" w:color="auto"/>
        <w:bottom w:val="none" w:sz="0" w:space="0" w:color="auto"/>
        <w:right w:val="none" w:sz="0" w:space="0" w:color="auto"/>
      </w:divBdr>
    </w:div>
    <w:div w:id="972562442">
      <w:marLeft w:val="0"/>
      <w:marRight w:val="0"/>
      <w:marTop w:val="120"/>
      <w:marBottom w:val="180"/>
      <w:divBdr>
        <w:top w:val="none" w:sz="0" w:space="0" w:color="auto"/>
        <w:left w:val="none" w:sz="0" w:space="0" w:color="auto"/>
        <w:bottom w:val="none" w:sz="0" w:space="0" w:color="auto"/>
        <w:right w:val="none" w:sz="0" w:space="0" w:color="auto"/>
      </w:divBdr>
    </w:div>
    <w:div w:id="972979611">
      <w:marLeft w:val="0"/>
      <w:marRight w:val="0"/>
      <w:marTop w:val="0"/>
      <w:marBottom w:val="240"/>
      <w:divBdr>
        <w:top w:val="none" w:sz="0" w:space="0" w:color="auto"/>
        <w:left w:val="none" w:sz="0" w:space="0" w:color="auto"/>
        <w:bottom w:val="none" w:sz="0" w:space="0" w:color="auto"/>
        <w:right w:val="none" w:sz="0" w:space="0" w:color="auto"/>
      </w:divBdr>
    </w:div>
    <w:div w:id="973028137">
      <w:marLeft w:val="0"/>
      <w:marRight w:val="0"/>
      <w:marTop w:val="0"/>
      <w:marBottom w:val="180"/>
      <w:divBdr>
        <w:top w:val="none" w:sz="0" w:space="0" w:color="auto"/>
        <w:left w:val="none" w:sz="0" w:space="0" w:color="auto"/>
        <w:bottom w:val="none" w:sz="0" w:space="0" w:color="auto"/>
        <w:right w:val="none" w:sz="0" w:space="0" w:color="auto"/>
      </w:divBdr>
    </w:div>
    <w:div w:id="973757404">
      <w:marLeft w:val="0"/>
      <w:marRight w:val="0"/>
      <w:marTop w:val="0"/>
      <w:marBottom w:val="240"/>
      <w:divBdr>
        <w:top w:val="none" w:sz="0" w:space="0" w:color="auto"/>
        <w:left w:val="none" w:sz="0" w:space="0" w:color="auto"/>
        <w:bottom w:val="none" w:sz="0" w:space="0" w:color="auto"/>
        <w:right w:val="none" w:sz="0" w:space="0" w:color="auto"/>
      </w:divBdr>
    </w:div>
    <w:div w:id="973800248">
      <w:marLeft w:val="0"/>
      <w:marRight w:val="0"/>
      <w:marTop w:val="0"/>
      <w:marBottom w:val="0"/>
      <w:divBdr>
        <w:top w:val="none" w:sz="0" w:space="0" w:color="auto"/>
        <w:left w:val="none" w:sz="0" w:space="0" w:color="auto"/>
        <w:bottom w:val="none" w:sz="0" w:space="0" w:color="auto"/>
        <w:right w:val="none" w:sz="0" w:space="0" w:color="auto"/>
      </w:divBdr>
    </w:div>
    <w:div w:id="974142447">
      <w:marLeft w:val="0"/>
      <w:marRight w:val="0"/>
      <w:marTop w:val="0"/>
      <w:marBottom w:val="240"/>
      <w:divBdr>
        <w:top w:val="none" w:sz="0" w:space="0" w:color="auto"/>
        <w:left w:val="none" w:sz="0" w:space="0" w:color="auto"/>
        <w:bottom w:val="none" w:sz="0" w:space="0" w:color="auto"/>
        <w:right w:val="none" w:sz="0" w:space="0" w:color="auto"/>
      </w:divBdr>
    </w:div>
    <w:div w:id="974211775">
      <w:marLeft w:val="0"/>
      <w:marRight w:val="0"/>
      <w:marTop w:val="0"/>
      <w:marBottom w:val="0"/>
      <w:divBdr>
        <w:top w:val="none" w:sz="0" w:space="0" w:color="auto"/>
        <w:left w:val="none" w:sz="0" w:space="0" w:color="auto"/>
        <w:bottom w:val="none" w:sz="0" w:space="0" w:color="auto"/>
        <w:right w:val="none" w:sz="0" w:space="0" w:color="auto"/>
      </w:divBdr>
    </w:div>
    <w:div w:id="974217369">
      <w:marLeft w:val="0"/>
      <w:marRight w:val="0"/>
      <w:marTop w:val="0"/>
      <w:marBottom w:val="180"/>
      <w:divBdr>
        <w:top w:val="none" w:sz="0" w:space="0" w:color="auto"/>
        <w:left w:val="none" w:sz="0" w:space="0" w:color="auto"/>
        <w:bottom w:val="none" w:sz="0" w:space="0" w:color="auto"/>
        <w:right w:val="none" w:sz="0" w:space="0" w:color="auto"/>
      </w:divBdr>
    </w:div>
    <w:div w:id="974605324">
      <w:marLeft w:val="0"/>
      <w:marRight w:val="0"/>
      <w:marTop w:val="0"/>
      <w:marBottom w:val="0"/>
      <w:divBdr>
        <w:top w:val="none" w:sz="0" w:space="0" w:color="auto"/>
        <w:left w:val="none" w:sz="0" w:space="0" w:color="auto"/>
        <w:bottom w:val="none" w:sz="0" w:space="0" w:color="auto"/>
        <w:right w:val="none" w:sz="0" w:space="0" w:color="auto"/>
      </w:divBdr>
    </w:div>
    <w:div w:id="974986829">
      <w:marLeft w:val="0"/>
      <w:marRight w:val="0"/>
      <w:marTop w:val="0"/>
      <w:marBottom w:val="180"/>
      <w:divBdr>
        <w:top w:val="none" w:sz="0" w:space="0" w:color="auto"/>
        <w:left w:val="none" w:sz="0" w:space="0" w:color="auto"/>
        <w:bottom w:val="none" w:sz="0" w:space="0" w:color="auto"/>
        <w:right w:val="none" w:sz="0" w:space="0" w:color="auto"/>
      </w:divBdr>
    </w:div>
    <w:div w:id="975523503">
      <w:marLeft w:val="0"/>
      <w:marRight w:val="0"/>
      <w:marTop w:val="0"/>
      <w:marBottom w:val="240"/>
      <w:divBdr>
        <w:top w:val="none" w:sz="0" w:space="0" w:color="auto"/>
        <w:left w:val="none" w:sz="0" w:space="0" w:color="auto"/>
        <w:bottom w:val="none" w:sz="0" w:space="0" w:color="auto"/>
        <w:right w:val="none" w:sz="0" w:space="0" w:color="auto"/>
      </w:divBdr>
    </w:div>
    <w:div w:id="975717088">
      <w:marLeft w:val="0"/>
      <w:marRight w:val="0"/>
      <w:marTop w:val="0"/>
      <w:marBottom w:val="180"/>
      <w:divBdr>
        <w:top w:val="none" w:sz="0" w:space="0" w:color="auto"/>
        <w:left w:val="none" w:sz="0" w:space="0" w:color="auto"/>
        <w:bottom w:val="none" w:sz="0" w:space="0" w:color="auto"/>
        <w:right w:val="none" w:sz="0" w:space="0" w:color="auto"/>
      </w:divBdr>
    </w:div>
    <w:div w:id="975792436">
      <w:marLeft w:val="0"/>
      <w:marRight w:val="0"/>
      <w:marTop w:val="120"/>
      <w:marBottom w:val="120"/>
      <w:divBdr>
        <w:top w:val="none" w:sz="0" w:space="0" w:color="auto"/>
        <w:left w:val="none" w:sz="0" w:space="0" w:color="auto"/>
        <w:bottom w:val="none" w:sz="0" w:space="0" w:color="auto"/>
        <w:right w:val="none" w:sz="0" w:space="0" w:color="auto"/>
      </w:divBdr>
    </w:div>
    <w:div w:id="976376739">
      <w:marLeft w:val="0"/>
      <w:marRight w:val="0"/>
      <w:marTop w:val="0"/>
      <w:marBottom w:val="180"/>
      <w:divBdr>
        <w:top w:val="none" w:sz="0" w:space="0" w:color="auto"/>
        <w:left w:val="none" w:sz="0" w:space="0" w:color="auto"/>
        <w:bottom w:val="none" w:sz="0" w:space="0" w:color="auto"/>
        <w:right w:val="none" w:sz="0" w:space="0" w:color="auto"/>
      </w:divBdr>
    </w:div>
    <w:div w:id="976446707">
      <w:marLeft w:val="0"/>
      <w:marRight w:val="0"/>
      <w:marTop w:val="0"/>
      <w:marBottom w:val="120"/>
      <w:divBdr>
        <w:top w:val="none" w:sz="0" w:space="0" w:color="auto"/>
        <w:left w:val="none" w:sz="0" w:space="0" w:color="auto"/>
        <w:bottom w:val="none" w:sz="0" w:space="0" w:color="auto"/>
        <w:right w:val="none" w:sz="0" w:space="0" w:color="auto"/>
      </w:divBdr>
    </w:div>
    <w:div w:id="977538797">
      <w:marLeft w:val="0"/>
      <w:marRight w:val="0"/>
      <w:marTop w:val="0"/>
      <w:marBottom w:val="240"/>
      <w:divBdr>
        <w:top w:val="none" w:sz="0" w:space="0" w:color="auto"/>
        <w:left w:val="none" w:sz="0" w:space="0" w:color="auto"/>
        <w:bottom w:val="none" w:sz="0" w:space="0" w:color="auto"/>
        <w:right w:val="none" w:sz="0" w:space="0" w:color="auto"/>
      </w:divBdr>
    </w:div>
    <w:div w:id="978342593">
      <w:marLeft w:val="0"/>
      <w:marRight w:val="0"/>
      <w:marTop w:val="0"/>
      <w:marBottom w:val="180"/>
      <w:divBdr>
        <w:top w:val="none" w:sz="0" w:space="0" w:color="auto"/>
        <w:left w:val="none" w:sz="0" w:space="0" w:color="auto"/>
        <w:bottom w:val="none" w:sz="0" w:space="0" w:color="auto"/>
        <w:right w:val="none" w:sz="0" w:space="0" w:color="auto"/>
      </w:divBdr>
    </w:div>
    <w:div w:id="978681455">
      <w:marLeft w:val="0"/>
      <w:marRight w:val="0"/>
      <w:marTop w:val="0"/>
      <w:marBottom w:val="0"/>
      <w:divBdr>
        <w:top w:val="none" w:sz="0" w:space="0" w:color="auto"/>
        <w:left w:val="none" w:sz="0" w:space="0" w:color="auto"/>
        <w:bottom w:val="none" w:sz="0" w:space="0" w:color="auto"/>
        <w:right w:val="none" w:sz="0" w:space="0" w:color="auto"/>
      </w:divBdr>
    </w:div>
    <w:div w:id="978997730">
      <w:marLeft w:val="0"/>
      <w:marRight w:val="0"/>
      <w:marTop w:val="180"/>
      <w:marBottom w:val="180"/>
      <w:divBdr>
        <w:top w:val="none" w:sz="0" w:space="0" w:color="auto"/>
        <w:left w:val="none" w:sz="0" w:space="0" w:color="auto"/>
        <w:bottom w:val="none" w:sz="0" w:space="0" w:color="auto"/>
        <w:right w:val="none" w:sz="0" w:space="0" w:color="auto"/>
      </w:divBdr>
    </w:div>
    <w:div w:id="979193904">
      <w:marLeft w:val="0"/>
      <w:marRight w:val="0"/>
      <w:marTop w:val="0"/>
      <w:marBottom w:val="180"/>
      <w:divBdr>
        <w:top w:val="none" w:sz="0" w:space="0" w:color="auto"/>
        <w:left w:val="none" w:sz="0" w:space="0" w:color="auto"/>
        <w:bottom w:val="none" w:sz="0" w:space="0" w:color="auto"/>
        <w:right w:val="none" w:sz="0" w:space="0" w:color="auto"/>
      </w:divBdr>
    </w:div>
    <w:div w:id="979728192">
      <w:marLeft w:val="0"/>
      <w:marRight w:val="0"/>
      <w:marTop w:val="0"/>
      <w:marBottom w:val="0"/>
      <w:divBdr>
        <w:top w:val="none" w:sz="0" w:space="0" w:color="auto"/>
        <w:left w:val="none" w:sz="0" w:space="0" w:color="auto"/>
        <w:bottom w:val="none" w:sz="0" w:space="0" w:color="auto"/>
        <w:right w:val="none" w:sz="0" w:space="0" w:color="auto"/>
      </w:divBdr>
      <w:divsChild>
        <w:div w:id="738599159">
          <w:marLeft w:val="0"/>
          <w:marRight w:val="0"/>
          <w:marTop w:val="0"/>
          <w:marBottom w:val="0"/>
          <w:divBdr>
            <w:top w:val="none" w:sz="0" w:space="0" w:color="auto"/>
            <w:left w:val="none" w:sz="0" w:space="0" w:color="auto"/>
            <w:bottom w:val="none" w:sz="0" w:space="0" w:color="auto"/>
            <w:right w:val="none" w:sz="0" w:space="0" w:color="auto"/>
          </w:divBdr>
        </w:div>
      </w:divsChild>
    </w:div>
    <w:div w:id="980353357">
      <w:marLeft w:val="0"/>
      <w:marRight w:val="0"/>
      <w:marTop w:val="0"/>
      <w:marBottom w:val="180"/>
      <w:divBdr>
        <w:top w:val="none" w:sz="0" w:space="0" w:color="auto"/>
        <w:left w:val="none" w:sz="0" w:space="0" w:color="auto"/>
        <w:bottom w:val="none" w:sz="0" w:space="0" w:color="auto"/>
        <w:right w:val="none" w:sz="0" w:space="0" w:color="auto"/>
      </w:divBdr>
    </w:div>
    <w:div w:id="980380941">
      <w:marLeft w:val="0"/>
      <w:marRight w:val="0"/>
      <w:marTop w:val="0"/>
      <w:marBottom w:val="180"/>
      <w:divBdr>
        <w:top w:val="none" w:sz="0" w:space="0" w:color="auto"/>
        <w:left w:val="none" w:sz="0" w:space="0" w:color="auto"/>
        <w:bottom w:val="none" w:sz="0" w:space="0" w:color="auto"/>
        <w:right w:val="none" w:sz="0" w:space="0" w:color="auto"/>
      </w:divBdr>
    </w:div>
    <w:div w:id="981930085">
      <w:marLeft w:val="0"/>
      <w:marRight w:val="0"/>
      <w:marTop w:val="0"/>
      <w:marBottom w:val="180"/>
      <w:divBdr>
        <w:top w:val="none" w:sz="0" w:space="0" w:color="auto"/>
        <w:left w:val="none" w:sz="0" w:space="0" w:color="auto"/>
        <w:bottom w:val="none" w:sz="0" w:space="0" w:color="auto"/>
        <w:right w:val="none" w:sz="0" w:space="0" w:color="auto"/>
      </w:divBdr>
    </w:div>
    <w:div w:id="982544641">
      <w:marLeft w:val="0"/>
      <w:marRight w:val="0"/>
      <w:marTop w:val="120"/>
      <w:marBottom w:val="180"/>
      <w:divBdr>
        <w:top w:val="none" w:sz="0" w:space="0" w:color="auto"/>
        <w:left w:val="none" w:sz="0" w:space="0" w:color="auto"/>
        <w:bottom w:val="none" w:sz="0" w:space="0" w:color="auto"/>
        <w:right w:val="none" w:sz="0" w:space="0" w:color="auto"/>
      </w:divBdr>
    </w:div>
    <w:div w:id="982661525">
      <w:marLeft w:val="0"/>
      <w:marRight w:val="0"/>
      <w:marTop w:val="0"/>
      <w:marBottom w:val="0"/>
      <w:divBdr>
        <w:top w:val="none" w:sz="0" w:space="0" w:color="auto"/>
        <w:left w:val="none" w:sz="0" w:space="0" w:color="auto"/>
        <w:bottom w:val="none" w:sz="0" w:space="0" w:color="auto"/>
        <w:right w:val="none" w:sz="0" w:space="0" w:color="auto"/>
      </w:divBdr>
    </w:div>
    <w:div w:id="982928650">
      <w:marLeft w:val="0"/>
      <w:marRight w:val="0"/>
      <w:marTop w:val="0"/>
      <w:marBottom w:val="180"/>
      <w:divBdr>
        <w:top w:val="none" w:sz="0" w:space="0" w:color="auto"/>
        <w:left w:val="none" w:sz="0" w:space="0" w:color="auto"/>
        <w:bottom w:val="none" w:sz="0" w:space="0" w:color="auto"/>
        <w:right w:val="none" w:sz="0" w:space="0" w:color="auto"/>
      </w:divBdr>
    </w:div>
    <w:div w:id="983509476">
      <w:marLeft w:val="0"/>
      <w:marRight w:val="0"/>
      <w:marTop w:val="0"/>
      <w:marBottom w:val="0"/>
      <w:divBdr>
        <w:top w:val="none" w:sz="0" w:space="0" w:color="auto"/>
        <w:left w:val="none" w:sz="0" w:space="0" w:color="auto"/>
        <w:bottom w:val="none" w:sz="0" w:space="0" w:color="auto"/>
        <w:right w:val="none" w:sz="0" w:space="0" w:color="auto"/>
      </w:divBdr>
    </w:div>
    <w:div w:id="983850954">
      <w:marLeft w:val="0"/>
      <w:marRight w:val="0"/>
      <w:marTop w:val="0"/>
      <w:marBottom w:val="0"/>
      <w:divBdr>
        <w:top w:val="none" w:sz="0" w:space="0" w:color="auto"/>
        <w:left w:val="none" w:sz="0" w:space="0" w:color="auto"/>
        <w:bottom w:val="none" w:sz="0" w:space="0" w:color="auto"/>
        <w:right w:val="none" w:sz="0" w:space="0" w:color="auto"/>
      </w:divBdr>
      <w:divsChild>
        <w:div w:id="1637224691">
          <w:marLeft w:val="0"/>
          <w:marRight w:val="0"/>
          <w:marTop w:val="0"/>
          <w:marBottom w:val="0"/>
          <w:divBdr>
            <w:top w:val="none" w:sz="0" w:space="0" w:color="auto"/>
            <w:left w:val="none" w:sz="0" w:space="0" w:color="auto"/>
            <w:bottom w:val="none" w:sz="0" w:space="0" w:color="auto"/>
            <w:right w:val="none" w:sz="0" w:space="0" w:color="auto"/>
          </w:divBdr>
        </w:div>
      </w:divsChild>
    </w:div>
    <w:div w:id="983854249">
      <w:marLeft w:val="0"/>
      <w:marRight w:val="0"/>
      <w:marTop w:val="0"/>
      <w:marBottom w:val="180"/>
      <w:divBdr>
        <w:top w:val="none" w:sz="0" w:space="0" w:color="auto"/>
        <w:left w:val="none" w:sz="0" w:space="0" w:color="auto"/>
        <w:bottom w:val="none" w:sz="0" w:space="0" w:color="auto"/>
        <w:right w:val="none" w:sz="0" w:space="0" w:color="auto"/>
      </w:divBdr>
    </w:div>
    <w:div w:id="983896297">
      <w:marLeft w:val="0"/>
      <w:marRight w:val="0"/>
      <w:marTop w:val="180"/>
      <w:marBottom w:val="180"/>
      <w:divBdr>
        <w:top w:val="none" w:sz="0" w:space="0" w:color="auto"/>
        <w:left w:val="none" w:sz="0" w:space="0" w:color="auto"/>
        <w:bottom w:val="none" w:sz="0" w:space="0" w:color="auto"/>
        <w:right w:val="none" w:sz="0" w:space="0" w:color="auto"/>
      </w:divBdr>
    </w:div>
    <w:div w:id="983971045">
      <w:marLeft w:val="0"/>
      <w:marRight w:val="0"/>
      <w:marTop w:val="0"/>
      <w:marBottom w:val="240"/>
      <w:divBdr>
        <w:top w:val="none" w:sz="0" w:space="0" w:color="auto"/>
        <w:left w:val="none" w:sz="0" w:space="0" w:color="auto"/>
        <w:bottom w:val="none" w:sz="0" w:space="0" w:color="auto"/>
        <w:right w:val="none" w:sz="0" w:space="0" w:color="auto"/>
      </w:divBdr>
    </w:div>
    <w:div w:id="984432788">
      <w:marLeft w:val="0"/>
      <w:marRight w:val="0"/>
      <w:marTop w:val="100"/>
      <w:marBottom w:val="180"/>
      <w:divBdr>
        <w:top w:val="none" w:sz="0" w:space="0" w:color="auto"/>
        <w:left w:val="none" w:sz="0" w:space="0" w:color="auto"/>
        <w:bottom w:val="none" w:sz="0" w:space="0" w:color="auto"/>
        <w:right w:val="none" w:sz="0" w:space="0" w:color="auto"/>
      </w:divBdr>
    </w:div>
    <w:div w:id="984548603">
      <w:marLeft w:val="0"/>
      <w:marRight w:val="0"/>
      <w:marTop w:val="0"/>
      <w:marBottom w:val="0"/>
      <w:divBdr>
        <w:top w:val="none" w:sz="0" w:space="0" w:color="auto"/>
        <w:left w:val="none" w:sz="0" w:space="0" w:color="auto"/>
        <w:bottom w:val="none" w:sz="0" w:space="0" w:color="auto"/>
        <w:right w:val="none" w:sz="0" w:space="0" w:color="auto"/>
      </w:divBdr>
      <w:divsChild>
        <w:div w:id="1793087402">
          <w:marLeft w:val="0"/>
          <w:marRight w:val="0"/>
          <w:marTop w:val="0"/>
          <w:marBottom w:val="0"/>
          <w:divBdr>
            <w:top w:val="none" w:sz="0" w:space="0" w:color="auto"/>
            <w:left w:val="none" w:sz="0" w:space="0" w:color="auto"/>
            <w:bottom w:val="none" w:sz="0" w:space="0" w:color="auto"/>
            <w:right w:val="none" w:sz="0" w:space="0" w:color="auto"/>
          </w:divBdr>
        </w:div>
      </w:divsChild>
    </w:div>
    <w:div w:id="985167151">
      <w:marLeft w:val="0"/>
      <w:marRight w:val="0"/>
      <w:marTop w:val="0"/>
      <w:marBottom w:val="0"/>
      <w:divBdr>
        <w:top w:val="none" w:sz="0" w:space="0" w:color="auto"/>
        <w:left w:val="none" w:sz="0" w:space="0" w:color="auto"/>
        <w:bottom w:val="none" w:sz="0" w:space="0" w:color="auto"/>
        <w:right w:val="none" w:sz="0" w:space="0" w:color="auto"/>
      </w:divBdr>
      <w:divsChild>
        <w:div w:id="1756589285">
          <w:marLeft w:val="0"/>
          <w:marRight w:val="0"/>
          <w:marTop w:val="0"/>
          <w:marBottom w:val="0"/>
          <w:divBdr>
            <w:top w:val="none" w:sz="0" w:space="0" w:color="auto"/>
            <w:left w:val="none" w:sz="0" w:space="0" w:color="auto"/>
            <w:bottom w:val="none" w:sz="0" w:space="0" w:color="auto"/>
            <w:right w:val="none" w:sz="0" w:space="0" w:color="auto"/>
          </w:divBdr>
        </w:div>
      </w:divsChild>
    </w:div>
    <w:div w:id="985354607">
      <w:marLeft w:val="0"/>
      <w:marRight w:val="0"/>
      <w:marTop w:val="0"/>
      <w:marBottom w:val="180"/>
      <w:divBdr>
        <w:top w:val="none" w:sz="0" w:space="0" w:color="auto"/>
        <w:left w:val="none" w:sz="0" w:space="0" w:color="auto"/>
        <w:bottom w:val="none" w:sz="0" w:space="0" w:color="auto"/>
        <w:right w:val="none" w:sz="0" w:space="0" w:color="auto"/>
      </w:divBdr>
    </w:div>
    <w:div w:id="985474789">
      <w:marLeft w:val="0"/>
      <w:marRight w:val="0"/>
      <w:marTop w:val="0"/>
      <w:marBottom w:val="0"/>
      <w:divBdr>
        <w:top w:val="none" w:sz="0" w:space="0" w:color="auto"/>
        <w:left w:val="none" w:sz="0" w:space="0" w:color="auto"/>
        <w:bottom w:val="none" w:sz="0" w:space="0" w:color="auto"/>
        <w:right w:val="none" w:sz="0" w:space="0" w:color="auto"/>
      </w:divBdr>
    </w:div>
    <w:div w:id="986323562">
      <w:marLeft w:val="0"/>
      <w:marRight w:val="0"/>
      <w:marTop w:val="0"/>
      <w:marBottom w:val="180"/>
      <w:divBdr>
        <w:top w:val="none" w:sz="0" w:space="0" w:color="auto"/>
        <w:left w:val="none" w:sz="0" w:space="0" w:color="auto"/>
        <w:bottom w:val="none" w:sz="0" w:space="0" w:color="auto"/>
        <w:right w:val="none" w:sz="0" w:space="0" w:color="auto"/>
      </w:divBdr>
    </w:div>
    <w:div w:id="986396920">
      <w:marLeft w:val="0"/>
      <w:marRight w:val="0"/>
      <w:marTop w:val="0"/>
      <w:marBottom w:val="180"/>
      <w:divBdr>
        <w:top w:val="none" w:sz="0" w:space="0" w:color="auto"/>
        <w:left w:val="none" w:sz="0" w:space="0" w:color="auto"/>
        <w:bottom w:val="none" w:sz="0" w:space="0" w:color="auto"/>
        <w:right w:val="none" w:sz="0" w:space="0" w:color="auto"/>
      </w:divBdr>
    </w:div>
    <w:div w:id="986663993">
      <w:marLeft w:val="0"/>
      <w:marRight w:val="0"/>
      <w:marTop w:val="0"/>
      <w:marBottom w:val="240"/>
      <w:divBdr>
        <w:top w:val="none" w:sz="0" w:space="0" w:color="auto"/>
        <w:left w:val="none" w:sz="0" w:space="0" w:color="auto"/>
        <w:bottom w:val="none" w:sz="0" w:space="0" w:color="auto"/>
        <w:right w:val="none" w:sz="0" w:space="0" w:color="auto"/>
      </w:divBdr>
    </w:div>
    <w:div w:id="986981616">
      <w:marLeft w:val="0"/>
      <w:marRight w:val="0"/>
      <w:marTop w:val="0"/>
      <w:marBottom w:val="240"/>
      <w:divBdr>
        <w:top w:val="none" w:sz="0" w:space="0" w:color="auto"/>
        <w:left w:val="none" w:sz="0" w:space="0" w:color="auto"/>
        <w:bottom w:val="none" w:sz="0" w:space="0" w:color="auto"/>
        <w:right w:val="none" w:sz="0" w:space="0" w:color="auto"/>
      </w:divBdr>
    </w:div>
    <w:div w:id="989554209">
      <w:marLeft w:val="0"/>
      <w:marRight w:val="0"/>
      <w:marTop w:val="0"/>
      <w:marBottom w:val="180"/>
      <w:divBdr>
        <w:top w:val="none" w:sz="0" w:space="0" w:color="auto"/>
        <w:left w:val="none" w:sz="0" w:space="0" w:color="auto"/>
        <w:bottom w:val="none" w:sz="0" w:space="0" w:color="auto"/>
        <w:right w:val="none" w:sz="0" w:space="0" w:color="auto"/>
      </w:divBdr>
    </w:div>
    <w:div w:id="989821035">
      <w:marLeft w:val="0"/>
      <w:marRight w:val="0"/>
      <w:marTop w:val="0"/>
      <w:marBottom w:val="180"/>
      <w:divBdr>
        <w:top w:val="none" w:sz="0" w:space="0" w:color="auto"/>
        <w:left w:val="none" w:sz="0" w:space="0" w:color="auto"/>
        <w:bottom w:val="none" w:sz="0" w:space="0" w:color="auto"/>
        <w:right w:val="none" w:sz="0" w:space="0" w:color="auto"/>
      </w:divBdr>
    </w:div>
    <w:div w:id="990255385">
      <w:marLeft w:val="0"/>
      <w:marRight w:val="0"/>
      <w:marTop w:val="0"/>
      <w:marBottom w:val="180"/>
      <w:divBdr>
        <w:top w:val="none" w:sz="0" w:space="0" w:color="auto"/>
        <w:left w:val="none" w:sz="0" w:space="0" w:color="auto"/>
        <w:bottom w:val="none" w:sz="0" w:space="0" w:color="auto"/>
        <w:right w:val="none" w:sz="0" w:space="0" w:color="auto"/>
      </w:divBdr>
    </w:div>
    <w:div w:id="991103791">
      <w:marLeft w:val="0"/>
      <w:marRight w:val="0"/>
      <w:marTop w:val="180"/>
      <w:marBottom w:val="180"/>
      <w:divBdr>
        <w:top w:val="none" w:sz="0" w:space="0" w:color="auto"/>
        <w:left w:val="none" w:sz="0" w:space="0" w:color="auto"/>
        <w:bottom w:val="none" w:sz="0" w:space="0" w:color="auto"/>
        <w:right w:val="none" w:sz="0" w:space="0" w:color="auto"/>
      </w:divBdr>
    </w:div>
    <w:div w:id="991494332">
      <w:marLeft w:val="0"/>
      <w:marRight w:val="0"/>
      <w:marTop w:val="0"/>
      <w:marBottom w:val="240"/>
      <w:divBdr>
        <w:top w:val="none" w:sz="0" w:space="0" w:color="auto"/>
        <w:left w:val="none" w:sz="0" w:space="0" w:color="auto"/>
        <w:bottom w:val="none" w:sz="0" w:space="0" w:color="auto"/>
        <w:right w:val="none" w:sz="0" w:space="0" w:color="auto"/>
      </w:divBdr>
    </w:div>
    <w:div w:id="992106792">
      <w:marLeft w:val="0"/>
      <w:marRight w:val="0"/>
      <w:marTop w:val="0"/>
      <w:marBottom w:val="240"/>
      <w:divBdr>
        <w:top w:val="none" w:sz="0" w:space="0" w:color="auto"/>
        <w:left w:val="none" w:sz="0" w:space="0" w:color="auto"/>
        <w:bottom w:val="none" w:sz="0" w:space="0" w:color="auto"/>
        <w:right w:val="none" w:sz="0" w:space="0" w:color="auto"/>
      </w:divBdr>
    </w:div>
    <w:div w:id="993803369">
      <w:marLeft w:val="0"/>
      <w:marRight w:val="0"/>
      <w:marTop w:val="0"/>
      <w:marBottom w:val="0"/>
      <w:divBdr>
        <w:top w:val="none" w:sz="0" w:space="0" w:color="auto"/>
        <w:left w:val="none" w:sz="0" w:space="0" w:color="auto"/>
        <w:bottom w:val="none" w:sz="0" w:space="0" w:color="auto"/>
        <w:right w:val="none" w:sz="0" w:space="0" w:color="auto"/>
      </w:divBdr>
    </w:div>
    <w:div w:id="994449968">
      <w:marLeft w:val="0"/>
      <w:marRight w:val="0"/>
      <w:marTop w:val="0"/>
      <w:marBottom w:val="240"/>
      <w:divBdr>
        <w:top w:val="none" w:sz="0" w:space="0" w:color="auto"/>
        <w:left w:val="none" w:sz="0" w:space="0" w:color="auto"/>
        <w:bottom w:val="none" w:sz="0" w:space="0" w:color="auto"/>
        <w:right w:val="none" w:sz="0" w:space="0" w:color="auto"/>
      </w:divBdr>
    </w:div>
    <w:div w:id="996885938">
      <w:marLeft w:val="0"/>
      <w:marRight w:val="0"/>
      <w:marTop w:val="0"/>
      <w:marBottom w:val="180"/>
      <w:divBdr>
        <w:top w:val="none" w:sz="0" w:space="0" w:color="auto"/>
        <w:left w:val="none" w:sz="0" w:space="0" w:color="auto"/>
        <w:bottom w:val="none" w:sz="0" w:space="0" w:color="auto"/>
        <w:right w:val="none" w:sz="0" w:space="0" w:color="auto"/>
      </w:divBdr>
    </w:div>
    <w:div w:id="998659039">
      <w:marLeft w:val="0"/>
      <w:marRight w:val="0"/>
      <w:marTop w:val="120"/>
      <w:marBottom w:val="240"/>
      <w:divBdr>
        <w:top w:val="none" w:sz="0" w:space="0" w:color="auto"/>
        <w:left w:val="none" w:sz="0" w:space="0" w:color="auto"/>
        <w:bottom w:val="none" w:sz="0" w:space="0" w:color="auto"/>
        <w:right w:val="none" w:sz="0" w:space="0" w:color="auto"/>
      </w:divBdr>
    </w:div>
    <w:div w:id="999844153">
      <w:marLeft w:val="0"/>
      <w:marRight w:val="0"/>
      <w:marTop w:val="0"/>
      <w:marBottom w:val="0"/>
      <w:divBdr>
        <w:top w:val="none" w:sz="0" w:space="0" w:color="auto"/>
        <w:left w:val="none" w:sz="0" w:space="0" w:color="auto"/>
        <w:bottom w:val="none" w:sz="0" w:space="0" w:color="auto"/>
        <w:right w:val="none" w:sz="0" w:space="0" w:color="auto"/>
      </w:divBdr>
    </w:div>
    <w:div w:id="1000086477">
      <w:marLeft w:val="0"/>
      <w:marRight w:val="0"/>
      <w:marTop w:val="180"/>
      <w:marBottom w:val="180"/>
      <w:divBdr>
        <w:top w:val="none" w:sz="0" w:space="0" w:color="auto"/>
        <w:left w:val="none" w:sz="0" w:space="0" w:color="auto"/>
        <w:bottom w:val="none" w:sz="0" w:space="0" w:color="auto"/>
        <w:right w:val="none" w:sz="0" w:space="0" w:color="auto"/>
      </w:divBdr>
    </w:div>
    <w:div w:id="1001006920">
      <w:marLeft w:val="0"/>
      <w:marRight w:val="0"/>
      <w:marTop w:val="0"/>
      <w:marBottom w:val="0"/>
      <w:divBdr>
        <w:top w:val="none" w:sz="0" w:space="0" w:color="auto"/>
        <w:left w:val="none" w:sz="0" w:space="0" w:color="auto"/>
        <w:bottom w:val="none" w:sz="0" w:space="0" w:color="auto"/>
        <w:right w:val="none" w:sz="0" w:space="0" w:color="auto"/>
      </w:divBdr>
    </w:div>
    <w:div w:id="1001084277">
      <w:marLeft w:val="0"/>
      <w:marRight w:val="0"/>
      <w:marTop w:val="0"/>
      <w:marBottom w:val="240"/>
      <w:divBdr>
        <w:top w:val="none" w:sz="0" w:space="0" w:color="auto"/>
        <w:left w:val="none" w:sz="0" w:space="0" w:color="auto"/>
        <w:bottom w:val="none" w:sz="0" w:space="0" w:color="auto"/>
        <w:right w:val="none" w:sz="0" w:space="0" w:color="auto"/>
      </w:divBdr>
    </w:div>
    <w:div w:id="1001203677">
      <w:marLeft w:val="0"/>
      <w:marRight w:val="0"/>
      <w:marTop w:val="0"/>
      <w:marBottom w:val="240"/>
      <w:divBdr>
        <w:top w:val="none" w:sz="0" w:space="0" w:color="auto"/>
        <w:left w:val="none" w:sz="0" w:space="0" w:color="auto"/>
        <w:bottom w:val="none" w:sz="0" w:space="0" w:color="auto"/>
        <w:right w:val="none" w:sz="0" w:space="0" w:color="auto"/>
      </w:divBdr>
    </w:div>
    <w:div w:id="1002510089">
      <w:marLeft w:val="0"/>
      <w:marRight w:val="0"/>
      <w:marTop w:val="0"/>
      <w:marBottom w:val="240"/>
      <w:divBdr>
        <w:top w:val="none" w:sz="0" w:space="0" w:color="auto"/>
        <w:left w:val="none" w:sz="0" w:space="0" w:color="auto"/>
        <w:bottom w:val="none" w:sz="0" w:space="0" w:color="auto"/>
        <w:right w:val="none" w:sz="0" w:space="0" w:color="auto"/>
      </w:divBdr>
    </w:div>
    <w:div w:id="1004280467">
      <w:marLeft w:val="0"/>
      <w:marRight w:val="0"/>
      <w:marTop w:val="0"/>
      <w:marBottom w:val="180"/>
      <w:divBdr>
        <w:top w:val="none" w:sz="0" w:space="0" w:color="auto"/>
        <w:left w:val="none" w:sz="0" w:space="0" w:color="auto"/>
        <w:bottom w:val="none" w:sz="0" w:space="0" w:color="auto"/>
        <w:right w:val="none" w:sz="0" w:space="0" w:color="auto"/>
      </w:divBdr>
    </w:div>
    <w:div w:id="1004667552">
      <w:marLeft w:val="0"/>
      <w:marRight w:val="0"/>
      <w:marTop w:val="0"/>
      <w:marBottom w:val="240"/>
      <w:divBdr>
        <w:top w:val="none" w:sz="0" w:space="0" w:color="auto"/>
        <w:left w:val="none" w:sz="0" w:space="0" w:color="auto"/>
        <w:bottom w:val="none" w:sz="0" w:space="0" w:color="auto"/>
        <w:right w:val="none" w:sz="0" w:space="0" w:color="auto"/>
      </w:divBdr>
    </w:div>
    <w:div w:id="1005085265">
      <w:marLeft w:val="0"/>
      <w:marRight w:val="0"/>
      <w:marTop w:val="0"/>
      <w:marBottom w:val="0"/>
      <w:divBdr>
        <w:top w:val="none" w:sz="0" w:space="0" w:color="auto"/>
        <w:left w:val="none" w:sz="0" w:space="0" w:color="auto"/>
        <w:bottom w:val="none" w:sz="0" w:space="0" w:color="auto"/>
        <w:right w:val="none" w:sz="0" w:space="0" w:color="auto"/>
      </w:divBdr>
      <w:divsChild>
        <w:div w:id="2114663936">
          <w:marLeft w:val="0"/>
          <w:marRight w:val="0"/>
          <w:marTop w:val="0"/>
          <w:marBottom w:val="0"/>
          <w:divBdr>
            <w:top w:val="none" w:sz="0" w:space="0" w:color="auto"/>
            <w:left w:val="none" w:sz="0" w:space="0" w:color="auto"/>
            <w:bottom w:val="none" w:sz="0" w:space="0" w:color="auto"/>
            <w:right w:val="none" w:sz="0" w:space="0" w:color="auto"/>
          </w:divBdr>
        </w:div>
      </w:divsChild>
    </w:div>
    <w:div w:id="1008599675">
      <w:marLeft w:val="0"/>
      <w:marRight w:val="0"/>
      <w:marTop w:val="0"/>
      <w:marBottom w:val="60"/>
      <w:divBdr>
        <w:top w:val="none" w:sz="0" w:space="0" w:color="auto"/>
        <w:left w:val="none" w:sz="0" w:space="0" w:color="auto"/>
        <w:bottom w:val="none" w:sz="0" w:space="0" w:color="auto"/>
        <w:right w:val="none" w:sz="0" w:space="0" w:color="auto"/>
      </w:divBdr>
    </w:div>
    <w:div w:id="1008992891">
      <w:marLeft w:val="0"/>
      <w:marRight w:val="0"/>
      <w:marTop w:val="0"/>
      <w:marBottom w:val="240"/>
      <w:divBdr>
        <w:top w:val="none" w:sz="0" w:space="0" w:color="auto"/>
        <w:left w:val="none" w:sz="0" w:space="0" w:color="auto"/>
        <w:bottom w:val="none" w:sz="0" w:space="0" w:color="auto"/>
        <w:right w:val="none" w:sz="0" w:space="0" w:color="auto"/>
      </w:divBdr>
    </w:div>
    <w:div w:id="1011108342">
      <w:marLeft w:val="0"/>
      <w:marRight w:val="0"/>
      <w:marTop w:val="0"/>
      <w:marBottom w:val="0"/>
      <w:divBdr>
        <w:top w:val="none" w:sz="0" w:space="0" w:color="auto"/>
        <w:left w:val="none" w:sz="0" w:space="0" w:color="auto"/>
        <w:bottom w:val="none" w:sz="0" w:space="0" w:color="auto"/>
        <w:right w:val="none" w:sz="0" w:space="0" w:color="auto"/>
      </w:divBdr>
    </w:div>
    <w:div w:id="1012142340">
      <w:marLeft w:val="0"/>
      <w:marRight w:val="0"/>
      <w:marTop w:val="0"/>
      <w:marBottom w:val="0"/>
      <w:divBdr>
        <w:top w:val="none" w:sz="0" w:space="0" w:color="auto"/>
        <w:left w:val="none" w:sz="0" w:space="0" w:color="auto"/>
        <w:bottom w:val="none" w:sz="0" w:space="0" w:color="auto"/>
        <w:right w:val="none" w:sz="0" w:space="0" w:color="auto"/>
      </w:divBdr>
    </w:div>
    <w:div w:id="1012343619">
      <w:marLeft w:val="0"/>
      <w:marRight w:val="0"/>
      <w:marTop w:val="0"/>
      <w:marBottom w:val="0"/>
      <w:divBdr>
        <w:top w:val="none" w:sz="0" w:space="0" w:color="auto"/>
        <w:left w:val="none" w:sz="0" w:space="0" w:color="auto"/>
        <w:bottom w:val="none" w:sz="0" w:space="0" w:color="auto"/>
        <w:right w:val="none" w:sz="0" w:space="0" w:color="auto"/>
      </w:divBdr>
      <w:divsChild>
        <w:div w:id="973363278">
          <w:marLeft w:val="0"/>
          <w:marRight w:val="0"/>
          <w:marTop w:val="0"/>
          <w:marBottom w:val="0"/>
          <w:divBdr>
            <w:top w:val="none" w:sz="0" w:space="0" w:color="auto"/>
            <w:left w:val="none" w:sz="0" w:space="0" w:color="auto"/>
            <w:bottom w:val="none" w:sz="0" w:space="0" w:color="auto"/>
            <w:right w:val="none" w:sz="0" w:space="0" w:color="auto"/>
          </w:divBdr>
        </w:div>
      </w:divsChild>
    </w:div>
    <w:div w:id="1012534959">
      <w:marLeft w:val="0"/>
      <w:marRight w:val="0"/>
      <w:marTop w:val="120"/>
      <w:marBottom w:val="180"/>
      <w:divBdr>
        <w:top w:val="none" w:sz="0" w:space="0" w:color="auto"/>
        <w:left w:val="none" w:sz="0" w:space="0" w:color="auto"/>
        <w:bottom w:val="none" w:sz="0" w:space="0" w:color="auto"/>
        <w:right w:val="none" w:sz="0" w:space="0" w:color="auto"/>
      </w:divBdr>
    </w:div>
    <w:div w:id="1013149681">
      <w:marLeft w:val="0"/>
      <w:marRight w:val="0"/>
      <w:marTop w:val="100"/>
      <w:marBottom w:val="0"/>
      <w:divBdr>
        <w:top w:val="none" w:sz="0" w:space="0" w:color="auto"/>
        <w:left w:val="none" w:sz="0" w:space="0" w:color="auto"/>
        <w:bottom w:val="none" w:sz="0" w:space="0" w:color="auto"/>
        <w:right w:val="none" w:sz="0" w:space="0" w:color="auto"/>
      </w:divBdr>
      <w:divsChild>
        <w:div w:id="1096094895">
          <w:marLeft w:val="0"/>
          <w:marRight w:val="0"/>
          <w:marTop w:val="0"/>
          <w:marBottom w:val="0"/>
          <w:divBdr>
            <w:top w:val="none" w:sz="0" w:space="0" w:color="auto"/>
            <w:left w:val="none" w:sz="0" w:space="0" w:color="auto"/>
            <w:bottom w:val="none" w:sz="0" w:space="0" w:color="auto"/>
            <w:right w:val="none" w:sz="0" w:space="0" w:color="auto"/>
          </w:divBdr>
        </w:div>
        <w:div w:id="2031642792">
          <w:marLeft w:val="0"/>
          <w:marRight w:val="0"/>
          <w:marTop w:val="0"/>
          <w:marBottom w:val="0"/>
          <w:divBdr>
            <w:top w:val="none" w:sz="0" w:space="0" w:color="auto"/>
            <w:left w:val="none" w:sz="0" w:space="0" w:color="auto"/>
            <w:bottom w:val="none" w:sz="0" w:space="0" w:color="auto"/>
            <w:right w:val="none" w:sz="0" w:space="0" w:color="auto"/>
          </w:divBdr>
        </w:div>
        <w:div w:id="171839516">
          <w:marLeft w:val="0"/>
          <w:marRight w:val="0"/>
          <w:marTop w:val="0"/>
          <w:marBottom w:val="0"/>
          <w:divBdr>
            <w:top w:val="none" w:sz="0" w:space="0" w:color="auto"/>
            <w:left w:val="none" w:sz="0" w:space="0" w:color="auto"/>
            <w:bottom w:val="none" w:sz="0" w:space="0" w:color="auto"/>
            <w:right w:val="none" w:sz="0" w:space="0" w:color="auto"/>
          </w:divBdr>
        </w:div>
      </w:divsChild>
    </w:div>
    <w:div w:id="1013536840">
      <w:marLeft w:val="0"/>
      <w:marRight w:val="0"/>
      <w:marTop w:val="0"/>
      <w:marBottom w:val="180"/>
      <w:divBdr>
        <w:top w:val="none" w:sz="0" w:space="0" w:color="auto"/>
        <w:left w:val="none" w:sz="0" w:space="0" w:color="auto"/>
        <w:bottom w:val="none" w:sz="0" w:space="0" w:color="auto"/>
        <w:right w:val="none" w:sz="0" w:space="0" w:color="auto"/>
      </w:divBdr>
    </w:div>
    <w:div w:id="1015107908">
      <w:marLeft w:val="0"/>
      <w:marRight w:val="0"/>
      <w:marTop w:val="0"/>
      <w:marBottom w:val="180"/>
      <w:divBdr>
        <w:top w:val="none" w:sz="0" w:space="0" w:color="auto"/>
        <w:left w:val="none" w:sz="0" w:space="0" w:color="auto"/>
        <w:bottom w:val="none" w:sz="0" w:space="0" w:color="auto"/>
        <w:right w:val="none" w:sz="0" w:space="0" w:color="auto"/>
      </w:divBdr>
    </w:div>
    <w:div w:id="1016271226">
      <w:marLeft w:val="0"/>
      <w:marRight w:val="0"/>
      <w:marTop w:val="0"/>
      <w:marBottom w:val="240"/>
      <w:divBdr>
        <w:top w:val="none" w:sz="0" w:space="0" w:color="auto"/>
        <w:left w:val="none" w:sz="0" w:space="0" w:color="auto"/>
        <w:bottom w:val="none" w:sz="0" w:space="0" w:color="auto"/>
        <w:right w:val="none" w:sz="0" w:space="0" w:color="auto"/>
      </w:divBdr>
    </w:div>
    <w:div w:id="1016345460">
      <w:marLeft w:val="0"/>
      <w:marRight w:val="0"/>
      <w:marTop w:val="0"/>
      <w:marBottom w:val="240"/>
      <w:divBdr>
        <w:top w:val="none" w:sz="0" w:space="0" w:color="auto"/>
        <w:left w:val="none" w:sz="0" w:space="0" w:color="auto"/>
        <w:bottom w:val="none" w:sz="0" w:space="0" w:color="auto"/>
        <w:right w:val="none" w:sz="0" w:space="0" w:color="auto"/>
      </w:divBdr>
    </w:div>
    <w:div w:id="1016346994">
      <w:marLeft w:val="0"/>
      <w:marRight w:val="0"/>
      <w:marTop w:val="0"/>
      <w:marBottom w:val="180"/>
      <w:divBdr>
        <w:top w:val="none" w:sz="0" w:space="0" w:color="auto"/>
        <w:left w:val="none" w:sz="0" w:space="0" w:color="auto"/>
        <w:bottom w:val="none" w:sz="0" w:space="0" w:color="auto"/>
        <w:right w:val="none" w:sz="0" w:space="0" w:color="auto"/>
      </w:divBdr>
    </w:div>
    <w:div w:id="1016540310">
      <w:marLeft w:val="0"/>
      <w:marRight w:val="0"/>
      <w:marTop w:val="120"/>
      <w:marBottom w:val="120"/>
      <w:divBdr>
        <w:top w:val="none" w:sz="0" w:space="0" w:color="auto"/>
        <w:left w:val="none" w:sz="0" w:space="0" w:color="auto"/>
        <w:bottom w:val="none" w:sz="0" w:space="0" w:color="auto"/>
        <w:right w:val="none" w:sz="0" w:space="0" w:color="auto"/>
      </w:divBdr>
    </w:div>
    <w:div w:id="1016544455">
      <w:marLeft w:val="0"/>
      <w:marRight w:val="0"/>
      <w:marTop w:val="0"/>
      <w:marBottom w:val="0"/>
      <w:divBdr>
        <w:top w:val="none" w:sz="0" w:space="0" w:color="auto"/>
        <w:left w:val="none" w:sz="0" w:space="0" w:color="auto"/>
        <w:bottom w:val="none" w:sz="0" w:space="0" w:color="auto"/>
        <w:right w:val="none" w:sz="0" w:space="0" w:color="auto"/>
      </w:divBdr>
    </w:div>
    <w:div w:id="1017191479">
      <w:marLeft w:val="0"/>
      <w:marRight w:val="0"/>
      <w:marTop w:val="0"/>
      <w:marBottom w:val="180"/>
      <w:divBdr>
        <w:top w:val="none" w:sz="0" w:space="0" w:color="auto"/>
        <w:left w:val="none" w:sz="0" w:space="0" w:color="auto"/>
        <w:bottom w:val="none" w:sz="0" w:space="0" w:color="auto"/>
        <w:right w:val="none" w:sz="0" w:space="0" w:color="auto"/>
      </w:divBdr>
    </w:div>
    <w:div w:id="1017389967">
      <w:marLeft w:val="0"/>
      <w:marRight w:val="0"/>
      <w:marTop w:val="0"/>
      <w:marBottom w:val="240"/>
      <w:divBdr>
        <w:top w:val="none" w:sz="0" w:space="0" w:color="auto"/>
        <w:left w:val="none" w:sz="0" w:space="0" w:color="auto"/>
        <w:bottom w:val="none" w:sz="0" w:space="0" w:color="auto"/>
        <w:right w:val="none" w:sz="0" w:space="0" w:color="auto"/>
      </w:divBdr>
    </w:div>
    <w:div w:id="1019048014">
      <w:marLeft w:val="0"/>
      <w:marRight w:val="0"/>
      <w:marTop w:val="0"/>
      <w:marBottom w:val="0"/>
      <w:divBdr>
        <w:top w:val="none" w:sz="0" w:space="0" w:color="auto"/>
        <w:left w:val="none" w:sz="0" w:space="0" w:color="auto"/>
        <w:bottom w:val="none" w:sz="0" w:space="0" w:color="auto"/>
        <w:right w:val="none" w:sz="0" w:space="0" w:color="auto"/>
      </w:divBdr>
    </w:div>
    <w:div w:id="1019552904">
      <w:marLeft w:val="0"/>
      <w:marRight w:val="0"/>
      <w:marTop w:val="0"/>
      <w:marBottom w:val="180"/>
      <w:divBdr>
        <w:top w:val="none" w:sz="0" w:space="0" w:color="auto"/>
        <w:left w:val="none" w:sz="0" w:space="0" w:color="auto"/>
        <w:bottom w:val="none" w:sz="0" w:space="0" w:color="auto"/>
        <w:right w:val="none" w:sz="0" w:space="0" w:color="auto"/>
      </w:divBdr>
    </w:div>
    <w:div w:id="1019619184">
      <w:marLeft w:val="0"/>
      <w:marRight w:val="0"/>
      <w:marTop w:val="0"/>
      <w:marBottom w:val="180"/>
      <w:divBdr>
        <w:top w:val="none" w:sz="0" w:space="0" w:color="auto"/>
        <w:left w:val="none" w:sz="0" w:space="0" w:color="auto"/>
        <w:bottom w:val="none" w:sz="0" w:space="0" w:color="auto"/>
        <w:right w:val="none" w:sz="0" w:space="0" w:color="auto"/>
      </w:divBdr>
    </w:div>
    <w:div w:id="1019966756">
      <w:marLeft w:val="0"/>
      <w:marRight w:val="0"/>
      <w:marTop w:val="120"/>
      <w:marBottom w:val="180"/>
      <w:divBdr>
        <w:top w:val="none" w:sz="0" w:space="0" w:color="auto"/>
        <w:left w:val="none" w:sz="0" w:space="0" w:color="auto"/>
        <w:bottom w:val="none" w:sz="0" w:space="0" w:color="auto"/>
        <w:right w:val="none" w:sz="0" w:space="0" w:color="auto"/>
      </w:divBdr>
    </w:div>
    <w:div w:id="1020670300">
      <w:marLeft w:val="0"/>
      <w:marRight w:val="0"/>
      <w:marTop w:val="180"/>
      <w:marBottom w:val="180"/>
      <w:divBdr>
        <w:top w:val="none" w:sz="0" w:space="0" w:color="auto"/>
        <w:left w:val="none" w:sz="0" w:space="0" w:color="auto"/>
        <w:bottom w:val="none" w:sz="0" w:space="0" w:color="auto"/>
        <w:right w:val="none" w:sz="0" w:space="0" w:color="auto"/>
      </w:divBdr>
    </w:div>
    <w:div w:id="1021468440">
      <w:marLeft w:val="0"/>
      <w:marRight w:val="0"/>
      <w:marTop w:val="0"/>
      <w:marBottom w:val="180"/>
      <w:divBdr>
        <w:top w:val="none" w:sz="0" w:space="0" w:color="auto"/>
        <w:left w:val="none" w:sz="0" w:space="0" w:color="auto"/>
        <w:bottom w:val="none" w:sz="0" w:space="0" w:color="auto"/>
        <w:right w:val="none" w:sz="0" w:space="0" w:color="auto"/>
      </w:divBdr>
    </w:div>
    <w:div w:id="1021513277">
      <w:marLeft w:val="0"/>
      <w:marRight w:val="0"/>
      <w:marTop w:val="0"/>
      <w:marBottom w:val="240"/>
      <w:divBdr>
        <w:top w:val="none" w:sz="0" w:space="0" w:color="auto"/>
        <w:left w:val="none" w:sz="0" w:space="0" w:color="auto"/>
        <w:bottom w:val="none" w:sz="0" w:space="0" w:color="auto"/>
        <w:right w:val="none" w:sz="0" w:space="0" w:color="auto"/>
      </w:divBdr>
    </w:div>
    <w:div w:id="1021709585">
      <w:marLeft w:val="0"/>
      <w:marRight w:val="0"/>
      <w:marTop w:val="0"/>
      <w:marBottom w:val="240"/>
      <w:divBdr>
        <w:top w:val="none" w:sz="0" w:space="0" w:color="auto"/>
        <w:left w:val="none" w:sz="0" w:space="0" w:color="auto"/>
        <w:bottom w:val="none" w:sz="0" w:space="0" w:color="auto"/>
        <w:right w:val="none" w:sz="0" w:space="0" w:color="auto"/>
      </w:divBdr>
    </w:div>
    <w:div w:id="1022047792">
      <w:marLeft w:val="0"/>
      <w:marRight w:val="0"/>
      <w:marTop w:val="0"/>
      <w:marBottom w:val="0"/>
      <w:divBdr>
        <w:top w:val="none" w:sz="0" w:space="0" w:color="auto"/>
        <w:left w:val="none" w:sz="0" w:space="0" w:color="auto"/>
        <w:bottom w:val="none" w:sz="0" w:space="0" w:color="auto"/>
        <w:right w:val="none" w:sz="0" w:space="0" w:color="auto"/>
      </w:divBdr>
      <w:divsChild>
        <w:div w:id="467893862">
          <w:marLeft w:val="0"/>
          <w:marRight w:val="0"/>
          <w:marTop w:val="0"/>
          <w:marBottom w:val="0"/>
          <w:divBdr>
            <w:top w:val="none" w:sz="0" w:space="0" w:color="auto"/>
            <w:left w:val="none" w:sz="0" w:space="0" w:color="auto"/>
            <w:bottom w:val="none" w:sz="0" w:space="0" w:color="auto"/>
            <w:right w:val="none" w:sz="0" w:space="0" w:color="auto"/>
          </w:divBdr>
        </w:div>
      </w:divsChild>
    </w:div>
    <w:div w:id="1022246880">
      <w:marLeft w:val="0"/>
      <w:marRight w:val="0"/>
      <w:marTop w:val="0"/>
      <w:marBottom w:val="180"/>
      <w:divBdr>
        <w:top w:val="none" w:sz="0" w:space="0" w:color="auto"/>
        <w:left w:val="none" w:sz="0" w:space="0" w:color="auto"/>
        <w:bottom w:val="none" w:sz="0" w:space="0" w:color="auto"/>
        <w:right w:val="none" w:sz="0" w:space="0" w:color="auto"/>
      </w:divBdr>
    </w:div>
    <w:div w:id="1022433265">
      <w:marLeft w:val="0"/>
      <w:marRight w:val="0"/>
      <w:marTop w:val="0"/>
      <w:marBottom w:val="0"/>
      <w:divBdr>
        <w:top w:val="none" w:sz="0" w:space="0" w:color="auto"/>
        <w:left w:val="none" w:sz="0" w:space="0" w:color="auto"/>
        <w:bottom w:val="none" w:sz="0" w:space="0" w:color="auto"/>
        <w:right w:val="none" w:sz="0" w:space="0" w:color="auto"/>
      </w:divBdr>
    </w:div>
    <w:div w:id="1022820496">
      <w:marLeft w:val="0"/>
      <w:marRight w:val="0"/>
      <w:marTop w:val="0"/>
      <w:marBottom w:val="180"/>
      <w:divBdr>
        <w:top w:val="none" w:sz="0" w:space="0" w:color="auto"/>
        <w:left w:val="none" w:sz="0" w:space="0" w:color="auto"/>
        <w:bottom w:val="none" w:sz="0" w:space="0" w:color="auto"/>
        <w:right w:val="none" w:sz="0" w:space="0" w:color="auto"/>
      </w:divBdr>
    </w:div>
    <w:div w:id="1025181335">
      <w:marLeft w:val="0"/>
      <w:marRight w:val="0"/>
      <w:marTop w:val="0"/>
      <w:marBottom w:val="0"/>
      <w:divBdr>
        <w:top w:val="none" w:sz="0" w:space="0" w:color="auto"/>
        <w:left w:val="none" w:sz="0" w:space="0" w:color="auto"/>
        <w:bottom w:val="none" w:sz="0" w:space="0" w:color="auto"/>
        <w:right w:val="none" w:sz="0" w:space="0" w:color="auto"/>
      </w:divBdr>
    </w:div>
    <w:div w:id="1026054672">
      <w:marLeft w:val="0"/>
      <w:marRight w:val="0"/>
      <w:marTop w:val="0"/>
      <w:marBottom w:val="240"/>
      <w:divBdr>
        <w:top w:val="none" w:sz="0" w:space="0" w:color="auto"/>
        <w:left w:val="none" w:sz="0" w:space="0" w:color="auto"/>
        <w:bottom w:val="none" w:sz="0" w:space="0" w:color="auto"/>
        <w:right w:val="none" w:sz="0" w:space="0" w:color="auto"/>
      </w:divBdr>
    </w:div>
    <w:div w:id="1026056110">
      <w:marLeft w:val="0"/>
      <w:marRight w:val="0"/>
      <w:marTop w:val="0"/>
      <w:marBottom w:val="0"/>
      <w:divBdr>
        <w:top w:val="none" w:sz="0" w:space="0" w:color="auto"/>
        <w:left w:val="none" w:sz="0" w:space="0" w:color="auto"/>
        <w:bottom w:val="none" w:sz="0" w:space="0" w:color="auto"/>
        <w:right w:val="none" w:sz="0" w:space="0" w:color="auto"/>
      </w:divBdr>
    </w:div>
    <w:div w:id="1027676395">
      <w:marLeft w:val="0"/>
      <w:marRight w:val="0"/>
      <w:marTop w:val="0"/>
      <w:marBottom w:val="240"/>
      <w:divBdr>
        <w:top w:val="none" w:sz="0" w:space="0" w:color="auto"/>
        <w:left w:val="none" w:sz="0" w:space="0" w:color="auto"/>
        <w:bottom w:val="none" w:sz="0" w:space="0" w:color="auto"/>
        <w:right w:val="none" w:sz="0" w:space="0" w:color="auto"/>
      </w:divBdr>
    </w:div>
    <w:div w:id="1028601026">
      <w:marLeft w:val="0"/>
      <w:marRight w:val="0"/>
      <w:marTop w:val="120"/>
      <w:marBottom w:val="120"/>
      <w:divBdr>
        <w:top w:val="none" w:sz="0" w:space="0" w:color="auto"/>
        <w:left w:val="none" w:sz="0" w:space="0" w:color="auto"/>
        <w:bottom w:val="none" w:sz="0" w:space="0" w:color="auto"/>
        <w:right w:val="none" w:sz="0" w:space="0" w:color="auto"/>
      </w:divBdr>
    </w:div>
    <w:div w:id="1028875109">
      <w:marLeft w:val="0"/>
      <w:marRight w:val="0"/>
      <w:marTop w:val="0"/>
      <w:marBottom w:val="0"/>
      <w:divBdr>
        <w:top w:val="none" w:sz="0" w:space="0" w:color="auto"/>
        <w:left w:val="none" w:sz="0" w:space="0" w:color="auto"/>
        <w:bottom w:val="none" w:sz="0" w:space="0" w:color="auto"/>
        <w:right w:val="none" w:sz="0" w:space="0" w:color="auto"/>
      </w:divBdr>
    </w:div>
    <w:div w:id="1029449184">
      <w:marLeft w:val="0"/>
      <w:marRight w:val="0"/>
      <w:marTop w:val="0"/>
      <w:marBottom w:val="240"/>
      <w:divBdr>
        <w:top w:val="none" w:sz="0" w:space="0" w:color="auto"/>
        <w:left w:val="none" w:sz="0" w:space="0" w:color="auto"/>
        <w:bottom w:val="none" w:sz="0" w:space="0" w:color="auto"/>
        <w:right w:val="none" w:sz="0" w:space="0" w:color="auto"/>
      </w:divBdr>
    </w:div>
    <w:div w:id="1029454037">
      <w:marLeft w:val="0"/>
      <w:marRight w:val="0"/>
      <w:marTop w:val="0"/>
      <w:marBottom w:val="0"/>
      <w:divBdr>
        <w:top w:val="none" w:sz="0" w:space="0" w:color="auto"/>
        <w:left w:val="none" w:sz="0" w:space="0" w:color="auto"/>
        <w:bottom w:val="none" w:sz="0" w:space="0" w:color="auto"/>
        <w:right w:val="none" w:sz="0" w:space="0" w:color="auto"/>
      </w:divBdr>
    </w:div>
    <w:div w:id="1029644517">
      <w:marLeft w:val="0"/>
      <w:marRight w:val="0"/>
      <w:marTop w:val="0"/>
      <w:marBottom w:val="0"/>
      <w:divBdr>
        <w:top w:val="none" w:sz="0" w:space="0" w:color="auto"/>
        <w:left w:val="none" w:sz="0" w:space="0" w:color="auto"/>
        <w:bottom w:val="none" w:sz="0" w:space="0" w:color="auto"/>
        <w:right w:val="none" w:sz="0" w:space="0" w:color="auto"/>
      </w:divBdr>
    </w:div>
    <w:div w:id="1029722991">
      <w:marLeft w:val="0"/>
      <w:marRight w:val="0"/>
      <w:marTop w:val="120"/>
      <w:marBottom w:val="120"/>
      <w:divBdr>
        <w:top w:val="none" w:sz="0" w:space="0" w:color="auto"/>
        <w:left w:val="none" w:sz="0" w:space="0" w:color="auto"/>
        <w:bottom w:val="none" w:sz="0" w:space="0" w:color="auto"/>
        <w:right w:val="none" w:sz="0" w:space="0" w:color="auto"/>
      </w:divBdr>
    </w:div>
    <w:div w:id="1030767240">
      <w:marLeft w:val="0"/>
      <w:marRight w:val="0"/>
      <w:marTop w:val="0"/>
      <w:marBottom w:val="0"/>
      <w:divBdr>
        <w:top w:val="none" w:sz="0" w:space="0" w:color="auto"/>
        <w:left w:val="none" w:sz="0" w:space="0" w:color="auto"/>
        <w:bottom w:val="none" w:sz="0" w:space="0" w:color="auto"/>
        <w:right w:val="none" w:sz="0" w:space="0" w:color="auto"/>
      </w:divBdr>
      <w:divsChild>
        <w:div w:id="1252740263">
          <w:marLeft w:val="0"/>
          <w:marRight w:val="0"/>
          <w:marTop w:val="0"/>
          <w:marBottom w:val="0"/>
          <w:divBdr>
            <w:top w:val="none" w:sz="0" w:space="0" w:color="auto"/>
            <w:left w:val="none" w:sz="0" w:space="0" w:color="auto"/>
            <w:bottom w:val="none" w:sz="0" w:space="0" w:color="auto"/>
            <w:right w:val="none" w:sz="0" w:space="0" w:color="auto"/>
          </w:divBdr>
        </w:div>
      </w:divsChild>
    </w:div>
    <w:div w:id="1030835912">
      <w:marLeft w:val="0"/>
      <w:marRight w:val="0"/>
      <w:marTop w:val="180"/>
      <w:marBottom w:val="180"/>
      <w:divBdr>
        <w:top w:val="none" w:sz="0" w:space="0" w:color="auto"/>
        <w:left w:val="none" w:sz="0" w:space="0" w:color="auto"/>
        <w:bottom w:val="none" w:sz="0" w:space="0" w:color="auto"/>
        <w:right w:val="none" w:sz="0" w:space="0" w:color="auto"/>
      </w:divBdr>
    </w:div>
    <w:div w:id="1031224201">
      <w:marLeft w:val="0"/>
      <w:marRight w:val="0"/>
      <w:marTop w:val="0"/>
      <w:marBottom w:val="0"/>
      <w:divBdr>
        <w:top w:val="none" w:sz="0" w:space="0" w:color="auto"/>
        <w:left w:val="none" w:sz="0" w:space="0" w:color="auto"/>
        <w:bottom w:val="none" w:sz="0" w:space="0" w:color="auto"/>
        <w:right w:val="none" w:sz="0" w:space="0" w:color="auto"/>
      </w:divBdr>
      <w:divsChild>
        <w:div w:id="603223477">
          <w:marLeft w:val="0"/>
          <w:marRight w:val="0"/>
          <w:marTop w:val="0"/>
          <w:marBottom w:val="0"/>
          <w:divBdr>
            <w:top w:val="none" w:sz="0" w:space="0" w:color="auto"/>
            <w:left w:val="none" w:sz="0" w:space="0" w:color="auto"/>
            <w:bottom w:val="none" w:sz="0" w:space="0" w:color="auto"/>
            <w:right w:val="none" w:sz="0" w:space="0" w:color="auto"/>
          </w:divBdr>
        </w:div>
      </w:divsChild>
    </w:div>
    <w:div w:id="1032343996">
      <w:marLeft w:val="0"/>
      <w:marRight w:val="0"/>
      <w:marTop w:val="0"/>
      <w:marBottom w:val="180"/>
      <w:divBdr>
        <w:top w:val="none" w:sz="0" w:space="0" w:color="auto"/>
        <w:left w:val="none" w:sz="0" w:space="0" w:color="auto"/>
        <w:bottom w:val="none" w:sz="0" w:space="0" w:color="auto"/>
        <w:right w:val="none" w:sz="0" w:space="0" w:color="auto"/>
      </w:divBdr>
    </w:div>
    <w:div w:id="1035813188">
      <w:marLeft w:val="0"/>
      <w:marRight w:val="0"/>
      <w:marTop w:val="180"/>
      <w:marBottom w:val="180"/>
      <w:divBdr>
        <w:top w:val="none" w:sz="0" w:space="0" w:color="auto"/>
        <w:left w:val="none" w:sz="0" w:space="0" w:color="auto"/>
        <w:bottom w:val="none" w:sz="0" w:space="0" w:color="auto"/>
        <w:right w:val="none" w:sz="0" w:space="0" w:color="auto"/>
      </w:divBdr>
    </w:div>
    <w:div w:id="1035930780">
      <w:marLeft w:val="0"/>
      <w:marRight w:val="0"/>
      <w:marTop w:val="0"/>
      <w:marBottom w:val="0"/>
      <w:divBdr>
        <w:top w:val="none" w:sz="0" w:space="0" w:color="auto"/>
        <w:left w:val="none" w:sz="0" w:space="0" w:color="auto"/>
        <w:bottom w:val="none" w:sz="0" w:space="0" w:color="auto"/>
        <w:right w:val="none" w:sz="0" w:space="0" w:color="auto"/>
      </w:divBdr>
      <w:divsChild>
        <w:div w:id="217909967">
          <w:marLeft w:val="0"/>
          <w:marRight w:val="0"/>
          <w:marTop w:val="0"/>
          <w:marBottom w:val="0"/>
          <w:divBdr>
            <w:top w:val="none" w:sz="0" w:space="0" w:color="auto"/>
            <w:left w:val="none" w:sz="0" w:space="0" w:color="auto"/>
            <w:bottom w:val="none" w:sz="0" w:space="0" w:color="auto"/>
            <w:right w:val="none" w:sz="0" w:space="0" w:color="auto"/>
          </w:divBdr>
        </w:div>
        <w:div w:id="818378665">
          <w:marLeft w:val="0"/>
          <w:marRight w:val="0"/>
          <w:marTop w:val="0"/>
          <w:marBottom w:val="0"/>
          <w:divBdr>
            <w:top w:val="none" w:sz="0" w:space="0" w:color="auto"/>
            <w:left w:val="none" w:sz="0" w:space="0" w:color="auto"/>
            <w:bottom w:val="none" w:sz="0" w:space="0" w:color="auto"/>
            <w:right w:val="none" w:sz="0" w:space="0" w:color="auto"/>
          </w:divBdr>
        </w:div>
        <w:div w:id="1213924721">
          <w:marLeft w:val="0"/>
          <w:marRight w:val="0"/>
          <w:marTop w:val="0"/>
          <w:marBottom w:val="0"/>
          <w:divBdr>
            <w:top w:val="none" w:sz="0" w:space="0" w:color="auto"/>
            <w:left w:val="none" w:sz="0" w:space="0" w:color="auto"/>
            <w:bottom w:val="none" w:sz="0" w:space="0" w:color="auto"/>
            <w:right w:val="none" w:sz="0" w:space="0" w:color="auto"/>
          </w:divBdr>
        </w:div>
      </w:divsChild>
    </w:div>
    <w:div w:id="1036348482">
      <w:marLeft w:val="0"/>
      <w:marRight w:val="0"/>
      <w:marTop w:val="0"/>
      <w:marBottom w:val="0"/>
      <w:divBdr>
        <w:top w:val="none" w:sz="0" w:space="0" w:color="auto"/>
        <w:left w:val="none" w:sz="0" w:space="0" w:color="auto"/>
        <w:bottom w:val="none" w:sz="0" w:space="0" w:color="auto"/>
        <w:right w:val="none" w:sz="0" w:space="0" w:color="auto"/>
      </w:divBdr>
    </w:div>
    <w:div w:id="1036544005">
      <w:marLeft w:val="0"/>
      <w:marRight w:val="0"/>
      <w:marTop w:val="180"/>
      <w:marBottom w:val="180"/>
      <w:divBdr>
        <w:top w:val="none" w:sz="0" w:space="0" w:color="auto"/>
        <w:left w:val="none" w:sz="0" w:space="0" w:color="auto"/>
        <w:bottom w:val="none" w:sz="0" w:space="0" w:color="auto"/>
        <w:right w:val="none" w:sz="0" w:space="0" w:color="auto"/>
      </w:divBdr>
    </w:div>
    <w:div w:id="1036850618">
      <w:marLeft w:val="0"/>
      <w:marRight w:val="0"/>
      <w:marTop w:val="0"/>
      <w:marBottom w:val="0"/>
      <w:divBdr>
        <w:top w:val="none" w:sz="0" w:space="0" w:color="auto"/>
        <w:left w:val="none" w:sz="0" w:space="0" w:color="auto"/>
        <w:bottom w:val="none" w:sz="0" w:space="0" w:color="auto"/>
        <w:right w:val="none" w:sz="0" w:space="0" w:color="auto"/>
      </w:divBdr>
    </w:div>
    <w:div w:id="1038625362">
      <w:marLeft w:val="0"/>
      <w:marRight w:val="0"/>
      <w:marTop w:val="0"/>
      <w:marBottom w:val="0"/>
      <w:divBdr>
        <w:top w:val="none" w:sz="0" w:space="0" w:color="auto"/>
        <w:left w:val="none" w:sz="0" w:space="0" w:color="auto"/>
        <w:bottom w:val="none" w:sz="0" w:space="0" w:color="auto"/>
        <w:right w:val="none" w:sz="0" w:space="0" w:color="auto"/>
      </w:divBdr>
      <w:divsChild>
        <w:div w:id="1416517619">
          <w:marLeft w:val="0"/>
          <w:marRight w:val="0"/>
          <w:marTop w:val="0"/>
          <w:marBottom w:val="0"/>
          <w:divBdr>
            <w:top w:val="none" w:sz="0" w:space="0" w:color="auto"/>
            <w:left w:val="none" w:sz="0" w:space="0" w:color="auto"/>
            <w:bottom w:val="none" w:sz="0" w:space="0" w:color="auto"/>
            <w:right w:val="none" w:sz="0" w:space="0" w:color="auto"/>
          </w:divBdr>
          <w:divsChild>
            <w:div w:id="926110668">
              <w:marLeft w:val="0"/>
              <w:marRight w:val="0"/>
              <w:marTop w:val="0"/>
              <w:marBottom w:val="60"/>
              <w:divBdr>
                <w:top w:val="none" w:sz="0" w:space="0" w:color="auto"/>
                <w:left w:val="none" w:sz="0" w:space="0" w:color="auto"/>
                <w:bottom w:val="none" w:sz="0" w:space="0" w:color="auto"/>
                <w:right w:val="none" w:sz="0" w:space="0" w:color="auto"/>
              </w:divBdr>
            </w:div>
            <w:div w:id="1817067764">
              <w:marLeft w:val="0"/>
              <w:marRight w:val="0"/>
              <w:marTop w:val="0"/>
              <w:marBottom w:val="60"/>
              <w:divBdr>
                <w:top w:val="none" w:sz="0" w:space="0" w:color="auto"/>
                <w:left w:val="none" w:sz="0" w:space="0" w:color="auto"/>
                <w:bottom w:val="none" w:sz="0" w:space="0" w:color="auto"/>
                <w:right w:val="none" w:sz="0" w:space="0" w:color="auto"/>
              </w:divBdr>
            </w:div>
            <w:div w:id="1980963571">
              <w:marLeft w:val="0"/>
              <w:marRight w:val="0"/>
              <w:marTop w:val="0"/>
              <w:marBottom w:val="60"/>
              <w:divBdr>
                <w:top w:val="none" w:sz="0" w:space="0" w:color="auto"/>
                <w:left w:val="none" w:sz="0" w:space="0" w:color="auto"/>
                <w:bottom w:val="none" w:sz="0" w:space="0" w:color="auto"/>
                <w:right w:val="none" w:sz="0" w:space="0" w:color="auto"/>
              </w:divBdr>
            </w:div>
            <w:div w:id="1926761078">
              <w:marLeft w:val="0"/>
              <w:marRight w:val="0"/>
              <w:marTop w:val="0"/>
              <w:marBottom w:val="60"/>
              <w:divBdr>
                <w:top w:val="none" w:sz="0" w:space="0" w:color="auto"/>
                <w:left w:val="none" w:sz="0" w:space="0" w:color="auto"/>
                <w:bottom w:val="none" w:sz="0" w:space="0" w:color="auto"/>
                <w:right w:val="none" w:sz="0" w:space="0" w:color="auto"/>
              </w:divBdr>
            </w:div>
            <w:div w:id="1362317997">
              <w:marLeft w:val="0"/>
              <w:marRight w:val="0"/>
              <w:marTop w:val="0"/>
              <w:marBottom w:val="60"/>
              <w:divBdr>
                <w:top w:val="none" w:sz="0" w:space="0" w:color="auto"/>
                <w:left w:val="none" w:sz="0" w:space="0" w:color="auto"/>
                <w:bottom w:val="none" w:sz="0" w:space="0" w:color="auto"/>
                <w:right w:val="none" w:sz="0" w:space="0" w:color="auto"/>
              </w:divBdr>
            </w:div>
            <w:div w:id="1507086794">
              <w:marLeft w:val="0"/>
              <w:marRight w:val="0"/>
              <w:marTop w:val="0"/>
              <w:marBottom w:val="60"/>
              <w:divBdr>
                <w:top w:val="none" w:sz="0" w:space="0" w:color="auto"/>
                <w:left w:val="none" w:sz="0" w:space="0" w:color="auto"/>
                <w:bottom w:val="none" w:sz="0" w:space="0" w:color="auto"/>
                <w:right w:val="none" w:sz="0" w:space="0" w:color="auto"/>
              </w:divBdr>
            </w:div>
            <w:div w:id="1170481628">
              <w:marLeft w:val="0"/>
              <w:marRight w:val="0"/>
              <w:marTop w:val="0"/>
              <w:marBottom w:val="60"/>
              <w:divBdr>
                <w:top w:val="none" w:sz="0" w:space="0" w:color="auto"/>
                <w:left w:val="none" w:sz="0" w:space="0" w:color="auto"/>
                <w:bottom w:val="none" w:sz="0" w:space="0" w:color="auto"/>
                <w:right w:val="none" w:sz="0" w:space="0" w:color="auto"/>
              </w:divBdr>
            </w:div>
            <w:div w:id="90781364">
              <w:marLeft w:val="0"/>
              <w:marRight w:val="0"/>
              <w:marTop w:val="0"/>
              <w:marBottom w:val="60"/>
              <w:divBdr>
                <w:top w:val="none" w:sz="0" w:space="0" w:color="auto"/>
                <w:left w:val="none" w:sz="0" w:space="0" w:color="auto"/>
                <w:bottom w:val="none" w:sz="0" w:space="0" w:color="auto"/>
                <w:right w:val="none" w:sz="0" w:space="0" w:color="auto"/>
              </w:divBdr>
            </w:div>
            <w:div w:id="718479730">
              <w:marLeft w:val="0"/>
              <w:marRight w:val="0"/>
              <w:marTop w:val="0"/>
              <w:marBottom w:val="60"/>
              <w:divBdr>
                <w:top w:val="none" w:sz="0" w:space="0" w:color="auto"/>
                <w:left w:val="none" w:sz="0" w:space="0" w:color="auto"/>
                <w:bottom w:val="none" w:sz="0" w:space="0" w:color="auto"/>
                <w:right w:val="none" w:sz="0" w:space="0" w:color="auto"/>
              </w:divBdr>
            </w:div>
            <w:div w:id="830756335">
              <w:marLeft w:val="0"/>
              <w:marRight w:val="0"/>
              <w:marTop w:val="0"/>
              <w:marBottom w:val="60"/>
              <w:divBdr>
                <w:top w:val="none" w:sz="0" w:space="0" w:color="auto"/>
                <w:left w:val="none" w:sz="0" w:space="0" w:color="auto"/>
                <w:bottom w:val="none" w:sz="0" w:space="0" w:color="auto"/>
                <w:right w:val="none" w:sz="0" w:space="0" w:color="auto"/>
              </w:divBdr>
            </w:div>
            <w:div w:id="1482237213">
              <w:marLeft w:val="0"/>
              <w:marRight w:val="0"/>
              <w:marTop w:val="0"/>
              <w:marBottom w:val="60"/>
              <w:divBdr>
                <w:top w:val="none" w:sz="0" w:space="0" w:color="auto"/>
                <w:left w:val="none" w:sz="0" w:space="0" w:color="auto"/>
                <w:bottom w:val="none" w:sz="0" w:space="0" w:color="auto"/>
                <w:right w:val="none" w:sz="0" w:space="0" w:color="auto"/>
              </w:divBdr>
            </w:div>
            <w:div w:id="1479809878">
              <w:marLeft w:val="0"/>
              <w:marRight w:val="0"/>
              <w:marTop w:val="0"/>
              <w:marBottom w:val="60"/>
              <w:divBdr>
                <w:top w:val="none" w:sz="0" w:space="0" w:color="auto"/>
                <w:left w:val="none" w:sz="0" w:space="0" w:color="auto"/>
                <w:bottom w:val="none" w:sz="0" w:space="0" w:color="auto"/>
                <w:right w:val="none" w:sz="0" w:space="0" w:color="auto"/>
              </w:divBdr>
            </w:div>
            <w:div w:id="1300459403">
              <w:marLeft w:val="0"/>
              <w:marRight w:val="0"/>
              <w:marTop w:val="0"/>
              <w:marBottom w:val="60"/>
              <w:divBdr>
                <w:top w:val="none" w:sz="0" w:space="0" w:color="auto"/>
                <w:left w:val="none" w:sz="0" w:space="0" w:color="auto"/>
                <w:bottom w:val="none" w:sz="0" w:space="0" w:color="auto"/>
                <w:right w:val="none" w:sz="0" w:space="0" w:color="auto"/>
              </w:divBdr>
            </w:div>
            <w:div w:id="1664770893">
              <w:marLeft w:val="0"/>
              <w:marRight w:val="0"/>
              <w:marTop w:val="120"/>
              <w:marBottom w:val="120"/>
              <w:divBdr>
                <w:top w:val="none" w:sz="0" w:space="0" w:color="auto"/>
                <w:left w:val="none" w:sz="0" w:space="0" w:color="auto"/>
                <w:bottom w:val="none" w:sz="0" w:space="0" w:color="auto"/>
                <w:right w:val="none" w:sz="0" w:space="0" w:color="auto"/>
              </w:divBdr>
            </w:div>
            <w:div w:id="945388735">
              <w:marLeft w:val="0"/>
              <w:marRight w:val="0"/>
              <w:marTop w:val="0"/>
              <w:marBottom w:val="60"/>
              <w:divBdr>
                <w:top w:val="none" w:sz="0" w:space="0" w:color="auto"/>
                <w:left w:val="none" w:sz="0" w:space="0" w:color="auto"/>
                <w:bottom w:val="none" w:sz="0" w:space="0" w:color="auto"/>
                <w:right w:val="none" w:sz="0" w:space="0" w:color="auto"/>
              </w:divBdr>
            </w:div>
            <w:div w:id="1493792245">
              <w:marLeft w:val="0"/>
              <w:marRight w:val="0"/>
              <w:marTop w:val="0"/>
              <w:marBottom w:val="60"/>
              <w:divBdr>
                <w:top w:val="none" w:sz="0" w:space="0" w:color="auto"/>
                <w:left w:val="none" w:sz="0" w:space="0" w:color="auto"/>
                <w:bottom w:val="none" w:sz="0" w:space="0" w:color="auto"/>
                <w:right w:val="none" w:sz="0" w:space="0" w:color="auto"/>
              </w:divBdr>
            </w:div>
            <w:div w:id="1564872624">
              <w:marLeft w:val="0"/>
              <w:marRight w:val="0"/>
              <w:marTop w:val="0"/>
              <w:marBottom w:val="60"/>
              <w:divBdr>
                <w:top w:val="none" w:sz="0" w:space="0" w:color="auto"/>
                <w:left w:val="none" w:sz="0" w:space="0" w:color="auto"/>
                <w:bottom w:val="none" w:sz="0" w:space="0" w:color="auto"/>
                <w:right w:val="none" w:sz="0" w:space="0" w:color="auto"/>
              </w:divBdr>
            </w:div>
            <w:div w:id="1816798023">
              <w:marLeft w:val="0"/>
              <w:marRight w:val="0"/>
              <w:marTop w:val="0"/>
              <w:marBottom w:val="60"/>
              <w:divBdr>
                <w:top w:val="none" w:sz="0" w:space="0" w:color="auto"/>
                <w:left w:val="none" w:sz="0" w:space="0" w:color="auto"/>
                <w:bottom w:val="none" w:sz="0" w:space="0" w:color="auto"/>
                <w:right w:val="none" w:sz="0" w:space="0" w:color="auto"/>
              </w:divBdr>
            </w:div>
            <w:div w:id="2070880980">
              <w:marLeft w:val="0"/>
              <w:marRight w:val="0"/>
              <w:marTop w:val="0"/>
              <w:marBottom w:val="60"/>
              <w:divBdr>
                <w:top w:val="none" w:sz="0" w:space="0" w:color="auto"/>
                <w:left w:val="none" w:sz="0" w:space="0" w:color="auto"/>
                <w:bottom w:val="none" w:sz="0" w:space="0" w:color="auto"/>
                <w:right w:val="none" w:sz="0" w:space="0" w:color="auto"/>
              </w:divBdr>
            </w:div>
            <w:div w:id="983000198">
              <w:marLeft w:val="0"/>
              <w:marRight w:val="0"/>
              <w:marTop w:val="0"/>
              <w:marBottom w:val="60"/>
              <w:divBdr>
                <w:top w:val="none" w:sz="0" w:space="0" w:color="auto"/>
                <w:left w:val="none" w:sz="0" w:space="0" w:color="auto"/>
                <w:bottom w:val="none" w:sz="0" w:space="0" w:color="auto"/>
                <w:right w:val="none" w:sz="0" w:space="0" w:color="auto"/>
              </w:divBdr>
            </w:div>
            <w:div w:id="2088961046">
              <w:marLeft w:val="0"/>
              <w:marRight w:val="0"/>
              <w:marTop w:val="0"/>
              <w:marBottom w:val="60"/>
              <w:divBdr>
                <w:top w:val="none" w:sz="0" w:space="0" w:color="auto"/>
                <w:left w:val="none" w:sz="0" w:space="0" w:color="auto"/>
                <w:bottom w:val="none" w:sz="0" w:space="0" w:color="auto"/>
                <w:right w:val="none" w:sz="0" w:space="0" w:color="auto"/>
              </w:divBdr>
            </w:div>
          </w:divsChild>
        </w:div>
        <w:div w:id="307830144">
          <w:marLeft w:val="0"/>
          <w:marRight w:val="0"/>
          <w:marTop w:val="0"/>
          <w:marBottom w:val="0"/>
          <w:divBdr>
            <w:top w:val="none" w:sz="0" w:space="0" w:color="auto"/>
            <w:left w:val="none" w:sz="0" w:space="0" w:color="auto"/>
            <w:bottom w:val="none" w:sz="0" w:space="0" w:color="auto"/>
            <w:right w:val="none" w:sz="0" w:space="0" w:color="auto"/>
          </w:divBdr>
          <w:divsChild>
            <w:div w:id="530340667">
              <w:marLeft w:val="0"/>
              <w:marRight w:val="0"/>
              <w:marTop w:val="0"/>
              <w:marBottom w:val="60"/>
              <w:divBdr>
                <w:top w:val="none" w:sz="0" w:space="0" w:color="auto"/>
                <w:left w:val="none" w:sz="0" w:space="0" w:color="auto"/>
                <w:bottom w:val="none" w:sz="0" w:space="0" w:color="auto"/>
                <w:right w:val="none" w:sz="0" w:space="0" w:color="auto"/>
              </w:divBdr>
            </w:div>
            <w:div w:id="451824592">
              <w:marLeft w:val="0"/>
              <w:marRight w:val="0"/>
              <w:marTop w:val="0"/>
              <w:marBottom w:val="60"/>
              <w:divBdr>
                <w:top w:val="none" w:sz="0" w:space="0" w:color="auto"/>
                <w:left w:val="none" w:sz="0" w:space="0" w:color="auto"/>
                <w:bottom w:val="none" w:sz="0" w:space="0" w:color="auto"/>
                <w:right w:val="none" w:sz="0" w:space="0" w:color="auto"/>
              </w:divBdr>
            </w:div>
            <w:div w:id="136652421">
              <w:marLeft w:val="0"/>
              <w:marRight w:val="0"/>
              <w:marTop w:val="0"/>
              <w:marBottom w:val="60"/>
              <w:divBdr>
                <w:top w:val="none" w:sz="0" w:space="0" w:color="auto"/>
                <w:left w:val="none" w:sz="0" w:space="0" w:color="auto"/>
                <w:bottom w:val="none" w:sz="0" w:space="0" w:color="auto"/>
                <w:right w:val="none" w:sz="0" w:space="0" w:color="auto"/>
              </w:divBdr>
            </w:div>
            <w:div w:id="1039013432">
              <w:marLeft w:val="0"/>
              <w:marRight w:val="0"/>
              <w:marTop w:val="0"/>
              <w:marBottom w:val="60"/>
              <w:divBdr>
                <w:top w:val="none" w:sz="0" w:space="0" w:color="auto"/>
                <w:left w:val="none" w:sz="0" w:space="0" w:color="auto"/>
                <w:bottom w:val="none" w:sz="0" w:space="0" w:color="auto"/>
                <w:right w:val="none" w:sz="0" w:space="0" w:color="auto"/>
              </w:divBdr>
            </w:div>
            <w:div w:id="1787041943">
              <w:marLeft w:val="0"/>
              <w:marRight w:val="0"/>
              <w:marTop w:val="0"/>
              <w:marBottom w:val="60"/>
              <w:divBdr>
                <w:top w:val="none" w:sz="0" w:space="0" w:color="auto"/>
                <w:left w:val="none" w:sz="0" w:space="0" w:color="auto"/>
                <w:bottom w:val="none" w:sz="0" w:space="0" w:color="auto"/>
                <w:right w:val="none" w:sz="0" w:space="0" w:color="auto"/>
              </w:divBdr>
            </w:div>
            <w:div w:id="1801259909">
              <w:marLeft w:val="0"/>
              <w:marRight w:val="0"/>
              <w:marTop w:val="0"/>
              <w:marBottom w:val="60"/>
              <w:divBdr>
                <w:top w:val="none" w:sz="0" w:space="0" w:color="auto"/>
                <w:left w:val="none" w:sz="0" w:space="0" w:color="auto"/>
                <w:bottom w:val="none" w:sz="0" w:space="0" w:color="auto"/>
                <w:right w:val="none" w:sz="0" w:space="0" w:color="auto"/>
              </w:divBdr>
            </w:div>
            <w:div w:id="1868985507">
              <w:marLeft w:val="0"/>
              <w:marRight w:val="0"/>
              <w:marTop w:val="120"/>
              <w:marBottom w:val="60"/>
              <w:divBdr>
                <w:top w:val="none" w:sz="0" w:space="0" w:color="auto"/>
                <w:left w:val="none" w:sz="0" w:space="0" w:color="auto"/>
                <w:bottom w:val="none" w:sz="0" w:space="0" w:color="auto"/>
                <w:right w:val="none" w:sz="0" w:space="0" w:color="auto"/>
              </w:divBdr>
            </w:div>
            <w:div w:id="1004280637">
              <w:marLeft w:val="0"/>
              <w:marRight w:val="0"/>
              <w:marTop w:val="0"/>
              <w:marBottom w:val="60"/>
              <w:divBdr>
                <w:top w:val="none" w:sz="0" w:space="0" w:color="auto"/>
                <w:left w:val="none" w:sz="0" w:space="0" w:color="auto"/>
                <w:bottom w:val="none" w:sz="0" w:space="0" w:color="auto"/>
                <w:right w:val="none" w:sz="0" w:space="0" w:color="auto"/>
              </w:divBdr>
            </w:div>
            <w:div w:id="111748272">
              <w:marLeft w:val="0"/>
              <w:marRight w:val="0"/>
              <w:marTop w:val="0"/>
              <w:marBottom w:val="60"/>
              <w:divBdr>
                <w:top w:val="none" w:sz="0" w:space="0" w:color="auto"/>
                <w:left w:val="none" w:sz="0" w:space="0" w:color="auto"/>
                <w:bottom w:val="none" w:sz="0" w:space="0" w:color="auto"/>
                <w:right w:val="none" w:sz="0" w:space="0" w:color="auto"/>
              </w:divBdr>
            </w:div>
            <w:div w:id="390428889">
              <w:marLeft w:val="0"/>
              <w:marRight w:val="0"/>
              <w:marTop w:val="0"/>
              <w:marBottom w:val="60"/>
              <w:divBdr>
                <w:top w:val="none" w:sz="0" w:space="0" w:color="auto"/>
                <w:left w:val="none" w:sz="0" w:space="0" w:color="auto"/>
                <w:bottom w:val="none" w:sz="0" w:space="0" w:color="auto"/>
                <w:right w:val="none" w:sz="0" w:space="0" w:color="auto"/>
              </w:divBdr>
            </w:div>
            <w:div w:id="1523320437">
              <w:marLeft w:val="0"/>
              <w:marRight w:val="0"/>
              <w:marTop w:val="0"/>
              <w:marBottom w:val="60"/>
              <w:divBdr>
                <w:top w:val="none" w:sz="0" w:space="0" w:color="auto"/>
                <w:left w:val="none" w:sz="0" w:space="0" w:color="auto"/>
                <w:bottom w:val="none" w:sz="0" w:space="0" w:color="auto"/>
                <w:right w:val="none" w:sz="0" w:space="0" w:color="auto"/>
              </w:divBdr>
            </w:div>
            <w:div w:id="1383867056">
              <w:marLeft w:val="0"/>
              <w:marRight w:val="0"/>
              <w:marTop w:val="0"/>
              <w:marBottom w:val="60"/>
              <w:divBdr>
                <w:top w:val="none" w:sz="0" w:space="0" w:color="auto"/>
                <w:left w:val="none" w:sz="0" w:space="0" w:color="auto"/>
                <w:bottom w:val="none" w:sz="0" w:space="0" w:color="auto"/>
                <w:right w:val="none" w:sz="0" w:space="0" w:color="auto"/>
              </w:divBdr>
            </w:div>
            <w:div w:id="1184398857">
              <w:marLeft w:val="0"/>
              <w:marRight w:val="0"/>
              <w:marTop w:val="0"/>
              <w:marBottom w:val="60"/>
              <w:divBdr>
                <w:top w:val="none" w:sz="0" w:space="0" w:color="auto"/>
                <w:left w:val="none" w:sz="0" w:space="0" w:color="auto"/>
                <w:bottom w:val="none" w:sz="0" w:space="0" w:color="auto"/>
                <w:right w:val="none" w:sz="0" w:space="0" w:color="auto"/>
              </w:divBdr>
            </w:div>
            <w:div w:id="1120996394">
              <w:marLeft w:val="0"/>
              <w:marRight w:val="0"/>
              <w:marTop w:val="0"/>
              <w:marBottom w:val="0"/>
              <w:divBdr>
                <w:top w:val="none" w:sz="0" w:space="0" w:color="auto"/>
                <w:left w:val="none" w:sz="0" w:space="0" w:color="auto"/>
                <w:bottom w:val="none" w:sz="0" w:space="0" w:color="auto"/>
                <w:right w:val="none" w:sz="0" w:space="0" w:color="auto"/>
              </w:divBdr>
            </w:div>
            <w:div w:id="1128860804">
              <w:marLeft w:val="0"/>
              <w:marRight w:val="0"/>
              <w:marTop w:val="0"/>
              <w:marBottom w:val="60"/>
              <w:divBdr>
                <w:top w:val="none" w:sz="0" w:space="0" w:color="auto"/>
                <w:left w:val="none" w:sz="0" w:space="0" w:color="auto"/>
                <w:bottom w:val="none" w:sz="0" w:space="0" w:color="auto"/>
                <w:right w:val="none" w:sz="0" w:space="0" w:color="auto"/>
              </w:divBdr>
            </w:div>
            <w:div w:id="961690529">
              <w:marLeft w:val="0"/>
              <w:marRight w:val="0"/>
              <w:marTop w:val="0"/>
              <w:marBottom w:val="60"/>
              <w:divBdr>
                <w:top w:val="none" w:sz="0" w:space="0" w:color="auto"/>
                <w:left w:val="none" w:sz="0" w:space="0" w:color="auto"/>
                <w:bottom w:val="none" w:sz="0" w:space="0" w:color="auto"/>
                <w:right w:val="none" w:sz="0" w:space="0" w:color="auto"/>
              </w:divBdr>
            </w:div>
            <w:div w:id="579097746">
              <w:marLeft w:val="0"/>
              <w:marRight w:val="0"/>
              <w:marTop w:val="0"/>
              <w:marBottom w:val="60"/>
              <w:divBdr>
                <w:top w:val="none" w:sz="0" w:space="0" w:color="auto"/>
                <w:left w:val="none" w:sz="0" w:space="0" w:color="auto"/>
                <w:bottom w:val="none" w:sz="0" w:space="0" w:color="auto"/>
                <w:right w:val="none" w:sz="0" w:space="0" w:color="auto"/>
              </w:divBdr>
            </w:div>
            <w:div w:id="2066560172">
              <w:marLeft w:val="0"/>
              <w:marRight w:val="0"/>
              <w:marTop w:val="0"/>
              <w:marBottom w:val="60"/>
              <w:divBdr>
                <w:top w:val="none" w:sz="0" w:space="0" w:color="auto"/>
                <w:left w:val="none" w:sz="0" w:space="0" w:color="auto"/>
                <w:bottom w:val="none" w:sz="0" w:space="0" w:color="auto"/>
                <w:right w:val="none" w:sz="0" w:space="0" w:color="auto"/>
              </w:divBdr>
            </w:div>
            <w:div w:id="1036656075">
              <w:marLeft w:val="0"/>
              <w:marRight w:val="0"/>
              <w:marTop w:val="0"/>
              <w:marBottom w:val="60"/>
              <w:divBdr>
                <w:top w:val="none" w:sz="0" w:space="0" w:color="auto"/>
                <w:left w:val="none" w:sz="0" w:space="0" w:color="auto"/>
                <w:bottom w:val="none" w:sz="0" w:space="0" w:color="auto"/>
                <w:right w:val="none" w:sz="0" w:space="0" w:color="auto"/>
              </w:divBdr>
            </w:div>
            <w:div w:id="165705191">
              <w:marLeft w:val="0"/>
              <w:marRight w:val="0"/>
              <w:marTop w:val="0"/>
              <w:marBottom w:val="60"/>
              <w:divBdr>
                <w:top w:val="none" w:sz="0" w:space="0" w:color="auto"/>
                <w:left w:val="none" w:sz="0" w:space="0" w:color="auto"/>
                <w:bottom w:val="none" w:sz="0" w:space="0" w:color="auto"/>
                <w:right w:val="none" w:sz="0" w:space="0" w:color="auto"/>
              </w:divBdr>
            </w:div>
            <w:div w:id="1146509781">
              <w:marLeft w:val="0"/>
              <w:marRight w:val="0"/>
              <w:marTop w:val="0"/>
              <w:marBottom w:val="60"/>
              <w:divBdr>
                <w:top w:val="none" w:sz="0" w:space="0" w:color="auto"/>
                <w:left w:val="none" w:sz="0" w:space="0" w:color="auto"/>
                <w:bottom w:val="none" w:sz="0" w:space="0" w:color="auto"/>
                <w:right w:val="none" w:sz="0" w:space="0" w:color="auto"/>
              </w:divBdr>
            </w:div>
            <w:div w:id="1561330680">
              <w:marLeft w:val="0"/>
              <w:marRight w:val="0"/>
              <w:marTop w:val="0"/>
              <w:marBottom w:val="60"/>
              <w:divBdr>
                <w:top w:val="none" w:sz="0" w:space="0" w:color="auto"/>
                <w:left w:val="none" w:sz="0" w:space="0" w:color="auto"/>
                <w:bottom w:val="none" w:sz="0" w:space="0" w:color="auto"/>
                <w:right w:val="none" w:sz="0" w:space="0" w:color="auto"/>
              </w:divBdr>
            </w:div>
            <w:div w:id="1325550497">
              <w:marLeft w:val="0"/>
              <w:marRight w:val="0"/>
              <w:marTop w:val="0"/>
              <w:marBottom w:val="60"/>
              <w:divBdr>
                <w:top w:val="none" w:sz="0" w:space="0" w:color="auto"/>
                <w:left w:val="none" w:sz="0" w:space="0" w:color="auto"/>
                <w:bottom w:val="none" w:sz="0" w:space="0" w:color="auto"/>
                <w:right w:val="none" w:sz="0" w:space="0" w:color="auto"/>
              </w:divBdr>
            </w:div>
            <w:div w:id="1934974419">
              <w:marLeft w:val="0"/>
              <w:marRight w:val="0"/>
              <w:marTop w:val="0"/>
              <w:marBottom w:val="60"/>
              <w:divBdr>
                <w:top w:val="none" w:sz="0" w:space="0" w:color="auto"/>
                <w:left w:val="none" w:sz="0" w:space="0" w:color="auto"/>
                <w:bottom w:val="none" w:sz="0" w:space="0" w:color="auto"/>
                <w:right w:val="none" w:sz="0" w:space="0" w:color="auto"/>
              </w:divBdr>
            </w:div>
            <w:div w:id="2108843016">
              <w:marLeft w:val="0"/>
              <w:marRight w:val="0"/>
              <w:marTop w:val="0"/>
              <w:marBottom w:val="60"/>
              <w:divBdr>
                <w:top w:val="none" w:sz="0" w:space="0" w:color="auto"/>
                <w:left w:val="none" w:sz="0" w:space="0" w:color="auto"/>
                <w:bottom w:val="none" w:sz="0" w:space="0" w:color="auto"/>
                <w:right w:val="none" w:sz="0" w:space="0" w:color="auto"/>
              </w:divBdr>
            </w:div>
            <w:div w:id="749928769">
              <w:marLeft w:val="0"/>
              <w:marRight w:val="0"/>
              <w:marTop w:val="0"/>
              <w:marBottom w:val="60"/>
              <w:divBdr>
                <w:top w:val="none" w:sz="0" w:space="0" w:color="auto"/>
                <w:left w:val="none" w:sz="0" w:space="0" w:color="auto"/>
                <w:bottom w:val="none" w:sz="0" w:space="0" w:color="auto"/>
                <w:right w:val="none" w:sz="0" w:space="0" w:color="auto"/>
              </w:divBdr>
            </w:div>
            <w:div w:id="31025398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039472077">
      <w:marLeft w:val="0"/>
      <w:marRight w:val="0"/>
      <w:marTop w:val="120"/>
      <w:marBottom w:val="240"/>
      <w:divBdr>
        <w:top w:val="none" w:sz="0" w:space="0" w:color="auto"/>
        <w:left w:val="none" w:sz="0" w:space="0" w:color="auto"/>
        <w:bottom w:val="none" w:sz="0" w:space="0" w:color="auto"/>
        <w:right w:val="none" w:sz="0" w:space="0" w:color="auto"/>
      </w:divBdr>
    </w:div>
    <w:div w:id="1040082903">
      <w:marLeft w:val="0"/>
      <w:marRight w:val="0"/>
      <w:marTop w:val="0"/>
      <w:marBottom w:val="0"/>
      <w:divBdr>
        <w:top w:val="none" w:sz="0" w:space="0" w:color="auto"/>
        <w:left w:val="none" w:sz="0" w:space="0" w:color="auto"/>
        <w:bottom w:val="none" w:sz="0" w:space="0" w:color="auto"/>
        <w:right w:val="none" w:sz="0" w:space="0" w:color="auto"/>
      </w:divBdr>
      <w:divsChild>
        <w:div w:id="1921402092">
          <w:marLeft w:val="0"/>
          <w:marRight w:val="0"/>
          <w:marTop w:val="0"/>
          <w:marBottom w:val="0"/>
          <w:divBdr>
            <w:top w:val="none" w:sz="0" w:space="0" w:color="auto"/>
            <w:left w:val="none" w:sz="0" w:space="0" w:color="auto"/>
            <w:bottom w:val="none" w:sz="0" w:space="0" w:color="auto"/>
            <w:right w:val="none" w:sz="0" w:space="0" w:color="auto"/>
          </w:divBdr>
        </w:div>
      </w:divsChild>
    </w:div>
    <w:div w:id="1040476847">
      <w:marLeft w:val="0"/>
      <w:marRight w:val="0"/>
      <w:marTop w:val="0"/>
      <w:marBottom w:val="0"/>
      <w:divBdr>
        <w:top w:val="none" w:sz="0" w:space="0" w:color="auto"/>
        <w:left w:val="none" w:sz="0" w:space="0" w:color="auto"/>
        <w:bottom w:val="none" w:sz="0" w:space="0" w:color="auto"/>
        <w:right w:val="none" w:sz="0" w:space="0" w:color="auto"/>
      </w:divBdr>
    </w:div>
    <w:div w:id="1042170320">
      <w:marLeft w:val="0"/>
      <w:marRight w:val="0"/>
      <w:marTop w:val="180"/>
      <w:marBottom w:val="180"/>
      <w:divBdr>
        <w:top w:val="none" w:sz="0" w:space="0" w:color="auto"/>
        <w:left w:val="none" w:sz="0" w:space="0" w:color="auto"/>
        <w:bottom w:val="none" w:sz="0" w:space="0" w:color="auto"/>
        <w:right w:val="none" w:sz="0" w:space="0" w:color="auto"/>
      </w:divBdr>
    </w:div>
    <w:div w:id="1043601717">
      <w:marLeft w:val="0"/>
      <w:marRight w:val="0"/>
      <w:marTop w:val="0"/>
      <w:marBottom w:val="180"/>
      <w:divBdr>
        <w:top w:val="none" w:sz="0" w:space="0" w:color="auto"/>
        <w:left w:val="none" w:sz="0" w:space="0" w:color="auto"/>
        <w:bottom w:val="none" w:sz="0" w:space="0" w:color="auto"/>
        <w:right w:val="none" w:sz="0" w:space="0" w:color="auto"/>
      </w:divBdr>
    </w:div>
    <w:div w:id="1044597960">
      <w:marLeft w:val="0"/>
      <w:marRight w:val="0"/>
      <w:marTop w:val="0"/>
      <w:marBottom w:val="240"/>
      <w:divBdr>
        <w:top w:val="none" w:sz="0" w:space="0" w:color="auto"/>
        <w:left w:val="none" w:sz="0" w:space="0" w:color="auto"/>
        <w:bottom w:val="none" w:sz="0" w:space="0" w:color="auto"/>
        <w:right w:val="none" w:sz="0" w:space="0" w:color="auto"/>
      </w:divBdr>
    </w:div>
    <w:div w:id="1044674671">
      <w:marLeft w:val="0"/>
      <w:marRight w:val="0"/>
      <w:marTop w:val="180"/>
      <w:marBottom w:val="180"/>
      <w:divBdr>
        <w:top w:val="none" w:sz="0" w:space="0" w:color="auto"/>
        <w:left w:val="none" w:sz="0" w:space="0" w:color="auto"/>
        <w:bottom w:val="none" w:sz="0" w:space="0" w:color="auto"/>
        <w:right w:val="none" w:sz="0" w:space="0" w:color="auto"/>
      </w:divBdr>
    </w:div>
    <w:div w:id="1045064462">
      <w:marLeft w:val="0"/>
      <w:marRight w:val="0"/>
      <w:marTop w:val="0"/>
      <w:marBottom w:val="0"/>
      <w:divBdr>
        <w:top w:val="none" w:sz="0" w:space="0" w:color="auto"/>
        <w:left w:val="none" w:sz="0" w:space="0" w:color="auto"/>
        <w:bottom w:val="none" w:sz="0" w:space="0" w:color="auto"/>
        <w:right w:val="none" w:sz="0" w:space="0" w:color="auto"/>
      </w:divBdr>
    </w:div>
    <w:div w:id="1046757727">
      <w:marLeft w:val="0"/>
      <w:marRight w:val="0"/>
      <w:marTop w:val="100"/>
      <w:marBottom w:val="0"/>
      <w:divBdr>
        <w:top w:val="none" w:sz="0" w:space="0" w:color="auto"/>
        <w:left w:val="none" w:sz="0" w:space="0" w:color="auto"/>
        <w:bottom w:val="none" w:sz="0" w:space="0" w:color="auto"/>
        <w:right w:val="none" w:sz="0" w:space="0" w:color="auto"/>
      </w:divBdr>
      <w:divsChild>
        <w:div w:id="1479225786">
          <w:marLeft w:val="0"/>
          <w:marRight w:val="0"/>
          <w:marTop w:val="0"/>
          <w:marBottom w:val="0"/>
          <w:divBdr>
            <w:top w:val="none" w:sz="0" w:space="0" w:color="auto"/>
            <w:left w:val="none" w:sz="0" w:space="0" w:color="auto"/>
            <w:bottom w:val="none" w:sz="0" w:space="0" w:color="auto"/>
            <w:right w:val="none" w:sz="0" w:space="0" w:color="auto"/>
          </w:divBdr>
        </w:div>
      </w:divsChild>
    </w:div>
    <w:div w:id="1047146076">
      <w:marLeft w:val="0"/>
      <w:marRight w:val="0"/>
      <w:marTop w:val="120"/>
      <w:marBottom w:val="120"/>
      <w:divBdr>
        <w:top w:val="none" w:sz="0" w:space="0" w:color="auto"/>
        <w:left w:val="none" w:sz="0" w:space="0" w:color="auto"/>
        <w:bottom w:val="none" w:sz="0" w:space="0" w:color="auto"/>
        <w:right w:val="none" w:sz="0" w:space="0" w:color="auto"/>
      </w:divBdr>
    </w:div>
    <w:div w:id="1047533867">
      <w:marLeft w:val="0"/>
      <w:marRight w:val="0"/>
      <w:marTop w:val="180"/>
      <w:marBottom w:val="180"/>
      <w:divBdr>
        <w:top w:val="none" w:sz="0" w:space="0" w:color="auto"/>
        <w:left w:val="none" w:sz="0" w:space="0" w:color="auto"/>
        <w:bottom w:val="none" w:sz="0" w:space="0" w:color="auto"/>
        <w:right w:val="none" w:sz="0" w:space="0" w:color="auto"/>
      </w:divBdr>
    </w:div>
    <w:div w:id="1047726735">
      <w:marLeft w:val="0"/>
      <w:marRight w:val="0"/>
      <w:marTop w:val="0"/>
      <w:marBottom w:val="0"/>
      <w:divBdr>
        <w:top w:val="none" w:sz="0" w:space="0" w:color="auto"/>
        <w:left w:val="none" w:sz="0" w:space="0" w:color="auto"/>
        <w:bottom w:val="none" w:sz="0" w:space="0" w:color="auto"/>
        <w:right w:val="none" w:sz="0" w:space="0" w:color="auto"/>
      </w:divBdr>
    </w:div>
    <w:div w:id="1048917737">
      <w:marLeft w:val="0"/>
      <w:marRight w:val="0"/>
      <w:marTop w:val="0"/>
      <w:marBottom w:val="240"/>
      <w:divBdr>
        <w:top w:val="none" w:sz="0" w:space="0" w:color="auto"/>
        <w:left w:val="none" w:sz="0" w:space="0" w:color="auto"/>
        <w:bottom w:val="none" w:sz="0" w:space="0" w:color="auto"/>
        <w:right w:val="none" w:sz="0" w:space="0" w:color="auto"/>
      </w:divBdr>
    </w:div>
    <w:div w:id="1048996845">
      <w:marLeft w:val="0"/>
      <w:marRight w:val="0"/>
      <w:marTop w:val="100"/>
      <w:marBottom w:val="180"/>
      <w:divBdr>
        <w:top w:val="none" w:sz="0" w:space="0" w:color="auto"/>
        <w:left w:val="none" w:sz="0" w:space="0" w:color="auto"/>
        <w:bottom w:val="none" w:sz="0" w:space="0" w:color="auto"/>
        <w:right w:val="none" w:sz="0" w:space="0" w:color="auto"/>
      </w:divBdr>
    </w:div>
    <w:div w:id="1049570430">
      <w:marLeft w:val="0"/>
      <w:marRight w:val="0"/>
      <w:marTop w:val="0"/>
      <w:marBottom w:val="240"/>
      <w:divBdr>
        <w:top w:val="none" w:sz="0" w:space="0" w:color="auto"/>
        <w:left w:val="none" w:sz="0" w:space="0" w:color="auto"/>
        <w:bottom w:val="none" w:sz="0" w:space="0" w:color="auto"/>
        <w:right w:val="none" w:sz="0" w:space="0" w:color="auto"/>
      </w:divBdr>
    </w:div>
    <w:div w:id="1050232104">
      <w:marLeft w:val="0"/>
      <w:marRight w:val="0"/>
      <w:marTop w:val="0"/>
      <w:marBottom w:val="240"/>
      <w:divBdr>
        <w:top w:val="none" w:sz="0" w:space="0" w:color="auto"/>
        <w:left w:val="none" w:sz="0" w:space="0" w:color="auto"/>
        <w:bottom w:val="none" w:sz="0" w:space="0" w:color="auto"/>
        <w:right w:val="none" w:sz="0" w:space="0" w:color="auto"/>
      </w:divBdr>
    </w:div>
    <w:div w:id="1051228421">
      <w:marLeft w:val="0"/>
      <w:marRight w:val="0"/>
      <w:marTop w:val="180"/>
      <w:marBottom w:val="180"/>
      <w:divBdr>
        <w:top w:val="none" w:sz="0" w:space="0" w:color="auto"/>
        <w:left w:val="none" w:sz="0" w:space="0" w:color="auto"/>
        <w:bottom w:val="none" w:sz="0" w:space="0" w:color="auto"/>
        <w:right w:val="none" w:sz="0" w:space="0" w:color="auto"/>
      </w:divBdr>
    </w:div>
    <w:div w:id="1051536304">
      <w:marLeft w:val="0"/>
      <w:marRight w:val="0"/>
      <w:marTop w:val="0"/>
      <w:marBottom w:val="180"/>
      <w:divBdr>
        <w:top w:val="none" w:sz="0" w:space="0" w:color="auto"/>
        <w:left w:val="none" w:sz="0" w:space="0" w:color="auto"/>
        <w:bottom w:val="none" w:sz="0" w:space="0" w:color="auto"/>
        <w:right w:val="none" w:sz="0" w:space="0" w:color="auto"/>
      </w:divBdr>
    </w:div>
    <w:div w:id="1052923871">
      <w:marLeft w:val="0"/>
      <w:marRight w:val="0"/>
      <w:marTop w:val="180"/>
      <w:marBottom w:val="180"/>
      <w:divBdr>
        <w:top w:val="none" w:sz="0" w:space="0" w:color="auto"/>
        <w:left w:val="none" w:sz="0" w:space="0" w:color="auto"/>
        <w:bottom w:val="none" w:sz="0" w:space="0" w:color="auto"/>
        <w:right w:val="none" w:sz="0" w:space="0" w:color="auto"/>
      </w:divBdr>
    </w:div>
    <w:div w:id="1053235389">
      <w:marLeft w:val="0"/>
      <w:marRight w:val="0"/>
      <w:marTop w:val="180"/>
      <w:marBottom w:val="180"/>
      <w:divBdr>
        <w:top w:val="none" w:sz="0" w:space="0" w:color="auto"/>
        <w:left w:val="none" w:sz="0" w:space="0" w:color="auto"/>
        <w:bottom w:val="none" w:sz="0" w:space="0" w:color="auto"/>
        <w:right w:val="none" w:sz="0" w:space="0" w:color="auto"/>
      </w:divBdr>
    </w:div>
    <w:div w:id="1053693175">
      <w:marLeft w:val="0"/>
      <w:marRight w:val="0"/>
      <w:marTop w:val="0"/>
      <w:marBottom w:val="180"/>
      <w:divBdr>
        <w:top w:val="none" w:sz="0" w:space="0" w:color="auto"/>
        <w:left w:val="none" w:sz="0" w:space="0" w:color="auto"/>
        <w:bottom w:val="none" w:sz="0" w:space="0" w:color="auto"/>
        <w:right w:val="none" w:sz="0" w:space="0" w:color="auto"/>
      </w:divBdr>
    </w:div>
    <w:div w:id="1054307277">
      <w:marLeft w:val="0"/>
      <w:marRight w:val="0"/>
      <w:marTop w:val="0"/>
      <w:marBottom w:val="0"/>
      <w:divBdr>
        <w:top w:val="none" w:sz="0" w:space="0" w:color="auto"/>
        <w:left w:val="none" w:sz="0" w:space="0" w:color="auto"/>
        <w:bottom w:val="none" w:sz="0" w:space="0" w:color="auto"/>
        <w:right w:val="none" w:sz="0" w:space="0" w:color="auto"/>
      </w:divBdr>
    </w:div>
    <w:div w:id="1054894847">
      <w:marLeft w:val="0"/>
      <w:marRight w:val="0"/>
      <w:marTop w:val="120"/>
      <w:marBottom w:val="240"/>
      <w:divBdr>
        <w:top w:val="none" w:sz="0" w:space="0" w:color="auto"/>
        <w:left w:val="none" w:sz="0" w:space="0" w:color="auto"/>
        <w:bottom w:val="none" w:sz="0" w:space="0" w:color="auto"/>
        <w:right w:val="none" w:sz="0" w:space="0" w:color="auto"/>
      </w:divBdr>
    </w:div>
    <w:div w:id="1056003659">
      <w:marLeft w:val="0"/>
      <w:marRight w:val="0"/>
      <w:marTop w:val="0"/>
      <w:marBottom w:val="240"/>
      <w:divBdr>
        <w:top w:val="none" w:sz="0" w:space="0" w:color="auto"/>
        <w:left w:val="none" w:sz="0" w:space="0" w:color="auto"/>
        <w:bottom w:val="none" w:sz="0" w:space="0" w:color="auto"/>
        <w:right w:val="none" w:sz="0" w:space="0" w:color="auto"/>
      </w:divBdr>
    </w:div>
    <w:div w:id="1057775320">
      <w:marLeft w:val="0"/>
      <w:marRight w:val="0"/>
      <w:marTop w:val="0"/>
      <w:marBottom w:val="180"/>
      <w:divBdr>
        <w:top w:val="none" w:sz="0" w:space="0" w:color="auto"/>
        <w:left w:val="none" w:sz="0" w:space="0" w:color="auto"/>
        <w:bottom w:val="none" w:sz="0" w:space="0" w:color="auto"/>
        <w:right w:val="none" w:sz="0" w:space="0" w:color="auto"/>
      </w:divBdr>
    </w:div>
    <w:div w:id="1058474073">
      <w:marLeft w:val="0"/>
      <w:marRight w:val="0"/>
      <w:marTop w:val="0"/>
      <w:marBottom w:val="180"/>
      <w:divBdr>
        <w:top w:val="none" w:sz="0" w:space="0" w:color="auto"/>
        <w:left w:val="none" w:sz="0" w:space="0" w:color="auto"/>
        <w:bottom w:val="none" w:sz="0" w:space="0" w:color="auto"/>
        <w:right w:val="none" w:sz="0" w:space="0" w:color="auto"/>
      </w:divBdr>
    </w:div>
    <w:div w:id="1059010519">
      <w:marLeft w:val="0"/>
      <w:marRight w:val="0"/>
      <w:marTop w:val="0"/>
      <w:marBottom w:val="240"/>
      <w:divBdr>
        <w:top w:val="none" w:sz="0" w:space="0" w:color="auto"/>
        <w:left w:val="none" w:sz="0" w:space="0" w:color="auto"/>
        <w:bottom w:val="none" w:sz="0" w:space="0" w:color="auto"/>
        <w:right w:val="none" w:sz="0" w:space="0" w:color="auto"/>
      </w:divBdr>
    </w:div>
    <w:div w:id="1060714431">
      <w:marLeft w:val="0"/>
      <w:marRight w:val="0"/>
      <w:marTop w:val="0"/>
      <w:marBottom w:val="180"/>
      <w:divBdr>
        <w:top w:val="none" w:sz="0" w:space="0" w:color="auto"/>
        <w:left w:val="none" w:sz="0" w:space="0" w:color="auto"/>
        <w:bottom w:val="none" w:sz="0" w:space="0" w:color="auto"/>
        <w:right w:val="none" w:sz="0" w:space="0" w:color="auto"/>
      </w:divBdr>
    </w:div>
    <w:div w:id="1061364308">
      <w:marLeft w:val="0"/>
      <w:marRight w:val="0"/>
      <w:marTop w:val="0"/>
      <w:marBottom w:val="180"/>
      <w:divBdr>
        <w:top w:val="none" w:sz="0" w:space="0" w:color="auto"/>
        <w:left w:val="none" w:sz="0" w:space="0" w:color="auto"/>
        <w:bottom w:val="none" w:sz="0" w:space="0" w:color="auto"/>
        <w:right w:val="none" w:sz="0" w:space="0" w:color="auto"/>
      </w:divBdr>
    </w:div>
    <w:div w:id="1061439459">
      <w:marLeft w:val="0"/>
      <w:marRight w:val="0"/>
      <w:marTop w:val="0"/>
      <w:marBottom w:val="180"/>
      <w:divBdr>
        <w:top w:val="none" w:sz="0" w:space="0" w:color="auto"/>
        <w:left w:val="none" w:sz="0" w:space="0" w:color="auto"/>
        <w:bottom w:val="none" w:sz="0" w:space="0" w:color="auto"/>
        <w:right w:val="none" w:sz="0" w:space="0" w:color="auto"/>
      </w:divBdr>
    </w:div>
    <w:div w:id="1061445468">
      <w:marLeft w:val="0"/>
      <w:marRight w:val="0"/>
      <w:marTop w:val="0"/>
      <w:marBottom w:val="0"/>
      <w:divBdr>
        <w:top w:val="none" w:sz="0" w:space="0" w:color="auto"/>
        <w:left w:val="none" w:sz="0" w:space="0" w:color="auto"/>
        <w:bottom w:val="none" w:sz="0" w:space="0" w:color="auto"/>
        <w:right w:val="none" w:sz="0" w:space="0" w:color="auto"/>
      </w:divBdr>
    </w:div>
    <w:div w:id="1061445915">
      <w:marLeft w:val="0"/>
      <w:marRight w:val="0"/>
      <w:marTop w:val="0"/>
      <w:marBottom w:val="0"/>
      <w:divBdr>
        <w:top w:val="none" w:sz="0" w:space="0" w:color="auto"/>
        <w:left w:val="none" w:sz="0" w:space="0" w:color="auto"/>
        <w:bottom w:val="none" w:sz="0" w:space="0" w:color="auto"/>
        <w:right w:val="none" w:sz="0" w:space="0" w:color="auto"/>
      </w:divBdr>
      <w:divsChild>
        <w:div w:id="881864112">
          <w:marLeft w:val="0"/>
          <w:marRight w:val="0"/>
          <w:marTop w:val="0"/>
          <w:marBottom w:val="0"/>
          <w:divBdr>
            <w:top w:val="none" w:sz="0" w:space="0" w:color="auto"/>
            <w:left w:val="none" w:sz="0" w:space="0" w:color="auto"/>
            <w:bottom w:val="none" w:sz="0" w:space="0" w:color="auto"/>
            <w:right w:val="none" w:sz="0" w:space="0" w:color="auto"/>
          </w:divBdr>
        </w:div>
      </w:divsChild>
    </w:div>
    <w:div w:id="1062673926">
      <w:marLeft w:val="0"/>
      <w:marRight w:val="0"/>
      <w:marTop w:val="0"/>
      <w:marBottom w:val="180"/>
      <w:divBdr>
        <w:top w:val="none" w:sz="0" w:space="0" w:color="auto"/>
        <w:left w:val="none" w:sz="0" w:space="0" w:color="auto"/>
        <w:bottom w:val="none" w:sz="0" w:space="0" w:color="auto"/>
        <w:right w:val="none" w:sz="0" w:space="0" w:color="auto"/>
      </w:divBdr>
    </w:div>
    <w:div w:id="1062681232">
      <w:marLeft w:val="0"/>
      <w:marRight w:val="0"/>
      <w:marTop w:val="0"/>
      <w:marBottom w:val="0"/>
      <w:divBdr>
        <w:top w:val="none" w:sz="0" w:space="0" w:color="auto"/>
        <w:left w:val="none" w:sz="0" w:space="0" w:color="auto"/>
        <w:bottom w:val="none" w:sz="0" w:space="0" w:color="auto"/>
        <w:right w:val="none" w:sz="0" w:space="0" w:color="auto"/>
      </w:divBdr>
    </w:div>
    <w:div w:id="1063333832">
      <w:marLeft w:val="0"/>
      <w:marRight w:val="0"/>
      <w:marTop w:val="0"/>
      <w:marBottom w:val="240"/>
      <w:divBdr>
        <w:top w:val="none" w:sz="0" w:space="0" w:color="auto"/>
        <w:left w:val="none" w:sz="0" w:space="0" w:color="auto"/>
        <w:bottom w:val="none" w:sz="0" w:space="0" w:color="auto"/>
        <w:right w:val="none" w:sz="0" w:space="0" w:color="auto"/>
      </w:divBdr>
    </w:div>
    <w:div w:id="1063403832">
      <w:marLeft w:val="0"/>
      <w:marRight w:val="0"/>
      <w:marTop w:val="0"/>
      <w:marBottom w:val="180"/>
      <w:divBdr>
        <w:top w:val="none" w:sz="0" w:space="0" w:color="auto"/>
        <w:left w:val="none" w:sz="0" w:space="0" w:color="auto"/>
        <w:bottom w:val="none" w:sz="0" w:space="0" w:color="auto"/>
        <w:right w:val="none" w:sz="0" w:space="0" w:color="auto"/>
      </w:divBdr>
    </w:div>
    <w:div w:id="1063916823">
      <w:marLeft w:val="0"/>
      <w:marRight w:val="0"/>
      <w:marTop w:val="0"/>
      <w:marBottom w:val="180"/>
      <w:divBdr>
        <w:top w:val="none" w:sz="0" w:space="0" w:color="auto"/>
        <w:left w:val="none" w:sz="0" w:space="0" w:color="auto"/>
        <w:bottom w:val="none" w:sz="0" w:space="0" w:color="auto"/>
        <w:right w:val="none" w:sz="0" w:space="0" w:color="auto"/>
      </w:divBdr>
    </w:div>
    <w:div w:id="1064989422">
      <w:marLeft w:val="0"/>
      <w:marRight w:val="0"/>
      <w:marTop w:val="0"/>
      <w:marBottom w:val="240"/>
      <w:divBdr>
        <w:top w:val="none" w:sz="0" w:space="0" w:color="auto"/>
        <w:left w:val="none" w:sz="0" w:space="0" w:color="auto"/>
        <w:bottom w:val="none" w:sz="0" w:space="0" w:color="auto"/>
        <w:right w:val="none" w:sz="0" w:space="0" w:color="auto"/>
      </w:divBdr>
    </w:div>
    <w:div w:id="1065101513">
      <w:marLeft w:val="0"/>
      <w:marRight w:val="0"/>
      <w:marTop w:val="0"/>
      <w:marBottom w:val="180"/>
      <w:divBdr>
        <w:top w:val="none" w:sz="0" w:space="0" w:color="auto"/>
        <w:left w:val="none" w:sz="0" w:space="0" w:color="auto"/>
        <w:bottom w:val="none" w:sz="0" w:space="0" w:color="auto"/>
        <w:right w:val="none" w:sz="0" w:space="0" w:color="auto"/>
      </w:divBdr>
    </w:div>
    <w:div w:id="1065495872">
      <w:marLeft w:val="0"/>
      <w:marRight w:val="0"/>
      <w:marTop w:val="0"/>
      <w:marBottom w:val="0"/>
      <w:divBdr>
        <w:top w:val="none" w:sz="0" w:space="0" w:color="auto"/>
        <w:left w:val="none" w:sz="0" w:space="0" w:color="auto"/>
        <w:bottom w:val="none" w:sz="0" w:space="0" w:color="auto"/>
        <w:right w:val="none" w:sz="0" w:space="0" w:color="auto"/>
      </w:divBdr>
    </w:div>
    <w:div w:id="1066226725">
      <w:marLeft w:val="0"/>
      <w:marRight w:val="0"/>
      <w:marTop w:val="0"/>
      <w:marBottom w:val="180"/>
      <w:divBdr>
        <w:top w:val="none" w:sz="0" w:space="0" w:color="auto"/>
        <w:left w:val="none" w:sz="0" w:space="0" w:color="auto"/>
        <w:bottom w:val="none" w:sz="0" w:space="0" w:color="auto"/>
        <w:right w:val="none" w:sz="0" w:space="0" w:color="auto"/>
      </w:divBdr>
    </w:div>
    <w:div w:id="1066614113">
      <w:marLeft w:val="0"/>
      <w:marRight w:val="0"/>
      <w:marTop w:val="180"/>
      <w:marBottom w:val="180"/>
      <w:divBdr>
        <w:top w:val="none" w:sz="0" w:space="0" w:color="auto"/>
        <w:left w:val="none" w:sz="0" w:space="0" w:color="auto"/>
        <w:bottom w:val="none" w:sz="0" w:space="0" w:color="auto"/>
        <w:right w:val="none" w:sz="0" w:space="0" w:color="auto"/>
      </w:divBdr>
    </w:div>
    <w:div w:id="1067146148">
      <w:marLeft w:val="0"/>
      <w:marRight w:val="0"/>
      <w:marTop w:val="120"/>
      <w:marBottom w:val="120"/>
      <w:divBdr>
        <w:top w:val="none" w:sz="0" w:space="0" w:color="auto"/>
        <w:left w:val="none" w:sz="0" w:space="0" w:color="auto"/>
        <w:bottom w:val="none" w:sz="0" w:space="0" w:color="auto"/>
        <w:right w:val="none" w:sz="0" w:space="0" w:color="auto"/>
      </w:divBdr>
    </w:div>
    <w:div w:id="1068452974">
      <w:marLeft w:val="0"/>
      <w:marRight w:val="0"/>
      <w:marTop w:val="220"/>
      <w:marBottom w:val="180"/>
      <w:divBdr>
        <w:top w:val="none" w:sz="0" w:space="0" w:color="auto"/>
        <w:left w:val="none" w:sz="0" w:space="0" w:color="auto"/>
        <w:bottom w:val="none" w:sz="0" w:space="0" w:color="auto"/>
        <w:right w:val="none" w:sz="0" w:space="0" w:color="auto"/>
      </w:divBdr>
    </w:div>
    <w:div w:id="1068573273">
      <w:marLeft w:val="0"/>
      <w:marRight w:val="0"/>
      <w:marTop w:val="180"/>
      <w:marBottom w:val="180"/>
      <w:divBdr>
        <w:top w:val="none" w:sz="0" w:space="0" w:color="auto"/>
        <w:left w:val="none" w:sz="0" w:space="0" w:color="auto"/>
        <w:bottom w:val="none" w:sz="0" w:space="0" w:color="auto"/>
        <w:right w:val="none" w:sz="0" w:space="0" w:color="auto"/>
      </w:divBdr>
    </w:div>
    <w:div w:id="1069424122">
      <w:marLeft w:val="0"/>
      <w:marRight w:val="0"/>
      <w:marTop w:val="0"/>
      <w:marBottom w:val="180"/>
      <w:divBdr>
        <w:top w:val="none" w:sz="0" w:space="0" w:color="auto"/>
        <w:left w:val="none" w:sz="0" w:space="0" w:color="auto"/>
        <w:bottom w:val="none" w:sz="0" w:space="0" w:color="auto"/>
        <w:right w:val="none" w:sz="0" w:space="0" w:color="auto"/>
      </w:divBdr>
    </w:div>
    <w:div w:id="1069768202">
      <w:marLeft w:val="0"/>
      <w:marRight w:val="0"/>
      <w:marTop w:val="180"/>
      <w:marBottom w:val="180"/>
      <w:divBdr>
        <w:top w:val="none" w:sz="0" w:space="0" w:color="auto"/>
        <w:left w:val="none" w:sz="0" w:space="0" w:color="auto"/>
        <w:bottom w:val="none" w:sz="0" w:space="0" w:color="auto"/>
        <w:right w:val="none" w:sz="0" w:space="0" w:color="auto"/>
      </w:divBdr>
    </w:div>
    <w:div w:id="1069956538">
      <w:marLeft w:val="0"/>
      <w:marRight w:val="0"/>
      <w:marTop w:val="0"/>
      <w:marBottom w:val="180"/>
      <w:divBdr>
        <w:top w:val="none" w:sz="0" w:space="0" w:color="auto"/>
        <w:left w:val="none" w:sz="0" w:space="0" w:color="auto"/>
        <w:bottom w:val="none" w:sz="0" w:space="0" w:color="auto"/>
        <w:right w:val="none" w:sz="0" w:space="0" w:color="auto"/>
      </w:divBdr>
    </w:div>
    <w:div w:id="1071388256">
      <w:marLeft w:val="0"/>
      <w:marRight w:val="0"/>
      <w:marTop w:val="0"/>
      <w:marBottom w:val="180"/>
      <w:divBdr>
        <w:top w:val="none" w:sz="0" w:space="0" w:color="auto"/>
        <w:left w:val="none" w:sz="0" w:space="0" w:color="auto"/>
        <w:bottom w:val="none" w:sz="0" w:space="0" w:color="auto"/>
        <w:right w:val="none" w:sz="0" w:space="0" w:color="auto"/>
      </w:divBdr>
    </w:div>
    <w:div w:id="1072235024">
      <w:marLeft w:val="0"/>
      <w:marRight w:val="0"/>
      <w:marTop w:val="0"/>
      <w:marBottom w:val="240"/>
      <w:divBdr>
        <w:top w:val="none" w:sz="0" w:space="0" w:color="auto"/>
        <w:left w:val="none" w:sz="0" w:space="0" w:color="auto"/>
        <w:bottom w:val="none" w:sz="0" w:space="0" w:color="auto"/>
        <w:right w:val="none" w:sz="0" w:space="0" w:color="auto"/>
      </w:divBdr>
    </w:div>
    <w:div w:id="1073964987">
      <w:marLeft w:val="0"/>
      <w:marRight w:val="0"/>
      <w:marTop w:val="0"/>
      <w:marBottom w:val="0"/>
      <w:divBdr>
        <w:top w:val="none" w:sz="0" w:space="0" w:color="auto"/>
        <w:left w:val="none" w:sz="0" w:space="0" w:color="auto"/>
        <w:bottom w:val="none" w:sz="0" w:space="0" w:color="auto"/>
        <w:right w:val="none" w:sz="0" w:space="0" w:color="auto"/>
      </w:divBdr>
    </w:div>
    <w:div w:id="1073965946">
      <w:marLeft w:val="0"/>
      <w:marRight w:val="0"/>
      <w:marTop w:val="0"/>
      <w:marBottom w:val="240"/>
      <w:divBdr>
        <w:top w:val="none" w:sz="0" w:space="0" w:color="auto"/>
        <w:left w:val="none" w:sz="0" w:space="0" w:color="auto"/>
        <w:bottom w:val="none" w:sz="0" w:space="0" w:color="auto"/>
        <w:right w:val="none" w:sz="0" w:space="0" w:color="auto"/>
      </w:divBdr>
    </w:div>
    <w:div w:id="1074006392">
      <w:marLeft w:val="0"/>
      <w:marRight w:val="0"/>
      <w:marTop w:val="0"/>
      <w:marBottom w:val="180"/>
      <w:divBdr>
        <w:top w:val="none" w:sz="0" w:space="0" w:color="auto"/>
        <w:left w:val="none" w:sz="0" w:space="0" w:color="auto"/>
        <w:bottom w:val="none" w:sz="0" w:space="0" w:color="auto"/>
        <w:right w:val="none" w:sz="0" w:space="0" w:color="auto"/>
      </w:divBdr>
      <w:divsChild>
        <w:div w:id="2117480822">
          <w:marLeft w:val="0"/>
          <w:marRight w:val="0"/>
          <w:marTop w:val="0"/>
          <w:marBottom w:val="0"/>
          <w:divBdr>
            <w:top w:val="none" w:sz="0" w:space="0" w:color="auto"/>
            <w:left w:val="none" w:sz="0" w:space="0" w:color="auto"/>
            <w:bottom w:val="none" w:sz="0" w:space="0" w:color="auto"/>
            <w:right w:val="none" w:sz="0" w:space="0" w:color="auto"/>
          </w:divBdr>
        </w:div>
        <w:div w:id="187454564">
          <w:marLeft w:val="0"/>
          <w:marRight w:val="0"/>
          <w:marTop w:val="0"/>
          <w:marBottom w:val="0"/>
          <w:divBdr>
            <w:top w:val="none" w:sz="0" w:space="0" w:color="auto"/>
            <w:left w:val="none" w:sz="0" w:space="0" w:color="auto"/>
            <w:bottom w:val="none" w:sz="0" w:space="0" w:color="auto"/>
            <w:right w:val="none" w:sz="0" w:space="0" w:color="auto"/>
          </w:divBdr>
        </w:div>
        <w:div w:id="868026469">
          <w:marLeft w:val="0"/>
          <w:marRight w:val="0"/>
          <w:marTop w:val="0"/>
          <w:marBottom w:val="0"/>
          <w:divBdr>
            <w:top w:val="none" w:sz="0" w:space="0" w:color="auto"/>
            <w:left w:val="none" w:sz="0" w:space="0" w:color="auto"/>
            <w:bottom w:val="none" w:sz="0" w:space="0" w:color="auto"/>
            <w:right w:val="none" w:sz="0" w:space="0" w:color="auto"/>
          </w:divBdr>
        </w:div>
      </w:divsChild>
    </w:div>
    <w:div w:id="1074208764">
      <w:marLeft w:val="0"/>
      <w:marRight w:val="0"/>
      <w:marTop w:val="0"/>
      <w:marBottom w:val="240"/>
      <w:divBdr>
        <w:top w:val="none" w:sz="0" w:space="0" w:color="auto"/>
        <w:left w:val="none" w:sz="0" w:space="0" w:color="auto"/>
        <w:bottom w:val="none" w:sz="0" w:space="0" w:color="auto"/>
        <w:right w:val="none" w:sz="0" w:space="0" w:color="auto"/>
      </w:divBdr>
    </w:div>
    <w:div w:id="1075663083">
      <w:marLeft w:val="0"/>
      <w:marRight w:val="0"/>
      <w:marTop w:val="0"/>
      <w:marBottom w:val="180"/>
      <w:divBdr>
        <w:top w:val="none" w:sz="0" w:space="0" w:color="auto"/>
        <w:left w:val="none" w:sz="0" w:space="0" w:color="auto"/>
        <w:bottom w:val="none" w:sz="0" w:space="0" w:color="auto"/>
        <w:right w:val="none" w:sz="0" w:space="0" w:color="auto"/>
      </w:divBdr>
    </w:div>
    <w:div w:id="1076317623">
      <w:marLeft w:val="0"/>
      <w:marRight w:val="0"/>
      <w:marTop w:val="100"/>
      <w:marBottom w:val="0"/>
      <w:divBdr>
        <w:top w:val="none" w:sz="0" w:space="0" w:color="auto"/>
        <w:left w:val="none" w:sz="0" w:space="0" w:color="auto"/>
        <w:bottom w:val="none" w:sz="0" w:space="0" w:color="auto"/>
        <w:right w:val="none" w:sz="0" w:space="0" w:color="auto"/>
      </w:divBdr>
    </w:div>
    <w:div w:id="1076394224">
      <w:marLeft w:val="0"/>
      <w:marRight w:val="0"/>
      <w:marTop w:val="0"/>
      <w:marBottom w:val="240"/>
      <w:divBdr>
        <w:top w:val="none" w:sz="0" w:space="0" w:color="auto"/>
        <w:left w:val="none" w:sz="0" w:space="0" w:color="auto"/>
        <w:bottom w:val="none" w:sz="0" w:space="0" w:color="auto"/>
        <w:right w:val="none" w:sz="0" w:space="0" w:color="auto"/>
      </w:divBdr>
    </w:div>
    <w:div w:id="1076628649">
      <w:marLeft w:val="0"/>
      <w:marRight w:val="0"/>
      <w:marTop w:val="0"/>
      <w:marBottom w:val="240"/>
      <w:divBdr>
        <w:top w:val="none" w:sz="0" w:space="0" w:color="auto"/>
        <w:left w:val="none" w:sz="0" w:space="0" w:color="auto"/>
        <w:bottom w:val="none" w:sz="0" w:space="0" w:color="auto"/>
        <w:right w:val="none" w:sz="0" w:space="0" w:color="auto"/>
      </w:divBdr>
    </w:div>
    <w:div w:id="1077358090">
      <w:marLeft w:val="0"/>
      <w:marRight w:val="0"/>
      <w:marTop w:val="0"/>
      <w:marBottom w:val="0"/>
      <w:divBdr>
        <w:top w:val="none" w:sz="0" w:space="0" w:color="auto"/>
        <w:left w:val="none" w:sz="0" w:space="0" w:color="auto"/>
        <w:bottom w:val="none" w:sz="0" w:space="0" w:color="auto"/>
        <w:right w:val="none" w:sz="0" w:space="0" w:color="auto"/>
      </w:divBdr>
    </w:div>
    <w:div w:id="1077480713">
      <w:marLeft w:val="0"/>
      <w:marRight w:val="0"/>
      <w:marTop w:val="0"/>
      <w:marBottom w:val="240"/>
      <w:divBdr>
        <w:top w:val="none" w:sz="0" w:space="0" w:color="auto"/>
        <w:left w:val="none" w:sz="0" w:space="0" w:color="auto"/>
        <w:bottom w:val="none" w:sz="0" w:space="0" w:color="auto"/>
        <w:right w:val="none" w:sz="0" w:space="0" w:color="auto"/>
      </w:divBdr>
    </w:div>
    <w:div w:id="1078138153">
      <w:marLeft w:val="0"/>
      <w:marRight w:val="0"/>
      <w:marTop w:val="0"/>
      <w:marBottom w:val="0"/>
      <w:divBdr>
        <w:top w:val="none" w:sz="0" w:space="0" w:color="auto"/>
        <w:left w:val="none" w:sz="0" w:space="0" w:color="auto"/>
        <w:bottom w:val="none" w:sz="0" w:space="0" w:color="auto"/>
        <w:right w:val="none" w:sz="0" w:space="0" w:color="auto"/>
      </w:divBdr>
    </w:div>
    <w:div w:id="1078939640">
      <w:marLeft w:val="0"/>
      <w:marRight w:val="0"/>
      <w:marTop w:val="0"/>
      <w:marBottom w:val="0"/>
      <w:divBdr>
        <w:top w:val="none" w:sz="0" w:space="0" w:color="auto"/>
        <w:left w:val="none" w:sz="0" w:space="0" w:color="auto"/>
        <w:bottom w:val="none" w:sz="0" w:space="0" w:color="auto"/>
        <w:right w:val="none" w:sz="0" w:space="0" w:color="auto"/>
      </w:divBdr>
    </w:div>
    <w:div w:id="1079132330">
      <w:marLeft w:val="0"/>
      <w:marRight w:val="0"/>
      <w:marTop w:val="0"/>
      <w:marBottom w:val="180"/>
      <w:divBdr>
        <w:top w:val="none" w:sz="0" w:space="0" w:color="auto"/>
        <w:left w:val="none" w:sz="0" w:space="0" w:color="auto"/>
        <w:bottom w:val="none" w:sz="0" w:space="0" w:color="auto"/>
        <w:right w:val="none" w:sz="0" w:space="0" w:color="auto"/>
      </w:divBdr>
    </w:div>
    <w:div w:id="1079599789">
      <w:marLeft w:val="0"/>
      <w:marRight w:val="0"/>
      <w:marTop w:val="0"/>
      <w:marBottom w:val="0"/>
      <w:divBdr>
        <w:top w:val="none" w:sz="0" w:space="0" w:color="auto"/>
        <w:left w:val="none" w:sz="0" w:space="0" w:color="auto"/>
        <w:bottom w:val="none" w:sz="0" w:space="0" w:color="auto"/>
        <w:right w:val="none" w:sz="0" w:space="0" w:color="auto"/>
      </w:divBdr>
    </w:div>
    <w:div w:id="1081680432">
      <w:marLeft w:val="0"/>
      <w:marRight w:val="0"/>
      <w:marTop w:val="0"/>
      <w:marBottom w:val="240"/>
      <w:divBdr>
        <w:top w:val="none" w:sz="0" w:space="0" w:color="auto"/>
        <w:left w:val="none" w:sz="0" w:space="0" w:color="auto"/>
        <w:bottom w:val="none" w:sz="0" w:space="0" w:color="auto"/>
        <w:right w:val="none" w:sz="0" w:space="0" w:color="auto"/>
      </w:divBdr>
    </w:div>
    <w:div w:id="1081869886">
      <w:marLeft w:val="0"/>
      <w:marRight w:val="0"/>
      <w:marTop w:val="0"/>
      <w:marBottom w:val="0"/>
      <w:divBdr>
        <w:top w:val="none" w:sz="0" w:space="0" w:color="auto"/>
        <w:left w:val="none" w:sz="0" w:space="0" w:color="auto"/>
        <w:bottom w:val="none" w:sz="0" w:space="0" w:color="auto"/>
        <w:right w:val="none" w:sz="0" w:space="0" w:color="auto"/>
      </w:divBdr>
    </w:div>
    <w:div w:id="1082602857">
      <w:marLeft w:val="0"/>
      <w:marRight w:val="0"/>
      <w:marTop w:val="0"/>
      <w:marBottom w:val="240"/>
      <w:divBdr>
        <w:top w:val="none" w:sz="0" w:space="0" w:color="auto"/>
        <w:left w:val="none" w:sz="0" w:space="0" w:color="auto"/>
        <w:bottom w:val="none" w:sz="0" w:space="0" w:color="auto"/>
        <w:right w:val="none" w:sz="0" w:space="0" w:color="auto"/>
      </w:divBdr>
    </w:div>
    <w:div w:id="1083256077">
      <w:marLeft w:val="0"/>
      <w:marRight w:val="0"/>
      <w:marTop w:val="0"/>
      <w:marBottom w:val="240"/>
      <w:divBdr>
        <w:top w:val="none" w:sz="0" w:space="0" w:color="auto"/>
        <w:left w:val="none" w:sz="0" w:space="0" w:color="auto"/>
        <w:bottom w:val="none" w:sz="0" w:space="0" w:color="auto"/>
        <w:right w:val="none" w:sz="0" w:space="0" w:color="auto"/>
      </w:divBdr>
    </w:div>
    <w:div w:id="1084104401">
      <w:marLeft w:val="0"/>
      <w:marRight w:val="0"/>
      <w:marTop w:val="0"/>
      <w:marBottom w:val="180"/>
      <w:divBdr>
        <w:top w:val="none" w:sz="0" w:space="0" w:color="auto"/>
        <w:left w:val="none" w:sz="0" w:space="0" w:color="auto"/>
        <w:bottom w:val="none" w:sz="0" w:space="0" w:color="auto"/>
        <w:right w:val="none" w:sz="0" w:space="0" w:color="auto"/>
      </w:divBdr>
    </w:div>
    <w:div w:id="1085539362">
      <w:marLeft w:val="0"/>
      <w:marRight w:val="0"/>
      <w:marTop w:val="180"/>
      <w:marBottom w:val="180"/>
      <w:divBdr>
        <w:top w:val="none" w:sz="0" w:space="0" w:color="auto"/>
        <w:left w:val="none" w:sz="0" w:space="0" w:color="auto"/>
        <w:bottom w:val="none" w:sz="0" w:space="0" w:color="auto"/>
        <w:right w:val="none" w:sz="0" w:space="0" w:color="auto"/>
      </w:divBdr>
    </w:div>
    <w:div w:id="1085608089">
      <w:marLeft w:val="0"/>
      <w:marRight w:val="0"/>
      <w:marTop w:val="0"/>
      <w:marBottom w:val="0"/>
      <w:divBdr>
        <w:top w:val="none" w:sz="0" w:space="0" w:color="auto"/>
        <w:left w:val="none" w:sz="0" w:space="0" w:color="auto"/>
        <w:bottom w:val="none" w:sz="0" w:space="0" w:color="auto"/>
        <w:right w:val="none" w:sz="0" w:space="0" w:color="auto"/>
      </w:divBdr>
    </w:div>
    <w:div w:id="1085614838">
      <w:marLeft w:val="0"/>
      <w:marRight w:val="0"/>
      <w:marTop w:val="0"/>
      <w:marBottom w:val="0"/>
      <w:divBdr>
        <w:top w:val="none" w:sz="0" w:space="0" w:color="auto"/>
        <w:left w:val="none" w:sz="0" w:space="0" w:color="auto"/>
        <w:bottom w:val="none" w:sz="0" w:space="0" w:color="auto"/>
        <w:right w:val="none" w:sz="0" w:space="0" w:color="auto"/>
      </w:divBdr>
      <w:divsChild>
        <w:div w:id="260141996">
          <w:marLeft w:val="0"/>
          <w:marRight w:val="0"/>
          <w:marTop w:val="0"/>
          <w:marBottom w:val="0"/>
          <w:divBdr>
            <w:top w:val="none" w:sz="0" w:space="0" w:color="auto"/>
            <w:left w:val="none" w:sz="0" w:space="0" w:color="auto"/>
            <w:bottom w:val="none" w:sz="0" w:space="0" w:color="auto"/>
            <w:right w:val="none" w:sz="0" w:space="0" w:color="auto"/>
          </w:divBdr>
        </w:div>
      </w:divsChild>
    </w:div>
    <w:div w:id="1086269876">
      <w:marLeft w:val="0"/>
      <w:marRight w:val="0"/>
      <w:marTop w:val="0"/>
      <w:marBottom w:val="240"/>
      <w:divBdr>
        <w:top w:val="none" w:sz="0" w:space="0" w:color="auto"/>
        <w:left w:val="none" w:sz="0" w:space="0" w:color="auto"/>
        <w:bottom w:val="none" w:sz="0" w:space="0" w:color="auto"/>
        <w:right w:val="none" w:sz="0" w:space="0" w:color="auto"/>
      </w:divBdr>
    </w:div>
    <w:div w:id="1086727015">
      <w:marLeft w:val="0"/>
      <w:marRight w:val="0"/>
      <w:marTop w:val="180"/>
      <w:marBottom w:val="180"/>
      <w:divBdr>
        <w:top w:val="none" w:sz="0" w:space="0" w:color="auto"/>
        <w:left w:val="none" w:sz="0" w:space="0" w:color="auto"/>
        <w:bottom w:val="none" w:sz="0" w:space="0" w:color="auto"/>
        <w:right w:val="none" w:sz="0" w:space="0" w:color="auto"/>
      </w:divBdr>
    </w:div>
    <w:div w:id="1087575907">
      <w:marLeft w:val="0"/>
      <w:marRight w:val="0"/>
      <w:marTop w:val="0"/>
      <w:marBottom w:val="240"/>
      <w:divBdr>
        <w:top w:val="none" w:sz="0" w:space="0" w:color="auto"/>
        <w:left w:val="none" w:sz="0" w:space="0" w:color="auto"/>
        <w:bottom w:val="none" w:sz="0" w:space="0" w:color="auto"/>
        <w:right w:val="none" w:sz="0" w:space="0" w:color="auto"/>
      </w:divBdr>
    </w:div>
    <w:div w:id="1088884004">
      <w:marLeft w:val="0"/>
      <w:marRight w:val="0"/>
      <w:marTop w:val="0"/>
      <w:marBottom w:val="180"/>
      <w:divBdr>
        <w:top w:val="none" w:sz="0" w:space="0" w:color="auto"/>
        <w:left w:val="none" w:sz="0" w:space="0" w:color="auto"/>
        <w:bottom w:val="none" w:sz="0" w:space="0" w:color="auto"/>
        <w:right w:val="none" w:sz="0" w:space="0" w:color="auto"/>
      </w:divBdr>
    </w:div>
    <w:div w:id="1088959263">
      <w:marLeft w:val="0"/>
      <w:marRight w:val="0"/>
      <w:marTop w:val="0"/>
      <w:marBottom w:val="0"/>
      <w:divBdr>
        <w:top w:val="none" w:sz="0" w:space="0" w:color="auto"/>
        <w:left w:val="none" w:sz="0" w:space="0" w:color="auto"/>
        <w:bottom w:val="none" w:sz="0" w:space="0" w:color="auto"/>
        <w:right w:val="none" w:sz="0" w:space="0" w:color="auto"/>
      </w:divBdr>
    </w:div>
    <w:div w:id="1089153677">
      <w:marLeft w:val="0"/>
      <w:marRight w:val="0"/>
      <w:marTop w:val="0"/>
      <w:marBottom w:val="0"/>
      <w:divBdr>
        <w:top w:val="none" w:sz="0" w:space="0" w:color="auto"/>
        <w:left w:val="none" w:sz="0" w:space="0" w:color="auto"/>
        <w:bottom w:val="none" w:sz="0" w:space="0" w:color="auto"/>
        <w:right w:val="none" w:sz="0" w:space="0" w:color="auto"/>
      </w:divBdr>
    </w:div>
    <w:div w:id="1090811799">
      <w:marLeft w:val="0"/>
      <w:marRight w:val="0"/>
      <w:marTop w:val="120"/>
      <w:marBottom w:val="120"/>
      <w:divBdr>
        <w:top w:val="none" w:sz="0" w:space="0" w:color="auto"/>
        <w:left w:val="none" w:sz="0" w:space="0" w:color="auto"/>
        <w:bottom w:val="none" w:sz="0" w:space="0" w:color="auto"/>
        <w:right w:val="none" w:sz="0" w:space="0" w:color="auto"/>
      </w:divBdr>
    </w:div>
    <w:div w:id="1090854551">
      <w:marLeft w:val="0"/>
      <w:marRight w:val="0"/>
      <w:marTop w:val="0"/>
      <w:marBottom w:val="240"/>
      <w:divBdr>
        <w:top w:val="none" w:sz="0" w:space="0" w:color="auto"/>
        <w:left w:val="none" w:sz="0" w:space="0" w:color="auto"/>
        <w:bottom w:val="none" w:sz="0" w:space="0" w:color="auto"/>
        <w:right w:val="none" w:sz="0" w:space="0" w:color="auto"/>
      </w:divBdr>
    </w:div>
    <w:div w:id="1092160473">
      <w:marLeft w:val="0"/>
      <w:marRight w:val="0"/>
      <w:marTop w:val="180"/>
      <w:marBottom w:val="180"/>
      <w:divBdr>
        <w:top w:val="none" w:sz="0" w:space="0" w:color="auto"/>
        <w:left w:val="none" w:sz="0" w:space="0" w:color="auto"/>
        <w:bottom w:val="none" w:sz="0" w:space="0" w:color="auto"/>
        <w:right w:val="none" w:sz="0" w:space="0" w:color="auto"/>
      </w:divBdr>
    </w:div>
    <w:div w:id="1092436964">
      <w:marLeft w:val="0"/>
      <w:marRight w:val="0"/>
      <w:marTop w:val="0"/>
      <w:marBottom w:val="0"/>
      <w:divBdr>
        <w:top w:val="none" w:sz="0" w:space="0" w:color="auto"/>
        <w:left w:val="none" w:sz="0" w:space="0" w:color="auto"/>
        <w:bottom w:val="none" w:sz="0" w:space="0" w:color="auto"/>
        <w:right w:val="none" w:sz="0" w:space="0" w:color="auto"/>
      </w:divBdr>
      <w:divsChild>
        <w:div w:id="1804083517">
          <w:marLeft w:val="0"/>
          <w:marRight w:val="0"/>
          <w:marTop w:val="0"/>
          <w:marBottom w:val="0"/>
          <w:divBdr>
            <w:top w:val="none" w:sz="0" w:space="0" w:color="auto"/>
            <w:left w:val="none" w:sz="0" w:space="0" w:color="auto"/>
            <w:bottom w:val="none" w:sz="0" w:space="0" w:color="auto"/>
            <w:right w:val="none" w:sz="0" w:space="0" w:color="auto"/>
          </w:divBdr>
        </w:div>
      </w:divsChild>
    </w:div>
    <w:div w:id="1093238118">
      <w:marLeft w:val="0"/>
      <w:marRight w:val="0"/>
      <w:marTop w:val="0"/>
      <w:marBottom w:val="180"/>
      <w:divBdr>
        <w:top w:val="none" w:sz="0" w:space="0" w:color="auto"/>
        <w:left w:val="none" w:sz="0" w:space="0" w:color="auto"/>
        <w:bottom w:val="none" w:sz="0" w:space="0" w:color="auto"/>
        <w:right w:val="none" w:sz="0" w:space="0" w:color="auto"/>
      </w:divBdr>
    </w:div>
    <w:div w:id="1093823473">
      <w:marLeft w:val="0"/>
      <w:marRight w:val="0"/>
      <w:marTop w:val="0"/>
      <w:marBottom w:val="180"/>
      <w:divBdr>
        <w:top w:val="none" w:sz="0" w:space="0" w:color="auto"/>
        <w:left w:val="none" w:sz="0" w:space="0" w:color="auto"/>
        <w:bottom w:val="none" w:sz="0" w:space="0" w:color="auto"/>
        <w:right w:val="none" w:sz="0" w:space="0" w:color="auto"/>
      </w:divBdr>
    </w:div>
    <w:div w:id="1095445012">
      <w:marLeft w:val="0"/>
      <w:marRight w:val="0"/>
      <w:marTop w:val="180"/>
      <w:marBottom w:val="180"/>
      <w:divBdr>
        <w:top w:val="none" w:sz="0" w:space="0" w:color="auto"/>
        <w:left w:val="none" w:sz="0" w:space="0" w:color="auto"/>
        <w:bottom w:val="none" w:sz="0" w:space="0" w:color="auto"/>
        <w:right w:val="none" w:sz="0" w:space="0" w:color="auto"/>
      </w:divBdr>
    </w:div>
    <w:div w:id="1095589588">
      <w:marLeft w:val="0"/>
      <w:marRight w:val="0"/>
      <w:marTop w:val="120"/>
      <w:marBottom w:val="120"/>
      <w:divBdr>
        <w:top w:val="none" w:sz="0" w:space="0" w:color="auto"/>
        <w:left w:val="none" w:sz="0" w:space="0" w:color="auto"/>
        <w:bottom w:val="none" w:sz="0" w:space="0" w:color="auto"/>
        <w:right w:val="none" w:sz="0" w:space="0" w:color="auto"/>
      </w:divBdr>
    </w:div>
    <w:div w:id="1095906961">
      <w:marLeft w:val="0"/>
      <w:marRight w:val="0"/>
      <w:marTop w:val="180"/>
      <w:marBottom w:val="180"/>
      <w:divBdr>
        <w:top w:val="none" w:sz="0" w:space="0" w:color="auto"/>
        <w:left w:val="none" w:sz="0" w:space="0" w:color="auto"/>
        <w:bottom w:val="none" w:sz="0" w:space="0" w:color="auto"/>
        <w:right w:val="none" w:sz="0" w:space="0" w:color="auto"/>
      </w:divBdr>
    </w:div>
    <w:div w:id="1095978173">
      <w:marLeft w:val="0"/>
      <w:marRight w:val="0"/>
      <w:marTop w:val="0"/>
      <w:marBottom w:val="240"/>
      <w:divBdr>
        <w:top w:val="none" w:sz="0" w:space="0" w:color="auto"/>
        <w:left w:val="none" w:sz="0" w:space="0" w:color="auto"/>
        <w:bottom w:val="none" w:sz="0" w:space="0" w:color="auto"/>
        <w:right w:val="none" w:sz="0" w:space="0" w:color="auto"/>
      </w:divBdr>
    </w:div>
    <w:div w:id="1096436580">
      <w:marLeft w:val="0"/>
      <w:marRight w:val="0"/>
      <w:marTop w:val="0"/>
      <w:marBottom w:val="240"/>
      <w:divBdr>
        <w:top w:val="none" w:sz="0" w:space="0" w:color="auto"/>
        <w:left w:val="none" w:sz="0" w:space="0" w:color="auto"/>
        <w:bottom w:val="none" w:sz="0" w:space="0" w:color="auto"/>
        <w:right w:val="none" w:sz="0" w:space="0" w:color="auto"/>
      </w:divBdr>
    </w:div>
    <w:div w:id="1097018531">
      <w:marLeft w:val="0"/>
      <w:marRight w:val="0"/>
      <w:marTop w:val="0"/>
      <w:marBottom w:val="240"/>
      <w:divBdr>
        <w:top w:val="none" w:sz="0" w:space="0" w:color="auto"/>
        <w:left w:val="none" w:sz="0" w:space="0" w:color="auto"/>
        <w:bottom w:val="none" w:sz="0" w:space="0" w:color="auto"/>
        <w:right w:val="none" w:sz="0" w:space="0" w:color="auto"/>
      </w:divBdr>
    </w:div>
    <w:div w:id="1097362711">
      <w:marLeft w:val="0"/>
      <w:marRight w:val="0"/>
      <w:marTop w:val="0"/>
      <w:marBottom w:val="180"/>
      <w:divBdr>
        <w:top w:val="none" w:sz="0" w:space="0" w:color="auto"/>
        <w:left w:val="none" w:sz="0" w:space="0" w:color="auto"/>
        <w:bottom w:val="none" w:sz="0" w:space="0" w:color="auto"/>
        <w:right w:val="none" w:sz="0" w:space="0" w:color="auto"/>
      </w:divBdr>
    </w:div>
    <w:div w:id="1098142441">
      <w:marLeft w:val="0"/>
      <w:marRight w:val="0"/>
      <w:marTop w:val="0"/>
      <w:marBottom w:val="0"/>
      <w:divBdr>
        <w:top w:val="none" w:sz="0" w:space="0" w:color="auto"/>
        <w:left w:val="none" w:sz="0" w:space="0" w:color="auto"/>
        <w:bottom w:val="none" w:sz="0" w:space="0" w:color="auto"/>
        <w:right w:val="none" w:sz="0" w:space="0" w:color="auto"/>
      </w:divBdr>
      <w:divsChild>
        <w:div w:id="1455322314">
          <w:marLeft w:val="0"/>
          <w:marRight w:val="0"/>
          <w:marTop w:val="0"/>
          <w:marBottom w:val="0"/>
          <w:divBdr>
            <w:top w:val="none" w:sz="0" w:space="0" w:color="auto"/>
            <w:left w:val="none" w:sz="0" w:space="0" w:color="auto"/>
            <w:bottom w:val="none" w:sz="0" w:space="0" w:color="auto"/>
            <w:right w:val="none" w:sz="0" w:space="0" w:color="auto"/>
          </w:divBdr>
        </w:div>
        <w:div w:id="482435606">
          <w:marLeft w:val="0"/>
          <w:marRight w:val="0"/>
          <w:marTop w:val="0"/>
          <w:marBottom w:val="0"/>
          <w:divBdr>
            <w:top w:val="none" w:sz="0" w:space="0" w:color="auto"/>
            <w:left w:val="none" w:sz="0" w:space="0" w:color="auto"/>
            <w:bottom w:val="none" w:sz="0" w:space="0" w:color="auto"/>
            <w:right w:val="none" w:sz="0" w:space="0" w:color="auto"/>
          </w:divBdr>
        </w:div>
      </w:divsChild>
    </w:div>
    <w:div w:id="1098216027">
      <w:marLeft w:val="0"/>
      <w:marRight w:val="0"/>
      <w:marTop w:val="0"/>
      <w:marBottom w:val="240"/>
      <w:divBdr>
        <w:top w:val="none" w:sz="0" w:space="0" w:color="auto"/>
        <w:left w:val="none" w:sz="0" w:space="0" w:color="auto"/>
        <w:bottom w:val="none" w:sz="0" w:space="0" w:color="auto"/>
        <w:right w:val="none" w:sz="0" w:space="0" w:color="auto"/>
      </w:divBdr>
    </w:div>
    <w:div w:id="1098216513">
      <w:marLeft w:val="0"/>
      <w:marRight w:val="0"/>
      <w:marTop w:val="180"/>
      <w:marBottom w:val="180"/>
      <w:divBdr>
        <w:top w:val="none" w:sz="0" w:space="0" w:color="auto"/>
        <w:left w:val="none" w:sz="0" w:space="0" w:color="auto"/>
        <w:bottom w:val="none" w:sz="0" w:space="0" w:color="auto"/>
        <w:right w:val="none" w:sz="0" w:space="0" w:color="auto"/>
      </w:divBdr>
    </w:div>
    <w:div w:id="1099063707">
      <w:marLeft w:val="0"/>
      <w:marRight w:val="0"/>
      <w:marTop w:val="0"/>
      <w:marBottom w:val="180"/>
      <w:divBdr>
        <w:top w:val="none" w:sz="0" w:space="0" w:color="auto"/>
        <w:left w:val="none" w:sz="0" w:space="0" w:color="auto"/>
        <w:bottom w:val="none" w:sz="0" w:space="0" w:color="auto"/>
        <w:right w:val="none" w:sz="0" w:space="0" w:color="auto"/>
      </w:divBdr>
    </w:div>
    <w:div w:id="1101297129">
      <w:marLeft w:val="0"/>
      <w:marRight w:val="0"/>
      <w:marTop w:val="0"/>
      <w:marBottom w:val="240"/>
      <w:divBdr>
        <w:top w:val="none" w:sz="0" w:space="0" w:color="auto"/>
        <w:left w:val="none" w:sz="0" w:space="0" w:color="auto"/>
        <w:bottom w:val="none" w:sz="0" w:space="0" w:color="auto"/>
        <w:right w:val="none" w:sz="0" w:space="0" w:color="auto"/>
      </w:divBdr>
    </w:div>
    <w:div w:id="1101485306">
      <w:marLeft w:val="0"/>
      <w:marRight w:val="0"/>
      <w:marTop w:val="180"/>
      <w:marBottom w:val="180"/>
      <w:divBdr>
        <w:top w:val="none" w:sz="0" w:space="0" w:color="auto"/>
        <w:left w:val="none" w:sz="0" w:space="0" w:color="auto"/>
        <w:bottom w:val="none" w:sz="0" w:space="0" w:color="auto"/>
        <w:right w:val="none" w:sz="0" w:space="0" w:color="auto"/>
      </w:divBdr>
    </w:div>
    <w:div w:id="1101948087">
      <w:marLeft w:val="0"/>
      <w:marRight w:val="0"/>
      <w:marTop w:val="0"/>
      <w:marBottom w:val="0"/>
      <w:divBdr>
        <w:top w:val="none" w:sz="0" w:space="0" w:color="auto"/>
        <w:left w:val="none" w:sz="0" w:space="0" w:color="auto"/>
        <w:bottom w:val="none" w:sz="0" w:space="0" w:color="auto"/>
        <w:right w:val="none" w:sz="0" w:space="0" w:color="auto"/>
      </w:divBdr>
      <w:divsChild>
        <w:div w:id="1825196783">
          <w:marLeft w:val="0"/>
          <w:marRight w:val="0"/>
          <w:marTop w:val="0"/>
          <w:marBottom w:val="0"/>
          <w:divBdr>
            <w:top w:val="none" w:sz="0" w:space="0" w:color="auto"/>
            <w:left w:val="none" w:sz="0" w:space="0" w:color="auto"/>
            <w:bottom w:val="none" w:sz="0" w:space="0" w:color="auto"/>
            <w:right w:val="none" w:sz="0" w:space="0" w:color="auto"/>
          </w:divBdr>
        </w:div>
      </w:divsChild>
    </w:div>
    <w:div w:id="1102187762">
      <w:marLeft w:val="0"/>
      <w:marRight w:val="0"/>
      <w:marTop w:val="0"/>
      <w:marBottom w:val="180"/>
      <w:divBdr>
        <w:top w:val="none" w:sz="0" w:space="0" w:color="auto"/>
        <w:left w:val="none" w:sz="0" w:space="0" w:color="auto"/>
        <w:bottom w:val="none" w:sz="0" w:space="0" w:color="auto"/>
        <w:right w:val="none" w:sz="0" w:space="0" w:color="auto"/>
      </w:divBdr>
    </w:div>
    <w:div w:id="1103067813">
      <w:marLeft w:val="0"/>
      <w:marRight w:val="0"/>
      <w:marTop w:val="180"/>
      <w:marBottom w:val="180"/>
      <w:divBdr>
        <w:top w:val="none" w:sz="0" w:space="0" w:color="auto"/>
        <w:left w:val="none" w:sz="0" w:space="0" w:color="auto"/>
        <w:bottom w:val="none" w:sz="0" w:space="0" w:color="auto"/>
        <w:right w:val="none" w:sz="0" w:space="0" w:color="auto"/>
      </w:divBdr>
    </w:div>
    <w:div w:id="1103458129">
      <w:marLeft w:val="0"/>
      <w:marRight w:val="0"/>
      <w:marTop w:val="0"/>
      <w:marBottom w:val="180"/>
      <w:divBdr>
        <w:top w:val="none" w:sz="0" w:space="0" w:color="auto"/>
        <w:left w:val="none" w:sz="0" w:space="0" w:color="auto"/>
        <w:bottom w:val="none" w:sz="0" w:space="0" w:color="auto"/>
        <w:right w:val="none" w:sz="0" w:space="0" w:color="auto"/>
      </w:divBdr>
    </w:div>
    <w:div w:id="1104959125">
      <w:marLeft w:val="0"/>
      <w:marRight w:val="0"/>
      <w:marTop w:val="0"/>
      <w:marBottom w:val="240"/>
      <w:divBdr>
        <w:top w:val="none" w:sz="0" w:space="0" w:color="auto"/>
        <w:left w:val="none" w:sz="0" w:space="0" w:color="auto"/>
        <w:bottom w:val="none" w:sz="0" w:space="0" w:color="auto"/>
        <w:right w:val="none" w:sz="0" w:space="0" w:color="auto"/>
      </w:divBdr>
    </w:div>
    <w:div w:id="1105806676">
      <w:marLeft w:val="0"/>
      <w:marRight w:val="0"/>
      <w:marTop w:val="0"/>
      <w:marBottom w:val="0"/>
      <w:divBdr>
        <w:top w:val="none" w:sz="0" w:space="0" w:color="auto"/>
        <w:left w:val="none" w:sz="0" w:space="0" w:color="auto"/>
        <w:bottom w:val="none" w:sz="0" w:space="0" w:color="auto"/>
        <w:right w:val="none" w:sz="0" w:space="0" w:color="auto"/>
      </w:divBdr>
      <w:divsChild>
        <w:div w:id="1809397539">
          <w:marLeft w:val="0"/>
          <w:marRight w:val="0"/>
          <w:marTop w:val="0"/>
          <w:marBottom w:val="0"/>
          <w:divBdr>
            <w:top w:val="none" w:sz="0" w:space="0" w:color="auto"/>
            <w:left w:val="none" w:sz="0" w:space="0" w:color="auto"/>
            <w:bottom w:val="none" w:sz="0" w:space="0" w:color="auto"/>
            <w:right w:val="none" w:sz="0" w:space="0" w:color="auto"/>
          </w:divBdr>
        </w:div>
      </w:divsChild>
    </w:div>
    <w:div w:id="1105930271">
      <w:marLeft w:val="0"/>
      <w:marRight w:val="0"/>
      <w:marTop w:val="0"/>
      <w:marBottom w:val="0"/>
      <w:divBdr>
        <w:top w:val="none" w:sz="0" w:space="0" w:color="auto"/>
        <w:left w:val="none" w:sz="0" w:space="0" w:color="auto"/>
        <w:bottom w:val="none" w:sz="0" w:space="0" w:color="auto"/>
        <w:right w:val="none" w:sz="0" w:space="0" w:color="auto"/>
      </w:divBdr>
      <w:divsChild>
        <w:div w:id="1195189632">
          <w:marLeft w:val="0"/>
          <w:marRight w:val="0"/>
          <w:marTop w:val="0"/>
          <w:marBottom w:val="0"/>
          <w:divBdr>
            <w:top w:val="none" w:sz="0" w:space="0" w:color="auto"/>
            <w:left w:val="none" w:sz="0" w:space="0" w:color="auto"/>
            <w:bottom w:val="none" w:sz="0" w:space="0" w:color="auto"/>
            <w:right w:val="none" w:sz="0" w:space="0" w:color="auto"/>
          </w:divBdr>
        </w:div>
      </w:divsChild>
    </w:div>
    <w:div w:id="1106004978">
      <w:marLeft w:val="0"/>
      <w:marRight w:val="0"/>
      <w:marTop w:val="0"/>
      <w:marBottom w:val="180"/>
      <w:divBdr>
        <w:top w:val="none" w:sz="0" w:space="0" w:color="auto"/>
        <w:left w:val="none" w:sz="0" w:space="0" w:color="auto"/>
        <w:bottom w:val="none" w:sz="0" w:space="0" w:color="auto"/>
        <w:right w:val="none" w:sz="0" w:space="0" w:color="auto"/>
      </w:divBdr>
    </w:div>
    <w:div w:id="1106072930">
      <w:marLeft w:val="0"/>
      <w:marRight w:val="0"/>
      <w:marTop w:val="0"/>
      <w:marBottom w:val="0"/>
      <w:divBdr>
        <w:top w:val="none" w:sz="0" w:space="0" w:color="auto"/>
        <w:left w:val="none" w:sz="0" w:space="0" w:color="auto"/>
        <w:bottom w:val="none" w:sz="0" w:space="0" w:color="auto"/>
        <w:right w:val="none" w:sz="0" w:space="0" w:color="auto"/>
      </w:divBdr>
    </w:div>
    <w:div w:id="1109737155">
      <w:marLeft w:val="0"/>
      <w:marRight w:val="0"/>
      <w:marTop w:val="0"/>
      <w:marBottom w:val="0"/>
      <w:divBdr>
        <w:top w:val="none" w:sz="0" w:space="0" w:color="auto"/>
        <w:left w:val="none" w:sz="0" w:space="0" w:color="auto"/>
        <w:bottom w:val="none" w:sz="0" w:space="0" w:color="auto"/>
        <w:right w:val="none" w:sz="0" w:space="0" w:color="auto"/>
      </w:divBdr>
      <w:divsChild>
        <w:div w:id="525483951">
          <w:marLeft w:val="0"/>
          <w:marRight w:val="0"/>
          <w:marTop w:val="0"/>
          <w:marBottom w:val="0"/>
          <w:divBdr>
            <w:top w:val="none" w:sz="0" w:space="0" w:color="auto"/>
            <w:left w:val="none" w:sz="0" w:space="0" w:color="auto"/>
            <w:bottom w:val="none" w:sz="0" w:space="0" w:color="auto"/>
            <w:right w:val="none" w:sz="0" w:space="0" w:color="auto"/>
          </w:divBdr>
        </w:div>
      </w:divsChild>
    </w:div>
    <w:div w:id="1109860757">
      <w:marLeft w:val="0"/>
      <w:marRight w:val="0"/>
      <w:marTop w:val="0"/>
      <w:marBottom w:val="240"/>
      <w:divBdr>
        <w:top w:val="none" w:sz="0" w:space="0" w:color="auto"/>
        <w:left w:val="none" w:sz="0" w:space="0" w:color="auto"/>
        <w:bottom w:val="none" w:sz="0" w:space="0" w:color="auto"/>
        <w:right w:val="none" w:sz="0" w:space="0" w:color="auto"/>
      </w:divBdr>
    </w:div>
    <w:div w:id="1110051064">
      <w:marLeft w:val="0"/>
      <w:marRight w:val="0"/>
      <w:marTop w:val="0"/>
      <w:marBottom w:val="180"/>
      <w:divBdr>
        <w:top w:val="none" w:sz="0" w:space="0" w:color="auto"/>
        <w:left w:val="none" w:sz="0" w:space="0" w:color="auto"/>
        <w:bottom w:val="none" w:sz="0" w:space="0" w:color="auto"/>
        <w:right w:val="none" w:sz="0" w:space="0" w:color="auto"/>
      </w:divBdr>
    </w:div>
    <w:div w:id="1112281447">
      <w:marLeft w:val="0"/>
      <w:marRight w:val="0"/>
      <w:marTop w:val="0"/>
      <w:marBottom w:val="0"/>
      <w:divBdr>
        <w:top w:val="none" w:sz="0" w:space="0" w:color="auto"/>
        <w:left w:val="none" w:sz="0" w:space="0" w:color="auto"/>
        <w:bottom w:val="none" w:sz="0" w:space="0" w:color="auto"/>
        <w:right w:val="none" w:sz="0" w:space="0" w:color="auto"/>
      </w:divBdr>
    </w:div>
    <w:div w:id="1114248586">
      <w:marLeft w:val="0"/>
      <w:marRight w:val="0"/>
      <w:marTop w:val="0"/>
      <w:marBottom w:val="0"/>
      <w:divBdr>
        <w:top w:val="none" w:sz="0" w:space="0" w:color="auto"/>
        <w:left w:val="none" w:sz="0" w:space="0" w:color="auto"/>
        <w:bottom w:val="none" w:sz="0" w:space="0" w:color="auto"/>
        <w:right w:val="none" w:sz="0" w:space="0" w:color="auto"/>
      </w:divBdr>
    </w:div>
    <w:div w:id="1114321392">
      <w:marLeft w:val="0"/>
      <w:marRight w:val="0"/>
      <w:marTop w:val="0"/>
      <w:marBottom w:val="180"/>
      <w:divBdr>
        <w:top w:val="none" w:sz="0" w:space="0" w:color="auto"/>
        <w:left w:val="none" w:sz="0" w:space="0" w:color="auto"/>
        <w:bottom w:val="none" w:sz="0" w:space="0" w:color="auto"/>
        <w:right w:val="none" w:sz="0" w:space="0" w:color="auto"/>
      </w:divBdr>
    </w:div>
    <w:div w:id="1114443865">
      <w:marLeft w:val="0"/>
      <w:marRight w:val="0"/>
      <w:marTop w:val="120"/>
      <w:marBottom w:val="180"/>
      <w:divBdr>
        <w:top w:val="none" w:sz="0" w:space="0" w:color="auto"/>
        <w:left w:val="none" w:sz="0" w:space="0" w:color="auto"/>
        <w:bottom w:val="none" w:sz="0" w:space="0" w:color="auto"/>
        <w:right w:val="none" w:sz="0" w:space="0" w:color="auto"/>
      </w:divBdr>
    </w:div>
    <w:div w:id="1115174839">
      <w:marLeft w:val="0"/>
      <w:marRight w:val="0"/>
      <w:marTop w:val="0"/>
      <w:marBottom w:val="240"/>
      <w:divBdr>
        <w:top w:val="none" w:sz="0" w:space="0" w:color="auto"/>
        <w:left w:val="none" w:sz="0" w:space="0" w:color="auto"/>
        <w:bottom w:val="none" w:sz="0" w:space="0" w:color="auto"/>
        <w:right w:val="none" w:sz="0" w:space="0" w:color="auto"/>
      </w:divBdr>
    </w:div>
    <w:div w:id="1115176081">
      <w:marLeft w:val="0"/>
      <w:marRight w:val="0"/>
      <w:marTop w:val="180"/>
      <w:marBottom w:val="180"/>
      <w:divBdr>
        <w:top w:val="none" w:sz="0" w:space="0" w:color="auto"/>
        <w:left w:val="none" w:sz="0" w:space="0" w:color="auto"/>
        <w:bottom w:val="none" w:sz="0" w:space="0" w:color="auto"/>
        <w:right w:val="none" w:sz="0" w:space="0" w:color="auto"/>
      </w:divBdr>
    </w:div>
    <w:div w:id="1116216730">
      <w:marLeft w:val="0"/>
      <w:marRight w:val="0"/>
      <w:marTop w:val="0"/>
      <w:marBottom w:val="180"/>
      <w:divBdr>
        <w:top w:val="none" w:sz="0" w:space="0" w:color="auto"/>
        <w:left w:val="none" w:sz="0" w:space="0" w:color="auto"/>
        <w:bottom w:val="none" w:sz="0" w:space="0" w:color="auto"/>
        <w:right w:val="none" w:sz="0" w:space="0" w:color="auto"/>
      </w:divBdr>
    </w:div>
    <w:div w:id="1116486721">
      <w:marLeft w:val="0"/>
      <w:marRight w:val="0"/>
      <w:marTop w:val="0"/>
      <w:marBottom w:val="180"/>
      <w:divBdr>
        <w:top w:val="none" w:sz="0" w:space="0" w:color="auto"/>
        <w:left w:val="none" w:sz="0" w:space="0" w:color="auto"/>
        <w:bottom w:val="none" w:sz="0" w:space="0" w:color="auto"/>
        <w:right w:val="none" w:sz="0" w:space="0" w:color="auto"/>
      </w:divBdr>
    </w:div>
    <w:div w:id="1116602672">
      <w:marLeft w:val="0"/>
      <w:marRight w:val="0"/>
      <w:marTop w:val="0"/>
      <w:marBottom w:val="180"/>
      <w:divBdr>
        <w:top w:val="none" w:sz="0" w:space="0" w:color="auto"/>
        <w:left w:val="none" w:sz="0" w:space="0" w:color="auto"/>
        <w:bottom w:val="none" w:sz="0" w:space="0" w:color="auto"/>
        <w:right w:val="none" w:sz="0" w:space="0" w:color="auto"/>
      </w:divBdr>
    </w:div>
    <w:div w:id="1117260493">
      <w:marLeft w:val="0"/>
      <w:marRight w:val="0"/>
      <w:marTop w:val="0"/>
      <w:marBottom w:val="240"/>
      <w:divBdr>
        <w:top w:val="none" w:sz="0" w:space="0" w:color="auto"/>
        <w:left w:val="none" w:sz="0" w:space="0" w:color="auto"/>
        <w:bottom w:val="none" w:sz="0" w:space="0" w:color="auto"/>
        <w:right w:val="none" w:sz="0" w:space="0" w:color="auto"/>
      </w:divBdr>
    </w:div>
    <w:div w:id="1117525013">
      <w:marLeft w:val="0"/>
      <w:marRight w:val="0"/>
      <w:marTop w:val="0"/>
      <w:marBottom w:val="240"/>
      <w:divBdr>
        <w:top w:val="none" w:sz="0" w:space="0" w:color="auto"/>
        <w:left w:val="none" w:sz="0" w:space="0" w:color="auto"/>
        <w:bottom w:val="none" w:sz="0" w:space="0" w:color="auto"/>
        <w:right w:val="none" w:sz="0" w:space="0" w:color="auto"/>
      </w:divBdr>
    </w:div>
    <w:div w:id="1118766957">
      <w:marLeft w:val="0"/>
      <w:marRight w:val="0"/>
      <w:marTop w:val="240"/>
      <w:marBottom w:val="240"/>
      <w:divBdr>
        <w:top w:val="none" w:sz="0" w:space="0" w:color="auto"/>
        <w:left w:val="none" w:sz="0" w:space="0" w:color="auto"/>
        <w:bottom w:val="none" w:sz="0" w:space="0" w:color="auto"/>
        <w:right w:val="none" w:sz="0" w:space="0" w:color="auto"/>
      </w:divBdr>
    </w:div>
    <w:div w:id="1118842444">
      <w:marLeft w:val="0"/>
      <w:marRight w:val="0"/>
      <w:marTop w:val="120"/>
      <w:marBottom w:val="180"/>
      <w:divBdr>
        <w:top w:val="none" w:sz="0" w:space="0" w:color="auto"/>
        <w:left w:val="none" w:sz="0" w:space="0" w:color="auto"/>
        <w:bottom w:val="none" w:sz="0" w:space="0" w:color="auto"/>
        <w:right w:val="none" w:sz="0" w:space="0" w:color="auto"/>
      </w:divBdr>
    </w:div>
    <w:div w:id="1118993169">
      <w:marLeft w:val="0"/>
      <w:marRight w:val="0"/>
      <w:marTop w:val="180"/>
      <w:marBottom w:val="180"/>
      <w:divBdr>
        <w:top w:val="none" w:sz="0" w:space="0" w:color="auto"/>
        <w:left w:val="none" w:sz="0" w:space="0" w:color="auto"/>
        <w:bottom w:val="none" w:sz="0" w:space="0" w:color="auto"/>
        <w:right w:val="none" w:sz="0" w:space="0" w:color="auto"/>
      </w:divBdr>
    </w:div>
    <w:div w:id="1119111011">
      <w:marLeft w:val="0"/>
      <w:marRight w:val="0"/>
      <w:marTop w:val="0"/>
      <w:marBottom w:val="240"/>
      <w:divBdr>
        <w:top w:val="none" w:sz="0" w:space="0" w:color="auto"/>
        <w:left w:val="none" w:sz="0" w:space="0" w:color="auto"/>
        <w:bottom w:val="none" w:sz="0" w:space="0" w:color="auto"/>
        <w:right w:val="none" w:sz="0" w:space="0" w:color="auto"/>
      </w:divBdr>
    </w:div>
    <w:div w:id="1120104836">
      <w:marLeft w:val="0"/>
      <w:marRight w:val="0"/>
      <w:marTop w:val="0"/>
      <w:marBottom w:val="180"/>
      <w:divBdr>
        <w:top w:val="none" w:sz="0" w:space="0" w:color="auto"/>
        <w:left w:val="none" w:sz="0" w:space="0" w:color="auto"/>
        <w:bottom w:val="none" w:sz="0" w:space="0" w:color="auto"/>
        <w:right w:val="none" w:sz="0" w:space="0" w:color="auto"/>
      </w:divBdr>
    </w:div>
    <w:div w:id="1120953056">
      <w:marLeft w:val="0"/>
      <w:marRight w:val="0"/>
      <w:marTop w:val="0"/>
      <w:marBottom w:val="0"/>
      <w:divBdr>
        <w:top w:val="none" w:sz="0" w:space="0" w:color="auto"/>
        <w:left w:val="none" w:sz="0" w:space="0" w:color="auto"/>
        <w:bottom w:val="none" w:sz="0" w:space="0" w:color="auto"/>
        <w:right w:val="none" w:sz="0" w:space="0" w:color="auto"/>
      </w:divBdr>
    </w:div>
    <w:div w:id="1121194067">
      <w:marLeft w:val="0"/>
      <w:marRight w:val="0"/>
      <w:marTop w:val="0"/>
      <w:marBottom w:val="0"/>
      <w:divBdr>
        <w:top w:val="none" w:sz="0" w:space="0" w:color="auto"/>
        <w:left w:val="none" w:sz="0" w:space="0" w:color="auto"/>
        <w:bottom w:val="none" w:sz="0" w:space="0" w:color="auto"/>
        <w:right w:val="none" w:sz="0" w:space="0" w:color="auto"/>
      </w:divBdr>
      <w:divsChild>
        <w:div w:id="1012605352">
          <w:marLeft w:val="0"/>
          <w:marRight w:val="0"/>
          <w:marTop w:val="0"/>
          <w:marBottom w:val="0"/>
          <w:divBdr>
            <w:top w:val="none" w:sz="0" w:space="0" w:color="auto"/>
            <w:left w:val="none" w:sz="0" w:space="0" w:color="auto"/>
            <w:bottom w:val="none" w:sz="0" w:space="0" w:color="auto"/>
            <w:right w:val="none" w:sz="0" w:space="0" w:color="auto"/>
          </w:divBdr>
        </w:div>
      </w:divsChild>
    </w:div>
    <w:div w:id="1121387126">
      <w:marLeft w:val="0"/>
      <w:marRight w:val="0"/>
      <w:marTop w:val="0"/>
      <w:marBottom w:val="0"/>
      <w:divBdr>
        <w:top w:val="none" w:sz="0" w:space="0" w:color="auto"/>
        <w:left w:val="none" w:sz="0" w:space="0" w:color="auto"/>
        <w:bottom w:val="none" w:sz="0" w:space="0" w:color="auto"/>
        <w:right w:val="none" w:sz="0" w:space="0" w:color="auto"/>
      </w:divBdr>
    </w:div>
    <w:div w:id="1122000855">
      <w:marLeft w:val="0"/>
      <w:marRight w:val="0"/>
      <w:marTop w:val="0"/>
      <w:marBottom w:val="240"/>
      <w:divBdr>
        <w:top w:val="none" w:sz="0" w:space="0" w:color="auto"/>
        <w:left w:val="none" w:sz="0" w:space="0" w:color="auto"/>
        <w:bottom w:val="none" w:sz="0" w:space="0" w:color="auto"/>
        <w:right w:val="none" w:sz="0" w:space="0" w:color="auto"/>
      </w:divBdr>
    </w:div>
    <w:div w:id="1122114295">
      <w:marLeft w:val="0"/>
      <w:marRight w:val="0"/>
      <w:marTop w:val="0"/>
      <w:marBottom w:val="240"/>
      <w:divBdr>
        <w:top w:val="none" w:sz="0" w:space="0" w:color="auto"/>
        <w:left w:val="none" w:sz="0" w:space="0" w:color="auto"/>
        <w:bottom w:val="none" w:sz="0" w:space="0" w:color="auto"/>
        <w:right w:val="none" w:sz="0" w:space="0" w:color="auto"/>
      </w:divBdr>
    </w:div>
    <w:div w:id="1122309777">
      <w:marLeft w:val="0"/>
      <w:marRight w:val="0"/>
      <w:marTop w:val="0"/>
      <w:marBottom w:val="0"/>
      <w:divBdr>
        <w:top w:val="none" w:sz="0" w:space="0" w:color="auto"/>
        <w:left w:val="none" w:sz="0" w:space="0" w:color="auto"/>
        <w:bottom w:val="none" w:sz="0" w:space="0" w:color="auto"/>
        <w:right w:val="none" w:sz="0" w:space="0" w:color="auto"/>
      </w:divBdr>
      <w:divsChild>
        <w:div w:id="1075205077">
          <w:marLeft w:val="0"/>
          <w:marRight w:val="0"/>
          <w:marTop w:val="0"/>
          <w:marBottom w:val="0"/>
          <w:divBdr>
            <w:top w:val="none" w:sz="0" w:space="0" w:color="auto"/>
            <w:left w:val="none" w:sz="0" w:space="0" w:color="auto"/>
            <w:bottom w:val="none" w:sz="0" w:space="0" w:color="auto"/>
            <w:right w:val="none" w:sz="0" w:space="0" w:color="auto"/>
          </w:divBdr>
        </w:div>
      </w:divsChild>
    </w:div>
    <w:div w:id="1122767002">
      <w:marLeft w:val="0"/>
      <w:marRight w:val="0"/>
      <w:marTop w:val="0"/>
      <w:marBottom w:val="240"/>
      <w:divBdr>
        <w:top w:val="none" w:sz="0" w:space="0" w:color="auto"/>
        <w:left w:val="none" w:sz="0" w:space="0" w:color="auto"/>
        <w:bottom w:val="none" w:sz="0" w:space="0" w:color="auto"/>
        <w:right w:val="none" w:sz="0" w:space="0" w:color="auto"/>
      </w:divBdr>
    </w:div>
    <w:div w:id="1122961696">
      <w:marLeft w:val="0"/>
      <w:marRight w:val="0"/>
      <w:marTop w:val="0"/>
      <w:marBottom w:val="180"/>
      <w:divBdr>
        <w:top w:val="none" w:sz="0" w:space="0" w:color="auto"/>
        <w:left w:val="none" w:sz="0" w:space="0" w:color="auto"/>
        <w:bottom w:val="none" w:sz="0" w:space="0" w:color="auto"/>
        <w:right w:val="none" w:sz="0" w:space="0" w:color="auto"/>
      </w:divBdr>
    </w:div>
    <w:div w:id="1123962737">
      <w:marLeft w:val="0"/>
      <w:marRight w:val="0"/>
      <w:marTop w:val="0"/>
      <w:marBottom w:val="180"/>
      <w:divBdr>
        <w:top w:val="none" w:sz="0" w:space="0" w:color="auto"/>
        <w:left w:val="none" w:sz="0" w:space="0" w:color="auto"/>
        <w:bottom w:val="none" w:sz="0" w:space="0" w:color="auto"/>
        <w:right w:val="none" w:sz="0" w:space="0" w:color="auto"/>
      </w:divBdr>
    </w:div>
    <w:div w:id="1125809009">
      <w:marLeft w:val="0"/>
      <w:marRight w:val="0"/>
      <w:marTop w:val="180"/>
      <w:marBottom w:val="180"/>
      <w:divBdr>
        <w:top w:val="none" w:sz="0" w:space="0" w:color="auto"/>
        <w:left w:val="none" w:sz="0" w:space="0" w:color="auto"/>
        <w:bottom w:val="none" w:sz="0" w:space="0" w:color="auto"/>
        <w:right w:val="none" w:sz="0" w:space="0" w:color="auto"/>
      </w:divBdr>
    </w:div>
    <w:div w:id="1125809016">
      <w:marLeft w:val="0"/>
      <w:marRight w:val="0"/>
      <w:marTop w:val="0"/>
      <w:marBottom w:val="240"/>
      <w:divBdr>
        <w:top w:val="none" w:sz="0" w:space="0" w:color="auto"/>
        <w:left w:val="none" w:sz="0" w:space="0" w:color="auto"/>
        <w:bottom w:val="none" w:sz="0" w:space="0" w:color="auto"/>
        <w:right w:val="none" w:sz="0" w:space="0" w:color="auto"/>
      </w:divBdr>
    </w:div>
    <w:div w:id="1126391431">
      <w:marLeft w:val="0"/>
      <w:marRight w:val="0"/>
      <w:marTop w:val="0"/>
      <w:marBottom w:val="180"/>
      <w:divBdr>
        <w:top w:val="none" w:sz="0" w:space="0" w:color="auto"/>
        <w:left w:val="none" w:sz="0" w:space="0" w:color="auto"/>
        <w:bottom w:val="none" w:sz="0" w:space="0" w:color="auto"/>
        <w:right w:val="none" w:sz="0" w:space="0" w:color="auto"/>
      </w:divBdr>
    </w:div>
    <w:div w:id="1126656790">
      <w:marLeft w:val="0"/>
      <w:marRight w:val="0"/>
      <w:marTop w:val="0"/>
      <w:marBottom w:val="180"/>
      <w:divBdr>
        <w:top w:val="none" w:sz="0" w:space="0" w:color="auto"/>
        <w:left w:val="none" w:sz="0" w:space="0" w:color="auto"/>
        <w:bottom w:val="none" w:sz="0" w:space="0" w:color="auto"/>
        <w:right w:val="none" w:sz="0" w:space="0" w:color="auto"/>
      </w:divBdr>
    </w:div>
    <w:div w:id="1127120828">
      <w:marLeft w:val="0"/>
      <w:marRight w:val="0"/>
      <w:marTop w:val="120"/>
      <w:marBottom w:val="120"/>
      <w:divBdr>
        <w:top w:val="none" w:sz="0" w:space="0" w:color="auto"/>
        <w:left w:val="none" w:sz="0" w:space="0" w:color="auto"/>
        <w:bottom w:val="none" w:sz="0" w:space="0" w:color="auto"/>
        <w:right w:val="none" w:sz="0" w:space="0" w:color="auto"/>
      </w:divBdr>
    </w:div>
    <w:div w:id="1127432909">
      <w:marLeft w:val="0"/>
      <w:marRight w:val="0"/>
      <w:marTop w:val="0"/>
      <w:marBottom w:val="180"/>
      <w:divBdr>
        <w:top w:val="none" w:sz="0" w:space="0" w:color="auto"/>
        <w:left w:val="none" w:sz="0" w:space="0" w:color="auto"/>
        <w:bottom w:val="none" w:sz="0" w:space="0" w:color="auto"/>
        <w:right w:val="none" w:sz="0" w:space="0" w:color="auto"/>
      </w:divBdr>
    </w:div>
    <w:div w:id="1127897587">
      <w:marLeft w:val="0"/>
      <w:marRight w:val="0"/>
      <w:marTop w:val="0"/>
      <w:marBottom w:val="240"/>
      <w:divBdr>
        <w:top w:val="none" w:sz="0" w:space="0" w:color="auto"/>
        <w:left w:val="none" w:sz="0" w:space="0" w:color="auto"/>
        <w:bottom w:val="none" w:sz="0" w:space="0" w:color="auto"/>
        <w:right w:val="none" w:sz="0" w:space="0" w:color="auto"/>
      </w:divBdr>
    </w:div>
    <w:div w:id="1128088670">
      <w:marLeft w:val="0"/>
      <w:marRight w:val="0"/>
      <w:marTop w:val="0"/>
      <w:marBottom w:val="240"/>
      <w:divBdr>
        <w:top w:val="none" w:sz="0" w:space="0" w:color="auto"/>
        <w:left w:val="none" w:sz="0" w:space="0" w:color="auto"/>
        <w:bottom w:val="none" w:sz="0" w:space="0" w:color="auto"/>
        <w:right w:val="none" w:sz="0" w:space="0" w:color="auto"/>
      </w:divBdr>
    </w:div>
    <w:div w:id="1129396455">
      <w:marLeft w:val="0"/>
      <w:marRight w:val="0"/>
      <w:marTop w:val="0"/>
      <w:marBottom w:val="180"/>
      <w:divBdr>
        <w:top w:val="none" w:sz="0" w:space="0" w:color="auto"/>
        <w:left w:val="none" w:sz="0" w:space="0" w:color="auto"/>
        <w:bottom w:val="none" w:sz="0" w:space="0" w:color="auto"/>
        <w:right w:val="none" w:sz="0" w:space="0" w:color="auto"/>
      </w:divBdr>
    </w:div>
    <w:div w:id="1129472091">
      <w:marLeft w:val="0"/>
      <w:marRight w:val="0"/>
      <w:marTop w:val="0"/>
      <w:marBottom w:val="240"/>
      <w:divBdr>
        <w:top w:val="none" w:sz="0" w:space="0" w:color="auto"/>
        <w:left w:val="none" w:sz="0" w:space="0" w:color="auto"/>
        <w:bottom w:val="none" w:sz="0" w:space="0" w:color="auto"/>
        <w:right w:val="none" w:sz="0" w:space="0" w:color="auto"/>
      </w:divBdr>
    </w:div>
    <w:div w:id="1129545289">
      <w:marLeft w:val="0"/>
      <w:marRight w:val="0"/>
      <w:marTop w:val="0"/>
      <w:marBottom w:val="240"/>
      <w:divBdr>
        <w:top w:val="none" w:sz="0" w:space="0" w:color="auto"/>
        <w:left w:val="none" w:sz="0" w:space="0" w:color="auto"/>
        <w:bottom w:val="none" w:sz="0" w:space="0" w:color="auto"/>
        <w:right w:val="none" w:sz="0" w:space="0" w:color="auto"/>
      </w:divBdr>
    </w:div>
    <w:div w:id="1130905151">
      <w:marLeft w:val="0"/>
      <w:marRight w:val="0"/>
      <w:marTop w:val="120"/>
      <w:marBottom w:val="240"/>
      <w:divBdr>
        <w:top w:val="none" w:sz="0" w:space="0" w:color="auto"/>
        <w:left w:val="none" w:sz="0" w:space="0" w:color="auto"/>
        <w:bottom w:val="none" w:sz="0" w:space="0" w:color="auto"/>
        <w:right w:val="none" w:sz="0" w:space="0" w:color="auto"/>
      </w:divBdr>
    </w:div>
    <w:div w:id="1131249161">
      <w:marLeft w:val="0"/>
      <w:marRight w:val="0"/>
      <w:marTop w:val="100"/>
      <w:marBottom w:val="240"/>
      <w:divBdr>
        <w:top w:val="none" w:sz="0" w:space="0" w:color="auto"/>
        <w:left w:val="none" w:sz="0" w:space="0" w:color="auto"/>
        <w:bottom w:val="none" w:sz="0" w:space="0" w:color="auto"/>
        <w:right w:val="none" w:sz="0" w:space="0" w:color="auto"/>
      </w:divBdr>
    </w:div>
    <w:div w:id="1131290516">
      <w:marLeft w:val="0"/>
      <w:marRight w:val="0"/>
      <w:marTop w:val="0"/>
      <w:marBottom w:val="0"/>
      <w:divBdr>
        <w:top w:val="none" w:sz="0" w:space="0" w:color="auto"/>
        <w:left w:val="none" w:sz="0" w:space="0" w:color="auto"/>
        <w:bottom w:val="none" w:sz="0" w:space="0" w:color="auto"/>
        <w:right w:val="none" w:sz="0" w:space="0" w:color="auto"/>
      </w:divBdr>
      <w:divsChild>
        <w:div w:id="1927104932">
          <w:marLeft w:val="0"/>
          <w:marRight w:val="0"/>
          <w:marTop w:val="0"/>
          <w:marBottom w:val="0"/>
          <w:divBdr>
            <w:top w:val="none" w:sz="0" w:space="0" w:color="auto"/>
            <w:left w:val="none" w:sz="0" w:space="0" w:color="auto"/>
            <w:bottom w:val="none" w:sz="0" w:space="0" w:color="auto"/>
            <w:right w:val="none" w:sz="0" w:space="0" w:color="auto"/>
          </w:divBdr>
        </w:div>
      </w:divsChild>
    </w:div>
    <w:div w:id="1131704488">
      <w:marLeft w:val="0"/>
      <w:marRight w:val="0"/>
      <w:marTop w:val="0"/>
      <w:marBottom w:val="0"/>
      <w:divBdr>
        <w:top w:val="none" w:sz="0" w:space="0" w:color="auto"/>
        <w:left w:val="none" w:sz="0" w:space="0" w:color="auto"/>
        <w:bottom w:val="none" w:sz="0" w:space="0" w:color="auto"/>
        <w:right w:val="none" w:sz="0" w:space="0" w:color="auto"/>
      </w:divBdr>
      <w:divsChild>
        <w:div w:id="1333533870">
          <w:marLeft w:val="0"/>
          <w:marRight w:val="0"/>
          <w:marTop w:val="0"/>
          <w:marBottom w:val="0"/>
          <w:divBdr>
            <w:top w:val="none" w:sz="0" w:space="0" w:color="auto"/>
            <w:left w:val="none" w:sz="0" w:space="0" w:color="auto"/>
            <w:bottom w:val="none" w:sz="0" w:space="0" w:color="auto"/>
            <w:right w:val="none" w:sz="0" w:space="0" w:color="auto"/>
          </w:divBdr>
        </w:div>
      </w:divsChild>
    </w:div>
    <w:div w:id="1132596023">
      <w:marLeft w:val="0"/>
      <w:marRight w:val="0"/>
      <w:marTop w:val="0"/>
      <w:marBottom w:val="240"/>
      <w:divBdr>
        <w:top w:val="none" w:sz="0" w:space="0" w:color="auto"/>
        <w:left w:val="none" w:sz="0" w:space="0" w:color="auto"/>
        <w:bottom w:val="none" w:sz="0" w:space="0" w:color="auto"/>
        <w:right w:val="none" w:sz="0" w:space="0" w:color="auto"/>
      </w:divBdr>
    </w:div>
    <w:div w:id="1134059694">
      <w:marLeft w:val="0"/>
      <w:marRight w:val="0"/>
      <w:marTop w:val="0"/>
      <w:marBottom w:val="0"/>
      <w:divBdr>
        <w:top w:val="none" w:sz="0" w:space="0" w:color="auto"/>
        <w:left w:val="none" w:sz="0" w:space="0" w:color="auto"/>
        <w:bottom w:val="none" w:sz="0" w:space="0" w:color="auto"/>
        <w:right w:val="none" w:sz="0" w:space="0" w:color="auto"/>
      </w:divBdr>
      <w:divsChild>
        <w:div w:id="1912420454">
          <w:marLeft w:val="0"/>
          <w:marRight w:val="0"/>
          <w:marTop w:val="0"/>
          <w:marBottom w:val="0"/>
          <w:divBdr>
            <w:top w:val="none" w:sz="0" w:space="0" w:color="auto"/>
            <w:left w:val="none" w:sz="0" w:space="0" w:color="auto"/>
            <w:bottom w:val="none" w:sz="0" w:space="0" w:color="auto"/>
            <w:right w:val="none" w:sz="0" w:space="0" w:color="auto"/>
          </w:divBdr>
        </w:div>
      </w:divsChild>
    </w:div>
    <w:div w:id="1134254315">
      <w:marLeft w:val="0"/>
      <w:marRight w:val="0"/>
      <w:marTop w:val="0"/>
      <w:marBottom w:val="180"/>
      <w:divBdr>
        <w:top w:val="none" w:sz="0" w:space="0" w:color="auto"/>
        <w:left w:val="none" w:sz="0" w:space="0" w:color="auto"/>
        <w:bottom w:val="none" w:sz="0" w:space="0" w:color="auto"/>
        <w:right w:val="none" w:sz="0" w:space="0" w:color="auto"/>
      </w:divBdr>
    </w:div>
    <w:div w:id="1134325477">
      <w:marLeft w:val="0"/>
      <w:marRight w:val="0"/>
      <w:marTop w:val="0"/>
      <w:marBottom w:val="0"/>
      <w:divBdr>
        <w:top w:val="none" w:sz="0" w:space="0" w:color="auto"/>
        <w:left w:val="none" w:sz="0" w:space="0" w:color="auto"/>
        <w:bottom w:val="none" w:sz="0" w:space="0" w:color="auto"/>
        <w:right w:val="none" w:sz="0" w:space="0" w:color="auto"/>
      </w:divBdr>
    </w:div>
    <w:div w:id="1135172644">
      <w:marLeft w:val="0"/>
      <w:marRight w:val="0"/>
      <w:marTop w:val="120"/>
      <w:marBottom w:val="120"/>
      <w:divBdr>
        <w:top w:val="none" w:sz="0" w:space="0" w:color="auto"/>
        <w:left w:val="none" w:sz="0" w:space="0" w:color="auto"/>
        <w:bottom w:val="none" w:sz="0" w:space="0" w:color="auto"/>
        <w:right w:val="none" w:sz="0" w:space="0" w:color="auto"/>
      </w:divBdr>
    </w:div>
    <w:div w:id="1135491693">
      <w:marLeft w:val="0"/>
      <w:marRight w:val="0"/>
      <w:marTop w:val="0"/>
      <w:marBottom w:val="0"/>
      <w:divBdr>
        <w:top w:val="none" w:sz="0" w:space="0" w:color="auto"/>
        <w:left w:val="none" w:sz="0" w:space="0" w:color="auto"/>
        <w:bottom w:val="none" w:sz="0" w:space="0" w:color="auto"/>
        <w:right w:val="none" w:sz="0" w:space="0" w:color="auto"/>
      </w:divBdr>
    </w:div>
    <w:div w:id="1137142793">
      <w:marLeft w:val="0"/>
      <w:marRight w:val="0"/>
      <w:marTop w:val="0"/>
      <w:marBottom w:val="240"/>
      <w:divBdr>
        <w:top w:val="none" w:sz="0" w:space="0" w:color="auto"/>
        <w:left w:val="none" w:sz="0" w:space="0" w:color="auto"/>
        <w:bottom w:val="none" w:sz="0" w:space="0" w:color="auto"/>
        <w:right w:val="none" w:sz="0" w:space="0" w:color="auto"/>
      </w:divBdr>
    </w:div>
    <w:div w:id="1137188040">
      <w:marLeft w:val="0"/>
      <w:marRight w:val="0"/>
      <w:marTop w:val="0"/>
      <w:marBottom w:val="180"/>
      <w:divBdr>
        <w:top w:val="none" w:sz="0" w:space="0" w:color="auto"/>
        <w:left w:val="none" w:sz="0" w:space="0" w:color="auto"/>
        <w:bottom w:val="none" w:sz="0" w:space="0" w:color="auto"/>
        <w:right w:val="none" w:sz="0" w:space="0" w:color="auto"/>
      </w:divBdr>
    </w:div>
    <w:div w:id="1138642086">
      <w:marLeft w:val="0"/>
      <w:marRight w:val="0"/>
      <w:marTop w:val="0"/>
      <w:marBottom w:val="180"/>
      <w:divBdr>
        <w:top w:val="none" w:sz="0" w:space="0" w:color="auto"/>
        <w:left w:val="none" w:sz="0" w:space="0" w:color="auto"/>
        <w:bottom w:val="none" w:sz="0" w:space="0" w:color="auto"/>
        <w:right w:val="none" w:sz="0" w:space="0" w:color="auto"/>
      </w:divBdr>
    </w:div>
    <w:div w:id="1138760744">
      <w:marLeft w:val="0"/>
      <w:marRight w:val="0"/>
      <w:marTop w:val="0"/>
      <w:marBottom w:val="240"/>
      <w:divBdr>
        <w:top w:val="none" w:sz="0" w:space="0" w:color="auto"/>
        <w:left w:val="none" w:sz="0" w:space="0" w:color="auto"/>
        <w:bottom w:val="none" w:sz="0" w:space="0" w:color="auto"/>
        <w:right w:val="none" w:sz="0" w:space="0" w:color="auto"/>
      </w:divBdr>
    </w:div>
    <w:div w:id="1138764128">
      <w:marLeft w:val="0"/>
      <w:marRight w:val="0"/>
      <w:marTop w:val="0"/>
      <w:marBottom w:val="240"/>
      <w:divBdr>
        <w:top w:val="none" w:sz="0" w:space="0" w:color="auto"/>
        <w:left w:val="none" w:sz="0" w:space="0" w:color="auto"/>
        <w:bottom w:val="none" w:sz="0" w:space="0" w:color="auto"/>
        <w:right w:val="none" w:sz="0" w:space="0" w:color="auto"/>
      </w:divBdr>
    </w:div>
    <w:div w:id="1138768447">
      <w:marLeft w:val="0"/>
      <w:marRight w:val="0"/>
      <w:marTop w:val="120"/>
      <w:marBottom w:val="180"/>
      <w:divBdr>
        <w:top w:val="none" w:sz="0" w:space="0" w:color="auto"/>
        <w:left w:val="none" w:sz="0" w:space="0" w:color="auto"/>
        <w:bottom w:val="none" w:sz="0" w:space="0" w:color="auto"/>
        <w:right w:val="none" w:sz="0" w:space="0" w:color="auto"/>
      </w:divBdr>
    </w:div>
    <w:div w:id="1139419091">
      <w:marLeft w:val="0"/>
      <w:marRight w:val="0"/>
      <w:marTop w:val="180"/>
      <w:marBottom w:val="180"/>
      <w:divBdr>
        <w:top w:val="none" w:sz="0" w:space="0" w:color="auto"/>
        <w:left w:val="none" w:sz="0" w:space="0" w:color="auto"/>
        <w:bottom w:val="none" w:sz="0" w:space="0" w:color="auto"/>
        <w:right w:val="none" w:sz="0" w:space="0" w:color="auto"/>
      </w:divBdr>
    </w:div>
    <w:div w:id="1139496180">
      <w:marLeft w:val="0"/>
      <w:marRight w:val="0"/>
      <w:marTop w:val="0"/>
      <w:marBottom w:val="180"/>
      <w:divBdr>
        <w:top w:val="none" w:sz="0" w:space="0" w:color="auto"/>
        <w:left w:val="none" w:sz="0" w:space="0" w:color="auto"/>
        <w:bottom w:val="none" w:sz="0" w:space="0" w:color="auto"/>
        <w:right w:val="none" w:sz="0" w:space="0" w:color="auto"/>
      </w:divBdr>
    </w:div>
    <w:div w:id="1139566486">
      <w:marLeft w:val="0"/>
      <w:marRight w:val="0"/>
      <w:marTop w:val="0"/>
      <w:marBottom w:val="240"/>
      <w:divBdr>
        <w:top w:val="none" w:sz="0" w:space="0" w:color="auto"/>
        <w:left w:val="none" w:sz="0" w:space="0" w:color="auto"/>
        <w:bottom w:val="none" w:sz="0" w:space="0" w:color="auto"/>
        <w:right w:val="none" w:sz="0" w:space="0" w:color="auto"/>
      </w:divBdr>
    </w:div>
    <w:div w:id="1140999514">
      <w:marLeft w:val="0"/>
      <w:marRight w:val="0"/>
      <w:marTop w:val="0"/>
      <w:marBottom w:val="0"/>
      <w:divBdr>
        <w:top w:val="none" w:sz="0" w:space="0" w:color="auto"/>
        <w:left w:val="none" w:sz="0" w:space="0" w:color="auto"/>
        <w:bottom w:val="none" w:sz="0" w:space="0" w:color="auto"/>
        <w:right w:val="none" w:sz="0" w:space="0" w:color="auto"/>
      </w:divBdr>
      <w:divsChild>
        <w:div w:id="1642422744">
          <w:marLeft w:val="0"/>
          <w:marRight w:val="0"/>
          <w:marTop w:val="0"/>
          <w:marBottom w:val="0"/>
          <w:divBdr>
            <w:top w:val="none" w:sz="0" w:space="0" w:color="auto"/>
            <w:left w:val="none" w:sz="0" w:space="0" w:color="auto"/>
            <w:bottom w:val="none" w:sz="0" w:space="0" w:color="auto"/>
            <w:right w:val="none" w:sz="0" w:space="0" w:color="auto"/>
          </w:divBdr>
        </w:div>
      </w:divsChild>
    </w:div>
    <w:div w:id="1141314427">
      <w:marLeft w:val="0"/>
      <w:marRight w:val="0"/>
      <w:marTop w:val="180"/>
      <w:marBottom w:val="0"/>
      <w:divBdr>
        <w:top w:val="none" w:sz="0" w:space="0" w:color="auto"/>
        <w:left w:val="none" w:sz="0" w:space="0" w:color="auto"/>
        <w:bottom w:val="none" w:sz="0" w:space="0" w:color="auto"/>
        <w:right w:val="none" w:sz="0" w:space="0" w:color="auto"/>
      </w:divBdr>
    </w:div>
    <w:div w:id="1141462640">
      <w:marLeft w:val="0"/>
      <w:marRight w:val="0"/>
      <w:marTop w:val="100"/>
      <w:marBottom w:val="0"/>
      <w:divBdr>
        <w:top w:val="none" w:sz="0" w:space="0" w:color="auto"/>
        <w:left w:val="none" w:sz="0" w:space="0" w:color="auto"/>
        <w:bottom w:val="none" w:sz="0" w:space="0" w:color="auto"/>
        <w:right w:val="none" w:sz="0" w:space="0" w:color="auto"/>
      </w:divBdr>
      <w:divsChild>
        <w:div w:id="1827360941">
          <w:marLeft w:val="0"/>
          <w:marRight w:val="0"/>
          <w:marTop w:val="0"/>
          <w:marBottom w:val="0"/>
          <w:divBdr>
            <w:top w:val="none" w:sz="0" w:space="0" w:color="auto"/>
            <w:left w:val="none" w:sz="0" w:space="0" w:color="auto"/>
            <w:bottom w:val="none" w:sz="0" w:space="0" w:color="auto"/>
            <w:right w:val="none" w:sz="0" w:space="0" w:color="auto"/>
          </w:divBdr>
        </w:div>
      </w:divsChild>
    </w:div>
    <w:div w:id="1142775010">
      <w:marLeft w:val="0"/>
      <w:marRight w:val="0"/>
      <w:marTop w:val="0"/>
      <w:marBottom w:val="0"/>
      <w:divBdr>
        <w:top w:val="none" w:sz="0" w:space="0" w:color="auto"/>
        <w:left w:val="none" w:sz="0" w:space="0" w:color="auto"/>
        <w:bottom w:val="none" w:sz="0" w:space="0" w:color="auto"/>
        <w:right w:val="none" w:sz="0" w:space="0" w:color="auto"/>
      </w:divBdr>
    </w:div>
    <w:div w:id="1143349042">
      <w:marLeft w:val="0"/>
      <w:marRight w:val="0"/>
      <w:marTop w:val="0"/>
      <w:marBottom w:val="240"/>
      <w:divBdr>
        <w:top w:val="none" w:sz="0" w:space="0" w:color="auto"/>
        <w:left w:val="none" w:sz="0" w:space="0" w:color="auto"/>
        <w:bottom w:val="none" w:sz="0" w:space="0" w:color="auto"/>
        <w:right w:val="none" w:sz="0" w:space="0" w:color="auto"/>
      </w:divBdr>
    </w:div>
    <w:div w:id="1143734501">
      <w:marLeft w:val="0"/>
      <w:marRight w:val="0"/>
      <w:marTop w:val="0"/>
      <w:marBottom w:val="0"/>
      <w:divBdr>
        <w:top w:val="none" w:sz="0" w:space="0" w:color="auto"/>
        <w:left w:val="none" w:sz="0" w:space="0" w:color="auto"/>
        <w:bottom w:val="none" w:sz="0" w:space="0" w:color="auto"/>
        <w:right w:val="none" w:sz="0" w:space="0" w:color="auto"/>
      </w:divBdr>
    </w:div>
    <w:div w:id="1144544949">
      <w:marLeft w:val="0"/>
      <w:marRight w:val="0"/>
      <w:marTop w:val="0"/>
      <w:marBottom w:val="240"/>
      <w:divBdr>
        <w:top w:val="none" w:sz="0" w:space="0" w:color="auto"/>
        <w:left w:val="none" w:sz="0" w:space="0" w:color="auto"/>
        <w:bottom w:val="none" w:sz="0" w:space="0" w:color="auto"/>
        <w:right w:val="none" w:sz="0" w:space="0" w:color="auto"/>
      </w:divBdr>
    </w:div>
    <w:div w:id="1145008763">
      <w:marLeft w:val="0"/>
      <w:marRight w:val="0"/>
      <w:marTop w:val="0"/>
      <w:marBottom w:val="180"/>
      <w:divBdr>
        <w:top w:val="none" w:sz="0" w:space="0" w:color="auto"/>
        <w:left w:val="none" w:sz="0" w:space="0" w:color="auto"/>
        <w:bottom w:val="none" w:sz="0" w:space="0" w:color="auto"/>
        <w:right w:val="none" w:sz="0" w:space="0" w:color="auto"/>
      </w:divBdr>
    </w:div>
    <w:div w:id="1145856889">
      <w:marLeft w:val="0"/>
      <w:marRight w:val="0"/>
      <w:marTop w:val="0"/>
      <w:marBottom w:val="0"/>
      <w:divBdr>
        <w:top w:val="none" w:sz="0" w:space="0" w:color="auto"/>
        <w:left w:val="none" w:sz="0" w:space="0" w:color="auto"/>
        <w:bottom w:val="none" w:sz="0" w:space="0" w:color="auto"/>
        <w:right w:val="none" w:sz="0" w:space="0" w:color="auto"/>
      </w:divBdr>
      <w:divsChild>
        <w:div w:id="1469592835">
          <w:marLeft w:val="0"/>
          <w:marRight w:val="0"/>
          <w:marTop w:val="0"/>
          <w:marBottom w:val="0"/>
          <w:divBdr>
            <w:top w:val="none" w:sz="0" w:space="0" w:color="auto"/>
            <w:left w:val="none" w:sz="0" w:space="0" w:color="auto"/>
            <w:bottom w:val="none" w:sz="0" w:space="0" w:color="auto"/>
            <w:right w:val="none" w:sz="0" w:space="0" w:color="auto"/>
          </w:divBdr>
        </w:div>
      </w:divsChild>
    </w:div>
    <w:div w:id="1146318064">
      <w:marLeft w:val="0"/>
      <w:marRight w:val="0"/>
      <w:marTop w:val="0"/>
      <w:marBottom w:val="0"/>
      <w:divBdr>
        <w:top w:val="none" w:sz="0" w:space="0" w:color="auto"/>
        <w:left w:val="none" w:sz="0" w:space="0" w:color="auto"/>
        <w:bottom w:val="none" w:sz="0" w:space="0" w:color="auto"/>
        <w:right w:val="none" w:sz="0" w:space="0" w:color="auto"/>
      </w:divBdr>
    </w:div>
    <w:div w:id="1147430209">
      <w:marLeft w:val="0"/>
      <w:marRight w:val="0"/>
      <w:marTop w:val="0"/>
      <w:marBottom w:val="240"/>
      <w:divBdr>
        <w:top w:val="none" w:sz="0" w:space="0" w:color="auto"/>
        <w:left w:val="none" w:sz="0" w:space="0" w:color="auto"/>
        <w:bottom w:val="none" w:sz="0" w:space="0" w:color="auto"/>
        <w:right w:val="none" w:sz="0" w:space="0" w:color="auto"/>
      </w:divBdr>
    </w:div>
    <w:div w:id="1147478333">
      <w:marLeft w:val="0"/>
      <w:marRight w:val="0"/>
      <w:marTop w:val="0"/>
      <w:marBottom w:val="180"/>
      <w:divBdr>
        <w:top w:val="none" w:sz="0" w:space="0" w:color="auto"/>
        <w:left w:val="none" w:sz="0" w:space="0" w:color="auto"/>
        <w:bottom w:val="none" w:sz="0" w:space="0" w:color="auto"/>
        <w:right w:val="none" w:sz="0" w:space="0" w:color="auto"/>
      </w:divBdr>
    </w:div>
    <w:div w:id="1147863256">
      <w:marLeft w:val="0"/>
      <w:marRight w:val="0"/>
      <w:marTop w:val="0"/>
      <w:marBottom w:val="0"/>
      <w:divBdr>
        <w:top w:val="none" w:sz="0" w:space="0" w:color="auto"/>
        <w:left w:val="none" w:sz="0" w:space="0" w:color="auto"/>
        <w:bottom w:val="none" w:sz="0" w:space="0" w:color="auto"/>
        <w:right w:val="none" w:sz="0" w:space="0" w:color="auto"/>
      </w:divBdr>
    </w:div>
    <w:div w:id="1147939388">
      <w:marLeft w:val="0"/>
      <w:marRight w:val="0"/>
      <w:marTop w:val="180"/>
      <w:marBottom w:val="180"/>
      <w:divBdr>
        <w:top w:val="none" w:sz="0" w:space="0" w:color="auto"/>
        <w:left w:val="none" w:sz="0" w:space="0" w:color="auto"/>
        <w:bottom w:val="none" w:sz="0" w:space="0" w:color="auto"/>
        <w:right w:val="none" w:sz="0" w:space="0" w:color="auto"/>
      </w:divBdr>
    </w:div>
    <w:div w:id="1148015538">
      <w:marLeft w:val="0"/>
      <w:marRight w:val="0"/>
      <w:marTop w:val="0"/>
      <w:marBottom w:val="0"/>
      <w:divBdr>
        <w:top w:val="none" w:sz="0" w:space="0" w:color="auto"/>
        <w:left w:val="none" w:sz="0" w:space="0" w:color="auto"/>
        <w:bottom w:val="none" w:sz="0" w:space="0" w:color="auto"/>
        <w:right w:val="none" w:sz="0" w:space="0" w:color="auto"/>
      </w:divBdr>
      <w:divsChild>
        <w:div w:id="277831862">
          <w:marLeft w:val="0"/>
          <w:marRight w:val="0"/>
          <w:marTop w:val="0"/>
          <w:marBottom w:val="0"/>
          <w:divBdr>
            <w:top w:val="none" w:sz="0" w:space="0" w:color="auto"/>
            <w:left w:val="none" w:sz="0" w:space="0" w:color="auto"/>
            <w:bottom w:val="none" w:sz="0" w:space="0" w:color="auto"/>
            <w:right w:val="none" w:sz="0" w:space="0" w:color="auto"/>
          </w:divBdr>
        </w:div>
      </w:divsChild>
    </w:div>
    <w:div w:id="1148325368">
      <w:marLeft w:val="0"/>
      <w:marRight w:val="0"/>
      <w:marTop w:val="0"/>
      <w:marBottom w:val="0"/>
      <w:divBdr>
        <w:top w:val="none" w:sz="0" w:space="0" w:color="auto"/>
        <w:left w:val="none" w:sz="0" w:space="0" w:color="auto"/>
        <w:bottom w:val="none" w:sz="0" w:space="0" w:color="auto"/>
        <w:right w:val="none" w:sz="0" w:space="0" w:color="auto"/>
      </w:divBdr>
      <w:divsChild>
        <w:div w:id="1737893038">
          <w:marLeft w:val="0"/>
          <w:marRight w:val="0"/>
          <w:marTop w:val="0"/>
          <w:marBottom w:val="0"/>
          <w:divBdr>
            <w:top w:val="none" w:sz="0" w:space="0" w:color="auto"/>
            <w:left w:val="none" w:sz="0" w:space="0" w:color="auto"/>
            <w:bottom w:val="none" w:sz="0" w:space="0" w:color="auto"/>
            <w:right w:val="none" w:sz="0" w:space="0" w:color="auto"/>
          </w:divBdr>
        </w:div>
      </w:divsChild>
    </w:div>
    <w:div w:id="1148473293">
      <w:marLeft w:val="0"/>
      <w:marRight w:val="0"/>
      <w:marTop w:val="0"/>
      <w:marBottom w:val="0"/>
      <w:divBdr>
        <w:top w:val="none" w:sz="0" w:space="0" w:color="auto"/>
        <w:left w:val="none" w:sz="0" w:space="0" w:color="auto"/>
        <w:bottom w:val="none" w:sz="0" w:space="0" w:color="auto"/>
        <w:right w:val="none" w:sz="0" w:space="0" w:color="auto"/>
      </w:divBdr>
    </w:div>
    <w:div w:id="1149131381">
      <w:marLeft w:val="0"/>
      <w:marRight w:val="0"/>
      <w:marTop w:val="0"/>
      <w:marBottom w:val="180"/>
      <w:divBdr>
        <w:top w:val="none" w:sz="0" w:space="0" w:color="auto"/>
        <w:left w:val="none" w:sz="0" w:space="0" w:color="auto"/>
        <w:bottom w:val="none" w:sz="0" w:space="0" w:color="auto"/>
        <w:right w:val="none" w:sz="0" w:space="0" w:color="auto"/>
      </w:divBdr>
    </w:div>
    <w:div w:id="1149787799">
      <w:marLeft w:val="0"/>
      <w:marRight w:val="0"/>
      <w:marTop w:val="100"/>
      <w:marBottom w:val="0"/>
      <w:divBdr>
        <w:top w:val="none" w:sz="0" w:space="0" w:color="auto"/>
        <w:left w:val="none" w:sz="0" w:space="0" w:color="auto"/>
        <w:bottom w:val="none" w:sz="0" w:space="0" w:color="auto"/>
        <w:right w:val="none" w:sz="0" w:space="0" w:color="auto"/>
      </w:divBdr>
    </w:div>
    <w:div w:id="1150098385">
      <w:marLeft w:val="0"/>
      <w:marRight w:val="0"/>
      <w:marTop w:val="0"/>
      <w:marBottom w:val="240"/>
      <w:divBdr>
        <w:top w:val="none" w:sz="0" w:space="0" w:color="auto"/>
        <w:left w:val="none" w:sz="0" w:space="0" w:color="auto"/>
        <w:bottom w:val="none" w:sz="0" w:space="0" w:color="auto"/>
        <w:right w:val="none" w:sz="0" w:space="0" w:color="auto"/>
      </w:divBdr>
    </w:div>
    <w:div w:id="1152677319">
      <w:marLeft w:val="0"/>
      <w:marRight w:val="0"/>
      <w:marTop w:val="180"/>
      <w:marBottom w:val="180"/>
      <w:divBdr>
        <w:top w:val="none" w:sz="0" w:space="0" w:color="auto"/>
        <w:left w:val="none" w:sz="0" w:space="0" w:color="auto"/>
        <w:bottom w:val="none" w:sz="0" w:space="0" w:color="auto"/>
        <w:right w:val="none" w:sz="0" w:space="0" w:color="auto"/>
      </w:divBdr>
    </w:div>
    <w:div w:id="1153640445">
      <w:marLeft w:val="0"/>
      <w:marRight w:val="0"/>
      <w:marTop w:val="180"/>
      <w:marBottom w:val="180"/>
      <w:divBdr>
        <w:top w:val="none" w:sz="0" w:space="0" w:color="auto"/>
        <w:left w:val="none" w:sz="0" w:space="0" w:color="auto"/>
        <w:bottom w:val="none" w:sz="0" w:space="0" w:color="auto"/>
        <w:right w:val="none" w:sz="0" w:space="0" w:color="auto"/>
      </w:divBdr>
    </w:div>
    <w:div w:id="1154030888">
      <w:marLeft w:val="0"/>
      <w:marRight w:val="0"/>
      <w:marTop w:val="120"/>
      <w:marBottom w:val="120"/>
      <w:divBdr>
        <w:top w:val="none" w:sz="0" w:space="0" w:color="auto"/>
        <w:left w:val="none" w:sz="0" w:space="0" w:color="auto"/>
        <w:bottom w:val="none" w:sz="0" w:space="0" w:color="auto"/>
        <w:right w:val="none" w:sz="0" w:space="0" w:color="auto"/>
      </w:divBdr>
    </w:div>
    <w:div w:id="1154637206">
      <w:marLeft w:val="0"/>
      <w:marRight w:val="0"/>
      <w:marTop w:val="0"/>
      <w:marBottom w:val="0"/>
      <w:divBdr>
        <w:top w:val="none" w:sz="0" w:space="0" w:color="auto"/>
        <w:left w:val="none" w:sz="0" w:space="0" w:color="auto"/>
        <w:bottom w:val="none" w:sz="0" w:space="0" w:color="auto"/>
        <w:right w:val="none" w:sz="0" w:space="0" w:color="auto"/>
      </w:divBdr>
    </w:div>
    <w:div w:id="1155878042">
      <w:marLeft w:val="0"/>
      <w:marRight w:val="0"/>
      <w:marTop w:val="0"/>
      <w:marBottom w:val="240"/>
      <w:divBdr>
        <w:top w:val="none" w:sz="0" w:space="0" w:color="auto"/>
        <w:left w:val="none" w:sz="0" w:space="0" w:color="auto"/>
        <w:bottom w:val="none" w:sz="0" w:space="0" w:color="auto"/>
        <w:right w:val="none" w:sz="0" w:space="0" w:color="auto"/>
      </w:divBdr>
    </w:div>
    <w:div w:id="1156996809">
      <w:marLeft w:val="0"/>
      <w:marRight w:val="0"/>
      <w:marTop w:val="0"/>
      <w:marBottom w:val="0"/>
      <w:divBdr>
        <w:top w:val="none" w:sz="0" w:space="0" w:color="auto"/>
        <w:left w:val="none" w:sz="0" w:space="0" w:color="auto"/>
        <w:bottom w:val="none" w:sz="0" w:space="0" w:color="auto"/>
        <w:right w:val="none" w:sz="0" w:space="0" w:color="auto"/>
      </w:divBdr>
    </w:div>
    <w:div w:id="1157651136">
      <w:marLeft w:val="0"/>
      <w:marRight w:val="0"/>
      <w:marTop w:val="0"/>
      <w:marBottom w:val="0"/>
      <w:divBdr>
        <w:top w:val="none" w:sz="0" w:space="0" w:color="auto"/>
        <w:left w:val="none" w:sz="0" w:space="0" w:color="auto"/>
        <w:bottom w:val="none" w:sz="0" w:space="0" w:color="auto"/>
        <w:right w:val="none" w:sz="0" w:space="0" w:color="auto"/>
      </w:divBdr>
    </w:div>
    <w:div w:id="1158152716">
      <w:marLeft w:val="0"/>
      <w:marRight w:val="0"/>
      <w:marTop w:val="0"/>
      <w:marBottom w:val="0"/>
      <w:divBdr>
        <w:top w:val="none" w:sz="0" w:space="0" w:color="auto"/>
        <w:left w:val="none" w:sz="0" w:space="0" w:color="auto"/>
        <w:bottom w:val="none" w:sz="0" w:space="0" w:color="auto"/>
        <w:right w:val="none" w:sz="0" w:space="0" w:color="auto"/>
      </w:divBdr>
    </w:div>
    <w:div w:id="1159005202">
      <w:marLeft w:val="0"/>
      <w:marRight w:val="0"/>
      <w:marTop w:val="0"/>
      <w:marBottom w:val="0"/>
      <w:divBdr>
        <w:top w:val="none" w:sz="0" w:space="0" w:color="auto"/>
        <w:left w:val="none" w:sz="0" w:space="0" w:color="auto"/>
        <w:bottom w:val="none" w:sz="0" w:space="0" w:color="auto"/>
        <w:right w:val="none" w:sz="0" w:space="0" w:color="auto"/>
      </w:divBdr>
      <w:divsChild>
        <w:div w:id="1574048724">
          <w:marLeft w:val="0"/>
          <w:marRight w:val="0"/>
          <w:marTop w:val="0"/>
          <w:marBottom w:val="0"/>
          <w:divBdr>
            <w:top w:val="none" w:sz="0" w:space="0" w:color="auto"/>
            <w:left w:val="none" w:sz="0" w:space="0" w:color="auto"/>
            <w:bottom w:val="none" w:sz="0" w:space="0" w:color="auto"/>
            <w:right w:val="none" w:sz="0" w:space="0" w:color="auto"/>
          </w:divBdr>
        </w:div>
      </w:divsChild>
    </w:div>
    <w:div w:id="1159348067">
      <w:marLeft w:val="0"/>
      <w:marRight w:val="0"/>
      <w:marTop w:val="180"/>
      <w:marBottom w:val="180"/>
      <w:divBdr>
        <w:top w:val="none" w:sz="0" w:space="0" w:color="auto"/>
        <w:left w:val="none" w:sz="0" w:space="0" w:color="auto"/>
        <w:bottom w:val="none" w:sz="0" w:space="0" w:color="auto"/>
        <w:right w:val="none" w:sz="0" w:space="0" w:color="auto"/>
      </w:divBdr>
    </w:div>
    <w:div w:id="1159616400">
      <w:marLeft w:val="0"/>
      <w:marRight w:val="0"/>
      <w:marTop w:val="0"/>
      <w:marBottom w:val="0"/>
      <w:divBdr>
        <w:top w:val="none" w:sz="0" w:space="0" w:color="auto"/>
        <w:left w:val="none" w:sz="0" w:space="0" w:color="auto"/>
        <w:bottom w:val="none" w:sz="0" w:space="0" w:color="auto"/>
        <w:right w:val="none" w:sz="0" w:space="0" w:color="auto"/>
      </w:divBdr>
      <w:divsChild>
        <w:div w:id="9915616">
          <w:marLeft w:val="0"/>
          <w:marRight w:val="0"/>
          <w:marTop w:val="0"/>
          <w:marBottom w:val="0"/>
          <w:divBdr>
            <w:top w:val="none" w:sz="0" w:space="0" w:color="auto"/>
            <w:left w:val="none" w:sz="0" w:space="0" w:color="auto"/>
            <w:bottom w:val="none" w:sz="0" w:space="0" w:color="auto"/>
            <w:right w:val="none" w:sz="0" w:space="0" w:color="auto"/>
          </w:divBdr>
        </w:div>
      </w:divsChild>
    </w:div>
    <w:div w:id="1159884900">
      <w:marLeft w:val="0"/>
      <w:marRight w:val="0"/>
      <w:marTop w:val="0"/>
      <w:marBottom w:val="240"/>
      <w:divBdr>
        <w:top w:val="none" w:sz="0" w:space="0" w:color="auto"/>
        <w:left w:val="none" w:sz="0" w:space="0" w:color="auto"/>
        <w:bottom w:val="none" w:sz="0" w:space="0" w:color="auto"/>
        <w:right w:val="none" w:sz="0" w:space="0" w:color="auto"/>
      </w:divBdr>
    </w:div>
    <w:div w:id="1161504626">
      <w:marLeft w:val="0"/>
      <w:marRight w:val="0"/>
      <w:marTop w:val="0"/>
      <w:marBottom w:val="0"/>
      <w:divBdr>
        <w:top w:val="none" w:sz="0" w:space="0" w:color="auto"/>
        <w:left w:val="none" w:sz="0" w:space="0" w:color="auto"/>
        <w:bottom w:val="none" w:sz="0" w:space="0" w:color="auto"/>
        <w:right w:val="none" w:sz="0" w:space="0" w:color="auto"/>
      </w:divBdr>
    </w:div>
    <w:div w:id="1162740232">
      <w:marLeft w:val="0"/>
      <w:marRight w:val="0"/>
      <w:marTop w:val="0"/>
      <w:marBottom w:val="180"/>
      <w:divBdr>
        <w:top w:val="none" w:sz="0" w:space="0" w:color="auto"/>
        <w:left w:val="none" w:sz="0" w:space="0" w:color="auto"/>
        <w:bottom w:val="none" w:sz="0" w:space="0" w:color="auto"/>
        <w:right w:val="none" w:sz="0" w:space="0" w:color="auto"/>
      </w:divBdr>
    </w:div>
    <w:div w:id="1163281793">
      <w:marLeft w:val="0"/>
      <w:marRight w:val="0"/>
      <w:marTop w:val="0"/>
      <w:marBottom w:val="240"/>
      <w:divBdr>
        <w:top w:val="none" w:sz="0" w:space="0" w:color="auto"/>
        <w:left w:val="none" w:sz="0" w:space="0" w:color="auto"/>
        <w:bottom w:val="none" w:sz="0" w:space="0" w:color="auto"/>
        <w:right w:val="none" w:sz="0" w:space="0" w:color="auto"/>
      </w:divBdr>
    </w:div>
    <w:div w:id="1165433687">
      <w:marLeft w:val="0"/>
      <w:marRight w:val="0"/>
      <w:marTop w:val="100"/>
      <w:marBottom w:val="0"/>
      <w:divBdr>
        <w:top w:val="none" w:sz="0" w:space="0" w:color="auto"/>
        <w:left w:val="none" w:sz="0" w:space="0" w:color="auto"/>
        <w:bottom w:val="none" w:sz="0" w:space="0" w:color="auto"/>
        <w:right w:val="none" w:sz="0" w:space="0" w:color="auto"/>
      </w:divBdr>
    </w:div>
    <w:div w:id="1165629902">
      <w:marLeft w:val="0"/>
      <w:marRight w:val="0"/>
      <w:marTop w:val="0"/>
      <w:marBottom w:val="0"/>
      <w:divBdr>
        <w:top w:val="none" w:sz="0" w:space="0" w:color="auto"/>
        <w:left w:val="none" w:sz="0" w:space="0" w:color="auto"/>
        <w:bottom w:val="none" w:sz="0" w:space="0" w:color="auto"/>
        <w:right w:val="none" w:sz="0" w:space="0" w:color="auto"/>
      </w:divBdr>
    </w:div>
    <w:div w:id="1166478228">
      <w:marLeft w:val="0"/>
      <w:marRight w:val="0"/>
      <w:marTop w:val="0"/>
      <w:marBottom w:val="180"/>
      <w:divBdr>
        <w:top w:val="none" w:sz="0" w:space="0" w:color="auto"/>
        <w:left w:val="none" w:sz="0" w:space="0" w:color="auto"/>
        <w:bottom w:val="none" w:sz="0" w:space="0" w:color="auto"/>
        <w:right w:val="none" w:sz="0" w:space="0" w:color="auto"/>
      </w:divBdr>
    </w:div>
    <w:div w:id="1167600819">
      <w:marLeft w:val="0"/>
      <w:marRight w:val="0"/>
      <w:marTop w:val="180"/>
      <w:marBottom w:val="180"/>
      <w:divBdr>
        <w:top w:val="none" w:sz="0" w:space="0" w:color="auto"/>
        <w:left w:val="none" w:sz="0" w:space="0" w:color="auto"/>
        <w:bottom w:val="none" w:sz="0" w:space="0" w:color="auto"/>
        <w:right w:val="none" w:sz="0" w:space="0" w:color="auto"/>
      </w:divBdr>
    </w:div>
    <w:div w:id="1168978257">
      <w:marLeft w:val="0"/>
      <w:marRight w:val="0"/>
      <w:marTop w:val="0"/>
      <w:marBottom w:val="0"/>
      <w:divBdr>
        <w:top w:val="none" w:sz="0" w:space="0" w:color="auto"/>
        <w:left w:val="none" w:sz="0" w:space="0" w:color="auto"/>
        <w:bottom w:val="none" w:sz="0" w:space="0" w:color="auto"/>
        <w:right w:val="none" w:sz="0" w:space="0" w:color="auto"/>
      </w:divBdr>
    </w:div>
    <w:div w:id="1169058287">
      <w:marLeft w:val="0"/>
      <w:marRight w:val="0"/>
      <w:marTop w:val="0"/>
      <w:marBottom w:val="0"/>
      <w:divBdr>
        <w:top w:val="none" w:sz="0" w:space="0" w:color="auto"/>
        <w:left w:val="none" w:sz="0" w:space="0" w:color="auto"/>
        <w:bottom w:val="none" w:sz="0" w:space="0" w:color="auto"/>
        <w:right w:val="none" w:sz="0" w:space="0" w:color="auto"/>
      </w:divBdr>
      <w:divsChild>
        <w:div w:id="1235899009">
          <w:marLeft w:val="0"/>
          <w:marRight w:val="0"/>
          <w:marTop w:val="0"/>
          <w:marBottom w:val="0"/>
          <w:divBdr>
            <w:top w:val="none" w:sz="0" w:space="0" w:color="auto"/>
            <w:left w:val="none" w:sz="0" w:space="0" w:color="auto"/>
            <w:bottom w:val="none" w:sz="0" w:space="0" w:color="auto"/>
            <w:right w:val="none" w:sz="0" w:space="0" w:color="auto"/>
          </w:divBdr>
        </w:div>
      </w:divsChild>
    </w:div>
    <w:div w:id="1169250458">
      <w:marLeft w:val="0"/>
      <w:marRight w:val="0"/>
      <w:marTop w:val="0"/>
      <w:marBottom w:val="0"/>
      <w:divBdr>
        <w:top w:val="none" w:sz="0" w:space="0" w:color="auto"/>
        <w:left w:val="none" w:sz="0" w:space="0" w:color="auto"/>
        <w:bottom w:val="none" w:sz="0" w:space="0" w:color="auto"/>
        <w:right w:val="none" w:sz="0" w:space="0" w:color="auto"/>
      </w:divBdr>
      <w:divsChild>
        <w:div w:id="1830169324">
          <w:marLeft w:val="0"/>
          <w:marRight w:val="0"/>
          <w:marTop w:val="0"/>
          <w:marBottom w:val="0"/>
          <w:divBdr>
            <w:top w:val="none" w:sz="0" w:space="0" w:color="auto"/>
            <w:left w:val="none" w:sz="0" w:space="0" w:color="auto"/>
            <w:bottom w:val="none" w:sz="0" w:space="0" w:color="auto"/>
            <w:right w:val="none" w:sz="0" w:space="0" w:color="auto"/>
          </w:divBdr>
        </w:div>
      </w:divsChild>
    </w:div>
    <w:div w:id="1169903841">
      <w:marLeft w:val="0"/>
      <w:marRight w:val="0"/>
      <w:marTop w:val="180"/>
      <w:marBottom w:val="180"/>
      <w:divBdr>
        <w:top w:val="none" w:sz="0" w:space="0" w:color="auto"/>
        <w:left w:val="none" w:sz="0" w:space="0" w:color="auto"/>
        <w:bottom w:val="none" w:sz="0" w:space="0" w:color="auto"/>
        <w:right w:val="none" w:sz="0" w:space="0" w:color="auto"/>
      </w:divBdr>
    </w:div>
    <w:div w:id="1170559028">
      <w:marLeft w:val="0"/>
      <w:marRight w:val="0"/>
      <w:marTop w:val="0"/>
      <w:marBottom w:val="0"/>
      <w:divBdr>
        <w:top w:val="none" w:sz="0" w:space="0" w:color="auto"/>
        <w:left w:val="none" w:sz="0" w:space="0" w:color="auto"/>
        <w:bottom w:val="none" w:sz="0" w:space="0" w:color="auto"/>
        <w:right w:val="none" w:sz="0" w:space="0" w:color="auto"/>
      </w:divBdr>
      <w:divsChild>
        <w:div w:id="1883247943">
          <w:marLeft w:val="0"/>
          <w:marRight w:val="0"/>
          <w:marTop w:val="0"/>
          <w:marBottom w:val="0"/>
          <w:divBdr>
            <w:top w:val="none" w:sz="0" w:space="0" w:color="auto"/>
            <w:left w:val="none" w:sz="0" w:space="0" w:color="auto"/>
            <w:bottom w:val="none" w:sz="0" w:space="0" w:color="auto"/>
            <w:right w:val="none" w:sz="0" w:space="0" w:color="auto"/>
          </w:divBdr>
        </w:div>
      </w:divsChild>
    </w:div>
    <w:div w:id="1171141384">
      <w:marLeft w:val="0"/>
      <w:marRight w:val="0"/>
      <w:marTop w:val="180"/>
      <w:marBottom w:val="180"/>
      <w:divBdr>
        <w:top w:val="none" w:sz="0" w:space="0" w:color="auto"/>
        <w:left w:val="none" w:sz="0" w:space="0" w:color="auto"/>
        <w:bottom w:val="none" w:sz="0" w:space="0" w:color="auto"/>
        <w:right w:val="none" w:sz="0" w:space="0" w:color="auto"/>
      </w:divBdr>
    </w:div>
    <w:div w:id="1171679107">
      <w:marLeft w:val="0"/>
      <w:marRight w:val="0"/>
      <w:marTop w:val="0"/>
      <w:marBottom w:val="180"/>
      <w:divBdr>
        <w:top w:val="none" w:sz="0" w:space="0" w:color="auto"/>
        <w:left w:val="none" w:sz="0" w:space="0" w:color="auto"/>
        <w:bottom w:val="none" w:sz="0" w:space="0" w:color="auto"/>
        <w:right w:val="none" w:sz="0" w:space="0" w:color="auto"/>
      </w:divBdr>
    </w:div>
    <w:div w:id="1171945030">
      <w:marLeft w:val="0"/>
      <w:marRight w:val="0"/>
      <w:marTop w:val="180"/>
      <w:marBottom w:val="180"/>
      <w:divBdr>
        <w:top w:val="none" w:sz="0" w:space="0" w:color="auto"/>
        <w:left w:val="none" w:sz="0" w:space="0" w:color="auto"/>
        <w:bottom w:val="none" w:sz="0" w:space="0" w:color="auto"/>
        <w:right w:val="none" w:sz="0" w:space="0" w:color="auto"/>
      </w:divBdr>
    </w:div>
    <w:div w:id="1172837692">
      <w:marLeft w:val="0"/>
      <w:marRight w:val="0"/>
      <w:marTop w:val="0"/>
      <w:marBottom w:val="180"/>
      <w:divBdr>
        <w:top w:val="none" w:sz="0" w:space="0" w:color="auto"/>
        <w:left w:val="none" w:sz="0" w:space="0" w:color="auto"/>
        <w:bottom w:val="none" w:sz="0" w:space="0" w:color="auto"/>
        <w:right w:val="none" w:sz="0" w:space="0" w:color="auto"/>
      </w:divBdr>
    </w:div>
    <w:div w:id="1173375512">
      <w:marLeft w:val="0"/>
      <w:marRight w:val="0"/>
      <w:marTop w:val="180"/>
      <w:marBottom w:val="180"/>
      <w:divBdr>
        <w:top w:val="none" w:sz="0" w:space="0" w:color="auto"/>
        <w:left w:val="none" w:sz="0" w:space="0" w:color="auto"/>
        <w:bottom w:val="none" w:sz="0" w:space="0" w:color="auto"/>
        <w:right w:val="none" w:sz="0" w:space="0" w:color="auto"/>
      </w:divBdr>
    </w:div>
    <w:div w:id="1174221078">
      <w:marLeft w:val="0"/>
      <w:marRight w:val="0"/>
      <w:marTop w:val="0"/>
      <w:marBottom w:val="180"/>
      <w:divBdr>
        <w:top w:val="none" w:sz="0" w:space="0" w:color="auto"/>
        <w:left w:val="none" w:sz="0" w:space="0" w:color="auto"/>
        <w:bottom w:val="none" w:sz="0" w:space="0" w:color="auto"/>
        <w:right w:val="none" w:sz="0" w:space="0" w:color="auto"/>
      </w:divBdr>
    </w:div>
    <w:div w:id="1174765231">
      <w:marLeft w:val="0"/>
      <w:marRight w:val="0"/>
      <w:marTop w:val="0"/>
      <w:marBottom w:val="0"/>
      <w:divBdr>
        <w:top w:val="none" w:sz="0" w:space="0" w:color="auto"/>
        <w:left w:val="none" w:sz="0" w:space="0" w:color="auto"/>
        <w:bottom w:val="none" w:sz="0" w:space="0" w:color="auto"/>
        <w:right w:val="none" w:sz="0" w:space="0" w:color="auto"/>
      </w:divBdr>
    </w:div>
    <w:div w:id="1175148452">
      <w:marLeft w:val="0"/>
      <w:marRight w:val="0"/>
      <w:marTop w:val="0"/>
      <w:marBottom w:val="0"/>
      <w:divBdr>
        <w:top w:val="none" w:sz="0" w:space="0" w:color="auto"/>
        <w:left w:val="none" w:sz="0" w:space="0" w:color="auto"/>
        <w:bottom w:val="none" w:sz="0" w:space="0" w:color="auto"/>
        <w:right w:val="none" w:sz="0" w:space="0" w:color="auto"/>
      </w:divBdr>
    </w:div>
    <w:div w:id="1176262885">
      <w:marLeft w:val="0"/>
      <w:marRight w:val="0"/>
      <w:marTop w:val="0"/>
      <w:marBottom w:val="180"/>
      <w:divBdr>
        <w:top w:val="none" w:sz="0" w:space="0" w:color="auto"/>
        <w:left w:val="none" w:sz="0" w:space="0" w:color="auto"/>
        <w:bottom w:val="none" w:sz="0" w:space="0" w:color="auto"/>
        <w:right w:val="none" w:sz="0" w:space="0" w:color="auto"/>
      </w:divBdr>
    </w:div>
    <w:div w:id="1176576326">
      <w:marLeft w:val="0"/>
      <w:marRight w:val="0"/>
      <w:marTop w:val="0"/>
      <w:marBottom w:val="180"/>
      <w:divBdr>
        <w:top w:val="none" w:sz="0" w:space="0" w:color="auto"/>
        <w:left w:val="none" w:sz="0" w:space="0" w:color="auto"/>
        <w:bottom w:val="none" w:sz="0" w:space="0" w:color="auto"/>
        <w:right w:val="none" w:sz="0" w:space="0" w:color="auto"/>
      </w:divBdr>
    </w:div>
    <w:div w:id="1176968092">
      <w:marLeft w:val="0"/>
      <w:marRight w:val="0"/>
      <w:marTop w:val="120"/>
      <w:marBottom w:val="120"/>
      <w:divBdr>
        <w:top w:val="none" w:sz="0" w:space="0" w:color="auto"/>
        <w:left w:val="none" w:sz="0" w:space="0" w:color="auto"/>
        <w:bottom w:val="none" w:sz="0" w:space="0" w:color="auto"/>
        <w:right w:val="none" w:sz="0" w:space="0" w:color="auto"/>
      </w:divBdr>
    </w:div>
    <w:div w:id="1177306635">
      <w:marLeft w:val="0"/>
      <w:marRight w:val="0"/>
      <w:marTop w:val="0"/>
      <w:marBottom w:val="180"/>
      <w:divBdr>
        <w:top w:val="none" w:sz="0" w:space="0" w:color="auto"/>
        <w:left w:val="none" w:sz="0" w:space="0" w:color="auto"/>
        <w:bottom w:val="none" w:sz="0" w:space="0" w:color="auto"/>
        <w:right w:val="none" w:sz="0" w:space="0" w:color="auto"/>
      </w:divBdr>
    </w:div>
    <w:div w:id="1178809656">
      <w:marLeft w:val="0"/>
      <w:marRight w:val="0"/>
      <w:marTop w:val="120"/>
      <w:marBottom w:val="120"/>
      <w:divBdr>
        <w:top w:val="none" w:sz="0" w:space="0" w:color="auto"/>
        <w:left w:val="none" w:sz="0" w:space="0" w:color="auto"/>
        <w:bottom w:val="none" w:sz="0" w:space="0" w:color="auto"/>
        <w:right w:val="none" w:sz="0" w:space="0" w:color="auto"/>
      </w:divBdr>
    </w:div>
    <w:div w:id="1179076813">
      <w:marLeft w:val="0"/>
      <w:marRight w:val="0"/>
      <w:marTop w:val="120"/>
      <w:marBottom w:val="240"/>
      <w:divBdr>
        <w:top w:val="none" w:sz="0" w:space="0" w:color="auto"/>
        <w:left w:val="none" w:sz="0" w:space="0" w:color="auto"/>
        <w:bottom w:val="none" w:sz="0" w:space="0" w:color="auto"/>
        <w:right w:val="none" w:sz="0" w:space="0" w:color="auto"/>
      </w:divBdr>
    </w:div>
    <w:div w:id="1179924423">
      <w:marLeft w:val="0"/>
      <w:marRight w:val="0"/>
      <w:marTop w:val="240"/>
      <w:marBottom w:val="140"/>
      <w:divBdr>
        <w:top w:val="none" w:sz="0" w:space="0" w:color="auto"/>
        <w:left w:val="none" w:sz="0" w:space="0" w:color="auto"/>
        <w:bottom w:val="none" w:sz="0" w:space="0" w:color="auto"/>
        <w:right w:val="none" w:sz="0" w:space="0" w:color="auto"/>
      </w:divBdr>
    </w:div>
    <w:div w:id="1182671310">
      <w:marLeft w:val="0"/>
      <w:marRight w:val="0"/>
      <w:marTop w:val="100"/>
      <w:marBottom w:val="0"/>
      <w:divBdr>
        <w:top w:val="none" w:sz="0" w:space="0" w:color="auto"/>
        <w:left w:val="none" w:sz="0" w:space="0" w:color="auto"/>
        <w:bottom w:val="none" w:sz="0" w:space="0" w:color="auto"/>
        <w:right w:val="none" w:sz="0" w:space="0" w:color="auto"/>
      </w:divBdr>
    </w:div>
    <w:div w:id="1185633829">
      <w:marLeft w:val="0"/>
      <w:marRight w:val="0"/>
      <w:marTop w:val="120"/>
      <w:marBottom w:val="120"/>
      <w:divBdr>
        <w:top w:val="none" w:sz="0" w:space="0" w:color="auto"/>
        <w:left w:val="none" w:sz="0" w:space="0" w:color="auto"/>
        <w:bottom w:val="none" w:sz="0" w:space="0" w:color="auto"/>
        <w:right w:val="none" w:sz="0" w:space="0" w:color="auto"/>
      </w:divBdr>
    </w:div>
    <w:div w:id="1187255796">
      <w:marLeft w:val="0"/>
      <w:marRight w:val="0"/>
      <w:marTop w:val="0"/>
      <w:marBottom w:val="0"/>
      <w:divBdr>
        <w:top w:val="none" w:sz="0" w:space="0" w:color="auto"/>
        <w:left w:val="none" w:sz="0" w:space="0" w:color="auto"/>
        <w:bottom w:val="none" w:sz="0" w:space="0" w:color="auto"/>
        <w:right w:val="none" w:sz="0" w:space="0" w:color="auto"/>
      </w:divBdr>
      <w:divsChild>
        <w:div w:id="1235168107">
          <w:marLeft w:val="0"/>
          <w:marRight w:val="0"/>
          <w:marTop w:val="0"/>
          <w:marBottom w:val="0"/>
          <w:divBdr>
            <w:top w:val="none" w:sz="0" w:space="0" w:color="auto"/>
            <w:left w:val="none" w:sz="0" w:space="0" w:color="auto"/>
            <w:bottom w:val="none" w:sz="0" w:space="0" w:color="auto"/>
            <w:right w:val="none" w:sz="0" w:space="0" w:color="auto"/>
          </w:divBdr>
        </w:div>
      </w:divsChild>
    </w:div>
    <w:div w:id="1189023499">
      <w:marLeft w:val="0"/>
      <w:marRight w:val="0"/>
      <w:marTop w:val="0"/>
      <w:marBottom w:val="0"/>
      <w:divBdr>
        <w:top w:val="none" w:sz="0" w:space="0" w:color="auto"/>
        <w:left w:val="none" w:sz="0" w:space="0" w:color="auto"/>
        <w:bottom w:val="none" w:sz="0" w:space="0" w:color="auto"/>
        <w:right w:val="none" w:sz="0" w:space="0" w:color="auto"/>
      </w:divBdr>
    </w:div>
    <w:div w:id="1189293874">
      <w:marLeft w:val="0"/>
      <w:marRight w:val="0"/>
      <w:marTop w:val="0"/>
      <w:marBottom w:val="240"/>
      <w:divBdr>
        <w:top w:val="none" w:sz="0" w:space="0" w:color="auto"/>
        <w:left w:val="none" w:sz="0" w:space="0" w:color="auto"/>
        <w:bottom w:val="none" w:sz="0" w:space="0" w:color="auto"/>
        <w:right w:val="none" w:sz="0" w:space="0" w:color="auto"/>
      </w:divBdr>
    </w:div>
    <w:div w:id="1189568594">
      <w:marLeft w:val="0"/>
      <w:marRight w:val="0"/>
      <w:marTop w:val="0"/>
      <w:marBottom w:val="0"/>
      <w:divBdr>
        <w:top w:val="none" w:sz="0" w:space="0" w:color="auto"/>
        <w:left w:val="none" w:sz="0" w:space="0" w:color="auto"/>
        <w:bottom w:val="none" w:sz="0" w:space="0" w:color="auto"/>
        <w:right w:val="none" w:sz="0" w:space="0" w:color="auto"/>
      </w:divBdr>
      <w:divsChild>
        <w:div w:id="897326654">
          <w:marLeft w:val="0"/>
          <w:marRight w:val="0"/>
          <w:marTop w:val="0"/>
          <w:marBottom w:val="0"/>
          <w:divBdr>
            <w:top w:val="none" w:sz="0" w:space="0" w:color="auto"/>
            <w:left w:val="none" w:sz="0" w:space="0" w:color="auto"/>
            <w:bottom w:val="none" w:sz="0" w:space="0" w:color="auto"/>
            <w:right w:val="none" w:sz="0" w:space="0" w:color="auto"/>
          </w:divBdr>
        </w:div>
      </w:divsChild>
    </w:div>
    <w:div w:id="1190484553">
      <w:marLeft w:val="0"/>
      <w:marRight w:val="0"/>
      <w:marTop w:val="0"/>
      <w:marBottom w:val="0"/>
      <w:divBdr>
        <w:top w:val="none" w:sz="0" w:space="0" w:color="auto"/>
        <w:left w:val="none" w:sz="0" w:space="0" w:color="auto"/>
        <w:bottom w:val="none" w:sz="0" w:space="0" w:color="auto"/>
        <w:right w:val="none" w:sz="0" w:space="0" w:color="auto"/>
      </w:divBdr>
      <w:divsChild>
        <w:div w:id="1671562576">
          <w:marLeft w:val="0"/>
          <w:marRight w:val="0"/>
          <w:marTop w:val="0"/>
          <w:marBottom w:val="0"/>
          <w:divBdr>
            <w:top w:val="none" w:sz="0" w:space="0" w:color="auto"/>
            <w:left w:val="none" w:sz="0" w:space="0" w:color="auto"/>
            <w:bottom w:val="none" w:sz="0" w:space="0" w:color="auto"/>
            <w:right w:val="none" w:sz="0" w:space="0" w:color="auto"/>
          </w:divBdr>
        </w:div>
      </w:divsChild>
    </w:div>
    <w:div w:id="1191382679">
      <w:marLeft w:val="0"/>
      <w:marRight w:val="0"/>
      <w:marTop w:val="120"/>
      <w:marBottom w:val="140"/>
      <w:divBdr>
        <w:top w:val="none" w:sz="0" w:space="0" w:color="auto"/>
        <w:left w:val="none" w:sz="0" w:space="0" w:color="auto"/>
        <w:bottom w:val="none" w:sz="0" w:space="0" w:color="auto"/>
        <w:right w:val="none" w:sz="0" w:space="0" w:color="auto"/>
      </w:divBdr>
    </w:div>
    <w:div w:id="1191383094">
      <w:marLeft w:val="0"/>
      <w:marRight w:val="0"/>
      <w:marTop w:val="0"/>
      <w:marBottom w:val="180"/>
      <w:divBdr>
        <w:top w:val="none" w:sz="0" w:space="0" w:color="auto"/>
        <w:left w:val="none" w:sz="0" w:space="0" w:color="auto"/>
        <w:bottom w:val="none" w:sz="0" w:space="0" w:color="auto"/>
        <w:right w:val="none" w:sz="0" w:space="0" w:color="auto"/>
      </w:divBdr>
    </w:div>
    <w:div w:id="1191575687">
      <w:marLeft w:val="0"/>
      <w:marRight w:val="0"/>
      <w:marTop w:val="0"/>
      <w:marBottom w:val="0"/>
      <w:divBdr>
        <w:top w:val="none" w:sz="0" w:space="0" w:color="auto"/>
        <w:left w:val="none" w:sz="0" w:space="0" w:color="auto"/>
        <w:bottom w:val="none" w:sz="0" w:space="0" w:color="auto"/>
        <w:right w:val="none" w:sz="0" w:space="0" w:color="auto"/>
      </w:divBdr>
      <w:divsChild>
        <w:div w:id="1095516099">
          <w:marLeft w:val="0"/>
          <w:marRight w:val="0"/>
          <w:marTop w:val="0"/>
          <w:marBottom w:val="0"/>
          <w:divBdr>
            <w:top w:val="none" w:sz="0" w:space="0" w:color="auto"/>
            <w:left w:val="none" w:sz="0" w:space="0" w:color="auto"/>
            <w:bottom w:val="none" w:sz="0" w:space="0" w:color="auto"/>
            <w:right w:val="none" w:sz="0" w:space="0" w:color="auto"/>
          </w:divBdr>
        </w:div>
      </w:divsChild>
    </w:div>
    <w:div w:id="1192501256">
      <w:marLeft w:val="0"/>
      <w:marRight w:val="0"/>
      <w:marTop w:val="0"/>
      <w:marBottom w:val="180"/>
      <w:divBdr>
        <w:top w:val="none" w:sz="0" w:space="0" w:color="auto"/>
        <w:left w:val="none" w:sz="0" w:space="0" w:color="auto"/>
        <w:bottom w:val="none" w:sz="0" w:space="0" w:color="auto"/>
        <w:right w:val="none" w:sz="0" w:space="0" w:color="auto"/>
      </w:divBdr>
    </w:div>
    <w:div w:id="1193029150">
      <w:marLeft w:val="0"/>
      <w:marRight w:val="0"/>
      <w:marTop w:val="0"/>
      <w:marBottom w:val="0"/>
      <w:divBdr>
        <w:top w:val="none" w:sz="0" w:space="0" w:color="auto"/>
        <w:left w:val="none" w:sz="0" w:space="0" w:color="auto"/>
        <w:bottom w:val="none" w:sz="0" w:space="0" w:color="auto"/>
        <w:right w:val="none" w:sz="0" w:space="0" w:color="auto"/>
      </w:divBdr>
    </w:div>
    <w:div w:id="1194270853">
      <w:marLeft w:val="0"/>
      <w:marRight w:val="0"/>
      <w:marTop w:val="0"/>
      <w:marBottom w:val="180"/>
      <w:divBdr>
        <w:top w:val="none" w:sz="0" w:space="0" w:color="auto"/>
        <w:left w:val="none" w:sz="0" w:space="0" w:color="auto"/>
        <w:bottom w:val="none" w:sz="0" w:space="0" w:color="auto"/>
        <w:right w:val="none" w:sz="0" w:space="0" w:color="auto"/>
      </w:divBdr>
    </w:div>
    <w:div w:id="1194657072">
      <w:marLeft w:val="0"/>
      <w:marRight w:val="0"/>
      <w:marTop w:val="0"/>
      <w:marBottom w:val="0"/>
      <w:divBdr>
        <w:top w:val="none" w:sz="0" w:space="0" w:color="auto"/>
        <w:left w:val="none" w:sz="0" w:space="0" w:color="auto"/>
        <w:bottom w:val="none" w:sz="0" w:space="0" w:color="auto"/>
        <w:right w:val="none" w:sz="0" w:space="0" w:color="auto"/>
      </w:divBdr>
    </w:div>
    <w:div w:id="1195730160">
      <w:marLeft w:val="0"/>
      <w:marRight w:val="0"/>
      <w:marTop w:val="0"/>
      <w:marBottom w:val="0"/>
      <w:divBdr>
        <w:top w:val="none" w:sz="0" w:space="0" w:color="auto"/>
        <w:left w:val="none" w:sz="0" w:space="0" w:color="auto"/>
        <w:bottom w:val="none" w:sz="0" w:space="0" w:color="auto"/>
        <w:right w:val="none" w:sz="0" w:space="0" w:color="auto"/>
      </w:divBdr>
      <w:divsChild>
        <w:div w:id="200244078">
          <w:marLeft w:val="0"/>
          <w:marRight w:val="0"/>
          <w:marTop w:val="0"/>
          <w:marBottom w:val="0"/>
          <w:divBdr>
            <w:top w:val="none" w:sz="0" w:space="0" w:color="auto"/>
            <w:left w:val="none" w:sz="0" w:space="0" w:color="auto"/>
            <w:bottom w:val="none" w:sz="0" w:space="0" w:color="auto"/>
            <w:right w:val="none" w:sz="0" w:space="0" w:color="auto"/>
          </w:divBdr>
        </w:div>
      </w:divsChild>
    </w:div>
    <w:div w:id="1196164016">
      <w:marLeft w:val="0"/>
      <w:marRight w:val="0"/>
      <w:marTop w:val="0"/>
      <w:marBottom w:val="0"/>
      <w:divBdr>
        <w:top w:val="none" w:sz="0" w:space="0" w:color="auto"/>
        <w:left w:val="none" w:sz="0" w:space="0" w:color="auto"/>
        <w:bottom w:val="none" w:sz="0" w:space="0" w:color="auto"/>
        <w:right w:val="none" w:sz="0" w:space="0" w:color="auto"/>
      </w:divBdr>
    </w:div>
    <w:div w:id="1196772949">
      <w:marLeft w:val="0"/>
      <w:marRight w:val="0"/>
      <w:marTop w:val="0"/>
      <w:marBottom w:val="0"/>
      <w:divBdr>
        <w:top w:val="none" w:sz="0" w:space="0" w:color="auto"/>
        <w:left w:val="none" w:sz="0" w:space="0" w:color="auto"/>
        <w:bottom w:val="none" w:sz="0" w:space="0" w:color="auto"/>
        <w:right w:val="none" w:sz="0" w:space="0" w:color="auto"/>
      </w:divBdr>
    </w:div>
    <w:div w:id="1197045793">
      <w:marLeft w:val="0"/>
      <w:marRight w:val="0"/>
      <w:marTop w:val="0"/>
      <w:marBottom w:val="180"/>
      <w:divBdr>
        <w:top w:val="none" w:sz="0" w:space="0" w:color="auto"/>
        <w:left w:val="none" w:sz="0" w:space="0" w:color="auto"/>
        <w:bottom w:val="none" w:sz="0" w:space="0" w:color="auto"/>
        <w:right w:val="none" w:sz="0" w:space="0" w:color="auto"/>
      </w:divBdr>
    </w:div>
    <w:div w:id="1197963182">
      <w:marLeft w:val="0"/>
      <w:marRight w:val="0"/>
      <w:marTop w:val="0"/>
      <w:marBottom w:val="240"/>
      <w:divBdr>
        <w:top w:val="none" w:sz="0" w:space="0" w:color="auto"/>
        <w:left w:val="none" w:sz="0" w:space="0" w:color="auto"/>
        <w:bottom w:val="none" w:sz="0" w:space="0" w:color="auto"/>
        <w:right w:val="none" w:sz="0" w:space="0" w:color="auto"/>
      </w:divBdr>
    </w:div>
    <w:div w:id="1198472655">
      <w:marLeft w:val="0"/>
      <w:marRight w:val="0"/>
      <w:marTop w:val="100"/>
      <w:marBottom w:val="0"/>
      <w:divBdr>
        <w:top w:val="none" w:sz="0" w:space="0" w:color="auto"/>
        <w:left w:val="none" w:sz="0" w:space="0" w:color="auto"/>
        <w:bottom w:val="none" w:sz="0" w:space="0" w:color="auto"/>
        <w:right w:val="none" w:sz="0" w:space="0" w:color="auto"/>
      </w:divBdr>
    </w:div>
    <w:div w:id="1199005192">
      <w:marLeft w:val="0"/>
      <w:marRight w:val="0"/>
      <w:marTop w:val="0"/>
      <w:marBottom w:val="180"/>
      <w:divBdr>
        <w:top w:val="none" w:sz="0" w:space="0" w:color="auto"/>
        <w:left w:val="none" w:sz="0" w:space="0" w:color="auto"/>
        <w:bottom w:val="none" w:sz="0" w:space="0" w:color="auto"/>
        <w:right w:val="none" w:sz="0" w:space="0" w:color="auto"/>
      </w:divBdr>
    </w:div>
    <w:div w:id="1199318160">
      <w:marLeft w:val="0"/>
      <w:marRight w:val="0"/>
      <w:marTop w:val="0"/>
      <w:marBottom w:val="180"/>
      <w:divBdr>
        <w:top w:val="none" w:sz="0" w:space="0" w:color="auto"/>
        <w:left w:val="none" w:sz="0" w:space="0" w:color="auto"/>
        <w:bottom w:val="none" w:sz="0" w:space="0" w:color="auto"/>
        <w:right w:val="none" w:sz="0" w:space="0" w:color="auto"/>
      </w:divBdr>
    </w:div>
    <w:div w:id="1200507924">
      <w:marLeft w:val="0"/>
      <w:marRight w:val="0"/>
      <w:marTop w:val="180"/>
      <w:marBottom w:val="180"/>
      <w:divBdr>
        <w:top w:val="none" w:sz="0" w:space="0" w:color="auto"/>
        <w:left w:val="none" w:sz="0" w:space="0" w:color="auto"/>
        <w:bottom w:val="none" w:sz="0" w:space="0" w:color="auto"/>
        <w:right w:val="none" w:sz="0" w:space="0" w:color="auto"/>
      </w:divBdr>
    </w:div>
    <w:div w:id="1200582312">
      <w:marLeft w:val="0"/>
      <w:marRight w:val="0"/>
      <w:marTop w:val="0"/>
      <w:marBottom w:val="0"/>
      <w:divBdr>
        <w:top w:val="none" w:sz="0" w:space="0" w:color="auto"/>
        <w:left w:val="none" w:sz="0" w:space="0" w:color="auto"/>
        <w:bottom w:val="none" w:sz="0" w:space="0" w:color="auto"/>
        <w:right w:val="none" w:sz="0" w:space="0" w:color="auto"/>
      </w:divBdr>
    </w:div>
    <w:div w:id="1201432722">
      <w:marLeft w:val="0"/>
      <w:marRight w:val="0"/>
      <w:marTop w:val="0"/>
      <w:marBottom w:val="0"/>
      <w:divBdr>
        <w:top w:val="none" w:sz="0" w:space="0" w:color="auto"/>
        <w:left w:val="none" w:sz="0" w:space="0" w:color="auto"/>
        <w:bottom w:val="none" w:sz="0" w:space="0" w:color="auto"/>
        <w:right w:val="none" w:sz="0" w:space="0" w:color="auto"/>
      </w:divBdr>
    </w:div>
    <w:div w:id="1201472805">
      <w:marLeft w:val="0"/>
      <w:marRight w:val="0"/>
      <w:marTop w:val="0"/>
      <w:marBottom w:val="0"/>
      <w:divBdr>
        <w:top w:val="none" w:sz="0" w:space="0" w:color="auto"/>
        <w:left w:val="none" w:sz="0" w:space="0" w:color="auto"/>
        <w:bottom w:val="none" w:sz="0" w:space="0" w:color="auto"/>
        <w:right w:val="none" w:sz="0" w:space="0" w:color="auto"/>
      </w:divBdr>
      <w:divsChild>
        <w:div w:id="1238637772">
          <w:marLeft w:val="0"/>
          <w:marRight w:val="0"/>
          <w:marTop w:val="0"/>
          <w:marBottom w:val="0"/>
          <w:divBdr>
            <w:top w:val="none" w:sz="0" w:space="0" w:color="auto"/>
            <w:left w:val="none" w:sz="0" w:space="0" w:color="auto"/>
            <w:bottom w:val="none" w:sz="0" w:space="0" w:color="auto"/>
            <w:right w:val="none" w:sz="0" w:space="0" w:color="auto"/>
          </w:divBdr>
        </w:div>
      </w:divsChild>
    </w:div>
    <w:div w:id="1201477669">
      <w:marLeft w:val="0"/>
      <w:marRight w:val="0"/>
      <w:marTop w:val="0"/>
      <w:marBottom w:val="180"/>
      <w:divBdr>
        <w:top w:val="none" w:sz="0" w:space="0" w:color="auto"/>
        <w:left w:val="none" w:sz="0" w:space="0" w:color="auto"/>
        <w:bottom w:val="none" w:sz="0" w:space="0" w:color="auto"/>
        <w:right w:val="none" w:sz="0" w:space="0" w:color="auto"/>
      </w:divBdr>
    </w:div>
    <w:div w:id="1202591024">
      <w:marLeft w:val="0"/>
      <w:marRight w:val="0"/>
      <w:marTop w:val="100"/>
      <w:marBottom w:val="0"/>
      <w:divBdr>
        <w:top w:val="none" w:sz="0" w:space="0" w:color="auto"/>
        <w:left w:val="none" w:sz="0" w:space="0" w:color="auto"/>
        <w:bottom w:val="none" w:sz="0" w:space="0" w:color="auto"/>
        <w:right w:val="none" w:sz="0" w:space="0" w:color="auto"/>
      </w:divBdr>
    </w:div>
    <w:div w:id="1202858738">
      <w:marLeft w:val="0"/>
      <w:marRight w:val="0"/>
      <w:marTop w:val="0"/>
      <w:marBottom w:val="0"/>
      <w:divBdr>
        <w:top w:val="none" w:sz="0" w:space="0" w:color="auto"/>
        <w:left w:val="none" w:sz="0" w:space="0" w:color="auto"/>
        <w:bottom w:val="none" w:sz="0" w:space="0" w:color="auto"/>
        <w:right w:val="none" w:sz="0" w:space="0" w:color="auto"/>
      </w:divBdr>
      <w:divsChild>
        <w:div w:id="620846886">
          <w:marLeft w:val="0"/>
          <w:marRight w:val="0"/>
          <w:marTop w:val="0"/>
          <w:marBottom w:val="0"/>
          <w:divBdr>
            <w:top w:val="none" w:sz="0" w:space="0" w:color="auto"/>
            <w:left w:val="none" w:sz="0" w:space="0" w:color="auto"/>
            <w:bottom w:val="none" w:sz="0" w:space="0" w:color="auto"/>
            <w:right w:val="none" w:sz="0" w:space="0" w:color="auto"/>
          </w:divBdr>
        </w:div>
      </w:divsChild>
    </w:div>
    <w:div w:id="1202938268">
      <w:marLeft w:val="0"/>
      <w:marRight w:val="0"/>
      <w:marTop w:val="0"/>
      <w:marBottom w:val="240"/>
      <w:divBdr>
        <w:top w:val="none" w:sz="0" w:space="0" w:color="auto"/>
        <w:left w:val="none" w:sz="0" w:space="0" w:color="auto"/>
        <w:bottom w:val="none" w:sz="0" w:space="0" w:color="auto"/>
        <w:right w:val="none" w:sz="0" w:space="0" w:color="auto"/>
      </w:divBdr>
    </w:div>
    <w:div w:id="1203136361">
      <w:marLeft w:val="0"/>
      <w:marRight w:val="0"/>
      <w:marTop w:val="0"/>
      <w:marBottom w:val="180"/>
      <w:divBdr>
        <w:top w:val="none" w:sz="0" w:space="0" w:color="auto"/>
        <w:left w:val="none" w:sz="0" w:space="0" w:color="auto"/>
        <w:bottom w:val="none" w:sz="0" w:space="0" w:color="auto"/>
        <w:right w:val="none" w:sz="0" w:space="0" w:color="auto"/>
      </w:divBdr>
    </w:div>
    <w:div w:id="1203589082">
      <w:marLeft w:val="0"/>
      <w:marRight w:val="0"/>
      <w:marTop w:val="0"/>
      <w:marBottom w:val="180"/>
      <w:divBdr>
        <w:top w:val="none" w:sz="0" w:space="0" w:color="auto"/>
        <w:left w:val="none" w:sz="0" w:space="0" w:color="auto"/>
        <w:bottom w:val="none" w:sz="0" w:space="0" w:color="auto"/>
        <w:right w:val="none" w:sz="0" w:space="0" w:color="auto"/>
      </w:divBdr>
    </w:div>
    <w:div w:id="1203636852">
      <w:marLeft w:val="0"/>
      <w:marRight w:val="0"/>
      <w:marTop w:val="0"/>
      <w:marBottom w:val="180"/>
      <w:divBdr>
        <w:top w:val="none" w:sz="0" w:space="0" w:color="auto"/>
        <w:left w:val="none" w:sz="0" w:space="0" w:color="auto"/>
        <w:bottom w:val="none" w:sz="0" w:space="0" w:color="auto"/>
        <w:right w:val="none" w:sz="0" w:space="0" w:color="auto"/>
      </w:divBdr>
    </w:div>
    <w:div w:id="1203857977">
      <w:marLeft w:val="0"/>
      <w:marRight w:val="0"/>
      <w:marTop w:val="0"/>
      <w:marBottom w:val="180"/>
      <w:divBdr>
        <w:top w:val="none" w:sz="0" w:space="0" w:color="auto"/>
        <w:left w:val="none" w:sz="0" w:space="0" w:color="auto"/>
        <w:bottom w:val="none" w:sz="0" w:space="0" w:color="auto"/>
        <w:right w:val="none" w:sz="0" w:space="0" w:color="auto"/>
      </w:divBdr>
    </w:div>
    <w:div w:id="1204826033">
      <w:marLeft w:val="0"/>
      <w:marRight w:val="0"/>
      <w:marTop w:val="0"/>
      <w:marBottom w:val="0"/>
      <w:divBdr>
        <w:top w:val="none" w:sz="0" w:space="0" w:color="auto"/>
        <w:left w:val="none" w:sz="0" w:space="0" w:color="auto"/>
        <w:bottom w:val="none" w:sz="0" w:space="0" w:color="auto"/>
        <w:right w:val="none" w:sz="0" w:space="0" w:color="auto"/>
      </w:divBdr>
      <w:divsChild>
        <w:div w:id="1387142631">
          <w:marLeft w:val="0"/>
          <w:marRight w:val="0"/>
          <w:marTop w:val="0"/>
          <w:marBottom w:val="0"/>
          <w:divBdr>
            <w:top w:val="none" w:sz="0" w:space="0" w:color="auto"/>
            <w:left w:val="none" w:sz="0" w:space="0" w:color="auto"/>
            <w:bottom w:val="none" w:sz="0" w:space="0" w:color="auto"/>
            <w:right w:val="none" w:sz="0" w:space="0" w:color="auto"/>
          </w:divBdr>
        </w:div>
      </w:divsChild>
    </w:div>
    <w:div w:id="1205601679">
      <w:marLeft w:val="0"/>
      <w:marRight w:val="0"/>
      <w:marTop w:val="0"/>
      <w:marBottom w:val="240"/>
      <w:divBdr>
        <w:top w:val="none" w:sz="0" w:space="0" w:color="auto"/>
        <w:left w:val="none" w:sz="0" w:space="0" w:color="auto"/>
        <w:bottom w:val="none" w:sz="0" w:space="0" w:color="auto"/>
        <w:right w:val="none" w:sz="0" w:space="0" w:color="auto"/>
      </w:divBdr>
    </w:div>
    <w:div w:id="1205632492">
      <w:marLeft w:val="0"/>
      <w:marRight w:val="0"/>
      <w:marTop w:val="0"/>
      <w:marBottom w:val="0"/>
      <w:divBdr>
        <w:top w:val="none" w:sz="0" w:space="0" w:color="auto"/>
        <w:left w:val="none" w:sz="0" w:space="0" w:color="auto"/>
        <w:bottom w:val="none" w:sz="0" w:space="0" w:color="auto"/>
        <w:right w:val="none" w:sz="0" w:space="0" w:color="auto"/>
      </w:divBdr>
    </w:div>
    <w:div w:id="1206329933">
      <w:marLeft w:val="0"/>
      <w:marRight w:val="0"/>
      <w:marTop w:val="120"/>
      <w:marBottom w:val="120"/>
      <w:divBdr>
        <w:top w:val="none" w:sz="0" w:space="0" w:color="auto"/>
        <w:left w:val="none" w:sz="0" w:space="0" w:color="auto"/>
        <w:bottom w:val="none" w:sz="0" w:space="0" w:color="auto"/>
        <w:right w:val="none" w:sz="0" w:space="0" w:color="auto"/>
      </w:divBdr>
    </w:div>
    <w:div w:id="1206677202">
      <w:marLeft w:val="0"/>
      <w:marRight w:val="0"/>
      <w:marTop w:val="0"/>
      <w:marBottom w:val="240"/>
      <w:divBdr>
        <w:top w:val="none" w:sz="0" w:space="0" w:color="auto"/>
        <w:left w:val="none" w:sz="0" w:space="0" w:color="auto"/>
        <w:bottom w:val="none" w:sz="0" w:space="0" w:color="auto"/>
        <w:right w:val="none" w:sz="0" w:space="0" w:color="auto"/>
      </w:divBdr>
    </w:div>
    <w:div w:id="1207646035">
      <w:marLeft w:val="0"/>
      <w:marRight w:val="0"/>
      <w:marTop w:val="0"/>
      <w:marBottom w:val="180"/>
      <w:divBdr>
        <w:top w:val="none" w:sz="0" w:space="0" w:color="auto"/>
        <w:left w:val="none" w:sz="0" w:space="0" w:color="auto"/>
        <w:bottom w:val="none" w:sz="0" w:space="0" w:color="auto"/>
        <w:right w:val="none" w:sz="0" w:space="0" w:color="auto"/>
      </w:divBdr>
    </w:div>
    <w:div w:id="1207723167">
      <w:marLeft w:val="0"/>
      <w:marRight w:val="0"/>
      <w:marTop w:val="0"/>
      <w:marBottom w:val="0"/>
      <w:divBdr>
        <w:top w:val="none" w:sz="0" w:space="0" w:color="auto"/>
        <w:left w:val="none" w:sz="0" w:space="0" w:color="auto"/>
        <w:bottom w:val="none" w:sz="0" w:space="0" w:color="auto"/>
        <w:right w:val="none" w:sz="0" w:space="0" w:color="auto"/>
      </w:divBdr>
      <w:divsChild>
        <w:div w:id="2071884453">
          <w:marLeft w:val="0"/>
          <w:marRight w:val="0"/>
          <w:marTop w:val="0"/>
          <w:marBottom w:val="0"/>
          <w:divBdr>
            <w:top w:val="none" w:sz="0" w:space="0" w:color="auto"/>
            <w:left w:val="none" w:sz="0" w:space="0" w:color="auto"/>
            <w:bottom w:val="none" w:sz="0" w:space="0" w:color="auto"/>
            <w:right w:val="none" w:sz="0" w:space="0" w:color="auto"/>
          </w:divBdr>
        </w:div>
      </w:divsChild>
    </w:div>
    <w:div w:id="1208028335">
      <w:marLeft w:val="0"/>
      <w:marRight w:val="0"/>
      <w:marTop w:val="0"/>
      <w:marBottom w:val="180"/>
      <w:divBdr>
        <w:top w:val="none" w:sz="0" w:space="0" w:color="auto"/>
        <w:left w:val="none" w:sz="0" w:space="0" w:color="auto"/>
        <w:bottom w:val="none" w:sz="0" w:space="0" w:color="auto"/>
        <w:right w:val="none" w:sz="0" w:space="0" w:color="auto"/>
      </w:divBdr>
    </w:div>
    <w:div w:id="1208756942">
      <w:marLeft w:val="0"/>
      <w:marRight w:val="0"/>
      <w:marTop w:val="0"/>
      <w:marBottom w:val="240"/>
      <w:divBdr>
        <w:top w:val="none" w:sz="0" w:space="0" w:color="auto"/>
        <w:left w:val="none" w:sz="0" w:space="0" w:color="auto"/>
        <w:bottom w:val="none" w:sz="0" w:space="0" w:color="auto"/>
        <w:right w:val="none" w:sz="0" w:space="0" w:color="auto"/>
      </w:divBdr>
    </w:div>
    <w:div w:id="1209681146">
      <w:marLeft w:val="0"/>
      <w:marRight w:val="0"/>
      <w:marTop w:val="0"/>
      <w:marBottom w:val="0"/>
      <w:divBdr>
        <w:top w:val="none" w:sz="0" w:space="0" w:color="auto"/>
        <w:left w:val="none" w:sz="0" w:space="0" w:color="auto"/>
        <w:bottom w:val="none" w:sz="0" w:space="0" w:color="auto"/>
        <w:right w:val="none" w:sz="0" w:space="0" w:color="auto"/>
      </w:divBdr>
      <w:divsChild>
        <w:div w:id="238559216">
          <w:marLeft w:val="0"/>
          <w:marRight w:val="0"/>
          <w:marTop w:val="0"/>
          <w:marBottom w:val="0"/>
          <w:divBdr>
            <w:top w:val="none" w:sz="0" w:space="0" w:color="auto"/>
            <w:left w:val="none" w:sz="0" w:space="0" w:color="auto"/>
            <w:bottom w:val="none" w:sz="0" w:space="0" w:color="auto"/>
            <w:right w:val="none" w:sz="0" w:space="0" w:color="auto"/>
          </w:divBdr>
        </w:div>
      </w:divsChild>
    </w:div>
    <w:div w:id="1209802000">
      <w:marLeft w:val="0"/>
      <w:marRight w:val="0"/>
      <w:marTop w:val="0"/>
      <w:marBottom w:val="180"/>
      <w:divBdr>
        <w:top w:val="none" w:sz="0" w:space="0" w:color="auto"/>
        <w:left w:val="none" w:sz="0" w:space="0" w:color="auto"/>
        <w:bottom w:val="none" w:sz="0" w:space="0" w:color="auto"/>
        <w:right w:val="none" w:sz="0" w:space="0" w:color="auto"/>
      </w:divBdr>
    </w:div>
    <w:div w:id="1210649102">
      <w:marLeft w:val="0"/>
      <w:marRight w:val="0"/>
      <w:marTop w:val="100"/>
      <w:marBottom w:val="0"/>
      <w:divBdr>
        <w:top w:val="none" w:sz="0" w:space="0" w:color="auto"/>
        <w:left w:val="none" w:sz="0" w:space="0" w:color="auto"/>
        <w:bottom w:val="none" w:sz="0" w:space="0" w:color="auto"/>
        <w:right w:val="none" w:sz="0" w:space="0" w:color="auto"/>
      </w:divBdr>
    </w:div>
    <w:div w:id="1210846899">
      <w:marLeft w:val="0"/>
      <w:marRight w:val="0"/>
      <w:marTop w:val="0"/>
      <w:marBottom w:val="180"/>
      <w:divBdr>
        <w:top w:val="none" w:sz="0" w:space="0" w:color="auto"/>
        <w:left w:val="none" w:sz="0" w:space="0" w:color="auto"/>
        <w:bottom w:val="none" w:sz="0" w:space="0" w:color="auto"/>
        <w:right w:val="none" w:sz="0" w:space="0" w:color="auto"/>
      </w:divBdr>
    </w:div>
    <w:div w:id="1211844076">
      <w:marLeft w:val="0"/>
      <w:marRight w:val="0"/>
      <w:marTop w:val="0"/>
      <w:marBottom w:val="0"/>
      <w:divBdr>
        <w:top w:val="none" w:sz="0" w:space="0" w:color="auto"/>
        <w:left w:val="none" w:sz="0" w:space="0" w:color="auto"/>
        <w:bottom w:val="none" w:sz="0" w:space="0" w:color="auto"/>
        <w:right w:val="none" w:sz="0" w:space="0" w:color="auto"/>
      </w:divBdr>
    </w:div>
    <w:div w:id="1212614757">
      <w:marLeft w:val="0"/>
      <w:marRight w:val="0"/>
      <w:marTop w:val="0"/>
      <w:marBottom w:val="240"/>
      <w:divBdr>
        <w:top w:val="none" w:sz="0" w:space="0" w:color="auto"/>
        <w:left w:val="none" w:sz="0" w:space="0" w:color="auto"/>
        <w:bottom w:val="none" w:sz="0" w:space="0" w:color="auto"/>
        <w:right w:val="none" w:sz="0" w:space="0" w:color="auto"/>
      </w:divBdr>
    </w:div>
    <w:div w:id="1213737729">
      <w:marLeft w:val="0"/>
      <w:marRight w:val="0"/>
      <w:marTop w:val="0"/>
      <w:marBottom w:val="0"/>
      <w:divBdr>
        <w:top w:val="none" w:sz="0" w:space="0" w:color="auto"/>
        <w:left w:val="none" w:sz="0" w:space="0" w:color="auto"/>
        <w:bottom w:val="none" w:sz="0" w:space="0" w:color="auto"/>
        <w:right w:val="none" w:sz="0" w:space="0" w:color="auto"/>
      </w:divBdr>
      <w:divsChild>
        <w:div w:id="1365712803">
          <w:marLeft w:val="0"/>
          <w:marRight w:val="0"/>
          <w:marTop w:val="0"/>
          <w:marBottom w:val="0"/>
          <w:divBdr>
            <w:top w:val="none" w:sz="0" w:space="0" w:color="auto"/>
            <w:left w:val="none" w:sz="0" w:space="0" w:color="auto"/>
            <w:bottom w:val="none" w:sz="0" w:space="0" w:color="auto"/>
            <w:right w:val="none" w:sz="0" w:space="0" w:color="auto"/>
          </w:divBdr>
        </w:div>
      </w:divsChild>
    </w:div>
    <w:div w:id="1216238744">
      <w:marLeft w:val="0"/>
      <w:marRight w:val="0"/>
      <w:marTop w:val="180"/>
      <w:marBottom w:val="180"/>
      <w:divBdr>
        <w:top w:val="none" w:sz="0" w:space="0" w:color="auto"/>
        <w:left w:val="none" w:sz="0" w:space="0" w:color="auto"/>
        <w:bottom w:val="none" w:sz="0" w:space="0" w:color="auto"/>
        <w:right w:val="none" w:sz="0" w:space="0" w:color="auto"/>
      </w:divBdr>
    </w:div>
    <w:div w:id="1216353046">
      <w:marLeft w:val="0"/>
      <w:marRight w:val="0"/>
      <w:marTop w:val="0"/>
      <w:marBottom w:val="240"/>
      <w:divBdr>
        <w:top w:val="none" w:sz="0" w:space="0" w:color="auto"/>
        <w:left w:val="none" w:sz="0" w:space="0" w:color="auto"/>
        <w:bottom w:val="none" w:sz="0" w:space="0" w:color="auto"/>
        <w:right w:val="none" w:sz="0" w:space="0" w:color="auto"/>
      </w:divBdr>
    </w:div>
    <w:div w:id="1217468360">
      <w:marLeft w:val="0"/>
      <w:marRight w:val="0"/>
      <w:marTop w:val="0"/>
      <w:marBottom w:val="0"/>
      <w:divBdr>
        <w:top w:val="none" w:sz="0" w:space="0" w:color="auto"/>
        <w:left w:val="none" w:sz="0" w:space="0" w:color="auto"/>
        <w:bottom w:val="none" w:sz="0" w:space="0" w:color="auto"/>
        <w:right w:val="none" w:sz="0" w:space="0" w:color="auto"/>
      </w:divBdr>
      <w:divsChild>
        <w:div w:id="1836190869">
          <w:marLeft w:val="0"/>
          <w:marRight w:val="0"/>
          <w:marTop w:val="0"/>
          <w:marBottom w:val="0"/>
          <w:divBdr>
            <w:top w:val="none" w:sz="0" w:space="0" w:color="auto"/>
            <w:left w:val="none" w:sz="0" w:space="0" w:color="auto"/>
            <w:bottom w:val="none" w:sz="0" w:space="0" w:color="auto"/>
            <w:right w:val="none" w:sz="0" w:space="0" w:color="auto"/>
          </w:divBdr>
        </w:div>
      </w:divsChild>
    </w:div>
    <w:div w:id="1218130946">
      <w:marLeft w:val="0"/>
      <w:marRight w:val="0"/>
      <w:marTop w:val="0"/>
      <w:marBottom w:val="0"/>
      <w:divBdr>
        <w:top w:val="none" w:sz="0" w:space="0" w:color="auto"/>
        <w:left w:val="none" w:sz="0" w:space="0" w:color="auto"/>
        <w:bottom w:val="none" w:sz="0" w:space="0" w:color="auto"/>
        <w:right w:val="none" w:sz="0" w:space="0" w:color="auto"/>
      </w:divBdr>
    </w:div>
    <w:div w:id="1218396469">
      <w:marLeft w:val="0"/>
      <w:marRight w:val="0"/>
      <w:marTop w:val="180"/>
      <w:marBottom w:val="180"/>
      <w:divBdr>
        <w:top w:val="none" w:sz="0" w:space="0" w:color="auto"/>
        <w:left w:val="none" w:sz="0" w:space="0" w:color="auto"/>
        <w:bottom w:val="none" w:sz="0" w:space="0" w:color="auto"/>
        <w:right w:val="none" w:sz="0" w:space="0" w:color="auto"/>
      </w:divBdr>
    </w:div>
    <w:div w:id="1219128780">
      <w:marLeft w:val="0"/>
      <w:marRight w:val="0"/>
      <w:marTop w:val="0"/>
      <w:marBottom w:val="240"/>
      <w:divBdr>
        <w:top w:val="none" w:sz="0" w:space="0" w:color="auto"/>
        <w:left w:val="none" w:sz="0" w:space="0" w:color="auto"/>
        <w:bottom w:val="none" w:sz="0" w:space="0" w:color="auto"/>
        <w:right w:val="none" w:sz="0" w:space="0" w:color="auto"/>
      </w:divBdr>
    </w:div>
    <w:div w:id="1219586555">
      <w:marLeft w:val="0"/>
      <w:marRight w:val="0"/>
      <w:marTop w:val="0"/>
      <w:marBottom w:val="240"/>
      <w:divBdr>
        <w:top w:val="none" w:sz="0" w:space="0" w:color="auto"/>
        <w:left w:val="none" w:sz="0" w:space="0" w:color="auto"/>
        <w:bottom w:val="none" w:sz="0" w:space="0" w:color="auto"/>
        <w:right w:val="none" w:sz="0" w:space="0" w:color="auto"/>
      </w:divBdr>
    </w:div>
    <w:div w:id="1219976925">
      <w:marLeft w:val="0"/>
      <w:marRight w:val="0"/>
      <w:marTop w:val="0"/>
      <w:marBottom w:val="180"/>
      <w:divBdr>
        <w:top w:val="none" w:sz="0" w:space="0" w:color="auto"/>
        <w:left w:val="none" w:sz="0" w:space="0" w:color="auto"/>
        <w:bottom w:val="none" w:sz="0" w:space="0" w:color="auto"/>
        <w:right w:val="none" w:sz="0" w:space="0" w:color="auto"/>
      </w:divBdr>
    </w:div>
    <w:div w:id="1220048163">
      <w:marLeft w:val="0"/>
      <w:marRight w:val="0"/>
      <w:marTop w:val="0"/>
      <w:marBottom w:val="240"/>
      <w:divBdr>
        <w:top w:val="none" w:sz="0" w:space="0" w:color="auto"/>
        <w:left w:val="none" w:sz="0" w:space="0" w:color="auto"/>
        <w:bottom w:val="none" w:sz="0" w:space="0" w:color="auto"/>
        <w:right w:val="none" w:sz="0" w:space="0" w:color="auto"/>
      </w:divBdr>
    </w:div>
    <w:div w:id="1220246732">
      <w:marLeft w:val="0"/>
      <w:marRight w:val="0"/>
      <w:marTop w:val="0"/>
      <w:marBottom w:val="180"/>
      <w:divBdr>
        <w:top w:val="none" w:sz="0" w:space="0" w:color="auto"/>
        <w:left w:val="none" w:sz="0" w:space="0" w:color="auto"/>
        <w:bottom w:val="none" w:sz="0" w:space="0" w:color="auto"/>
        <w:right w:val="none" w:sz="0" w:space="0" w:color="auto"/>
      </w:divBdr>
    </w:div>
    <w:div w:id="1221289092">
      <w:marLeft w:val="0"/>
      <w:marRight w:val="0"/>
      <w:marTop w:val="0"/>
      <w:marBottom w:val="240"/>
      <w:divBdr>
        <w:top w:val="none" w:sz="0" w:space="0" w:color="auto"/>
        <w:left w:val="none" w:sz="0" w:space="0" w:color="auto"/>
        <w:bottom w:val="none" w:sz="0" w:space="0" w:color="auto"/>
        <w:right w:val="none" w:sz="0" w:space="0" w:color="auto"/>
      </w:divBdr>
    </w:div>
    <w:div w:id="1222060991">
      <w:marLeft w:val="0"/>
      <w:marRight w:val="0"/>
      <w:marTop w:val="0"/>
      <w:marBottom w:val="0"/>
      <w:divBdr>
        <w:top w:val="none" w:sz="0" w:space="0" w:color="auto"/>
        <w:left w:val="none" w:sz="0" w:space="0" w:color="auto"/>
        <w:bottom w:val="none" w:sz="0" w:space="0" w:color="auto"/>
        <w:right w:val="none" w:sz="0" w:space="0" w:color="auto"/>
      </w:divBdr>
    </w:div>
    <w:div w:id="1222137801">
      <w:marLeft w:val="0"/>
      <w:marRight w:val="0"/>
      <w:marTop w:val="0"/>
      <w:marBottom w:val="240"/>
      <w:divBdr>
        <w:top w:val="none" w:sz="0" w:space="0" w:color="auto"/>
        <w:left w:val="none" w:sz="0" w:space="0" w:color="auto"/>
        <w:bottom w:val="none" w:sz="0" w:space="0" w:color="auto"/>
        <w:right w:val="none" w:sz="0" w:space="0" w:color="auto"/>
      </w:divBdr>
    </w:div>
    <w:div w:id="1223519179">
      <w:marLeft w:val="0"/>
      <w:marRight w:val="0"/>
      <w:marTop w:val="0"/>
      <w:marBottom w:val="0"/>
      <w:divBdr>
        <w:top w:val="none" w:sz="0" w:space="0" w:color="auto"/>
        <w:left w:val="none" w:sz="0" w:space="0" w:color="auto"/>
        <w:bottom w:val="none" w:sz="0" w:space="0" w:color="auto"/>
        <w:right w:val="none" w:sz="0" w:space="0" w:color="auto"/>
      </w:divBdr>
    </w:div>
    <w:div w:id="1223784286">
      <w:marLeft w:val="0"/>
      <w:marRight w:val="0"/>
      <w:marTop w:val="0"/>
      <w:marBottom w:val="180"/>
      <w:divBdr>
        <w:top w:val="none" w:sz="0" w:space="0" w:color="auto"/>
        <w:left w:val="none" w:sz="0" w:space="0" w:color="auto"/>
        <w:bottom w:val="none" w:sz="0" w:space="0" w:color="auto"/>
        <w:right w:val="none" w:sz="0" w:space="0" w:color="auto"/>
      </w:divBdr>
    </w:div>
    <w:div w:id="1223980580">
      <w:marLeft w:val="0"/>
      <w:marRight w:val="0"/>
      <w:marTop w:val="120"/>
      <w:marBottom w:val="120"/>
      <w:divBdr>
        <w:top w:val="none" w:sz="0" w:space="0" w:color="auto"/>
        <w:left w:val="none" w:sz="0" w:space="0" w:color="auto"/>
        <w:bottom w:val="none" w:sz="0" w:space="0" w:color="auto"/>
        <w:right w:val="none" w:sz="0" w:space="0" w:color="auto"/>
      </w:divBdr>
    </w:div>
    <w:div w:id="1224026184">
      <w:marLeft w:val="0"/>
      <w:marRight w:val="0"/>
      <w:marTop w:val="0"/>
      <w:marBottom w:val="180"/>
      <w:divBdr>
        <w:top w:val="none" w:sz="0" w:space="0" w:color="auto"/>
        <w:left w:val="none" w:sz="0" w:space="0" w:color="auto"/>
        <w:bottom w:val="none" w:sz="0" w:space="0" w:color="auto"/>
        <w:right w:val="none" w:sz="0" w:space="0" w:color="auto"/>
      </w:divBdr>
    </w:div>
    <w:div w:id="1224177624">
      <w:marLeft w:val="0"/>
      <w:marRight w:val="0"/>
      <w:marTop w:val="0"/>
      <w:marBottom w:val="240"/>
      <w:divBdr>
        <w:top w:val="none" w:sz="0" w:space="0" w:color="auto"/>
        <w:left w:val="none" w:sz="0" w:space="0" w:color="auto"/>
        <w:bottom w:val="none" w:sz="0" w:space="0" w:color="auto"/>
        <w:right w:val="none" w:sz="0" w:space="0" w:color="auto"/>
      </w:divBdr>
    </w:div>
    <w:div w:id="1225146357">
      <w:marLeft w:val="0"/>
      <w:marRight w:val="0"/>
      <w:marTop w:val="0"/>
      <w:marBottom w:val="180"/>
      <w:divBdr>
        <w:top w:val="none" w:sz="0" w:space="0" w:color="auto"/>
        <w:left w:val="none" w:sz="0" w:space="0" w:color="auto"/>
        <w:bottom w:val="none" w:sz="0" w:space="0" w:color="auto"/>
        <w:right w:val="none" w:sz="0" w:space="0" w:color="auto"/>
      </w:divBdr>
    </w:div>
    <w:div w:id="1225212587">
      <w:marLeft w:val="0"/>
      <w:marRight w:val="0"/>
      <w:marTop w:val="180"/>
      <w:marBottom w:val="180"/>
      <w:divBdr>
        <w:top w:val="none" w:sz="0" w:space="0" w:color="auto"/>
        <w:left w:val="none" w:sz="0" w:space="0" w:color="auto"/>
        <w:bottom w:val="none" w:sz="0" w:space="0" w:color="auto"/>
        <w:right w:val="none" w:sz="0" w:space="0" w:color="auto"/>
      </w:divBdr>
    </w:div>
    <w:div w:id="1225995511">
      <w:marLeft w:val="0"/>
      <w:marRight w:val="0"/>
      <w:marTop w:val="180"/>
      <w:marBottom w:val="180"/>
      <w:divBdr>
        <w:top w:val="none" w:sz="0" w:space="0" w:color="auto"/>
        <w:left w:val="none" w:sz="0" w:space="0" w:color="auto"/>
        <w:bottom w:val="none" w:sz="0" w:space="0" w:color="auto"/>
        <w:right w:val="none" w:sz="0" w:space="0" w:color="auto"/>
      </w:divBdr>
    </w:div>
    <w:div w:id="1227841208">
      <w:marLeft w:val="0"/>
      <w:marRight w:val="0"/>
      <w:marTop w:val="0"/>
      <w:marBottom w:val="0"/>
      <w:divBdr>
        <w:top w:val="none" w:sz="0" w:space="0" w:color="auto"/>
        <w:left w:val="none" w:sz="0" w:space="0" w:color="auto"/>
        <w:bottom w:val="none" w:sz="0" w:space="0" w:color="auto"/>
        <w:right w:val="none" w:sz="0" w:space="0" w:color="auto"/>
      </w:divBdr>
      <w:divsChild>
        <w:div w:id="95757009">
          <w:marLeft w:val="0"/>
          <w:marRight w:val="0"/>
          <w:marTop w:val="0"/>
          <w:marBottom w:val="0"/>
          <w:divBdr>
            <w:top w:val="none" w:sz="0" w:space="0" w:color="auto"/>
            <w:left w:val="none" w:sz="0" w:space="0" w:color="auto"/>
            <w:bottom w:val="none" w:sz="0" w:space="0" w:color="auto"/>
            <w:right w:val="none" w:sz="0" w:space="0" w:color="auto"/>
          </w:divBdr>
        </w:div>
      </w:divsChild>
    </w:div>
    <w:div w:id="1228566041">
      <w:marLeft w:val="0"/>
      <w:marRight w:val="0"/>
      <w:marTop w:val="0"/>
      <w:marBottom w:val="180"/>
      <w:divBdr>
        <w:top w:val="none" w:sz="0" w:space="0" w:color="auto"/>
        <w:left w:val="none" w:sz="0" w:space="0" w:color="auto"/>
        <w:bottom w:val="none" w:sz="0" w:space="0" w:color="auto"/>
        <w:right w:val="none" w:sz="0" w:space="0" w:color="auto"/>
      </w:divBdr>
    </w:div>
    <w:div w:id="1229224862">
      <w:marLeft w:val="0"/>
      <w:marRight w:val="0"/>
      <w:marTop w:val="0"/>
      <w:marBottom w:val="180"/>
      <w:divBdr>
        <w:top w:val="none" w:sz="0" w:space="0" w:color="auto"/>
        <w:left w:val="none" w:sz="0" w:space="0" w:color="auto"/>
        <w:bottom w:val="none" w:sz="0" w:space="0" w:color="auto"/>
        <w:right w:val="none" w:sz="0" w:space="0" w:color="auto"/>
      </w:divBdr>
    </w:div>
    <w:div w:id="1229607870">
      <w:marLeft w:val="0"/>
      <w:marRight w:val="0"/>
      <w:marTop w:val="0"/>
      <w:marBottom w:val="0"/>
      <w:divBdr>
        <w:top w:val="none" w:sz="0" w:space="0" w:color="auto"/>
        <w:left w:val="none" w:sz="0" w:space="0" w:color="auto"/>
        <w:bottom w:val="none" w:sz="0" w:space="0" w:color="auto"/>
        <w:right w:val="none" w:sz="0" w:space="0" w:color="auto"/>
      </w:divBdr>
    </w:div>
    <w:div w:id="1230114749">
      <w:marLeft w:val="0"/>
      <w:marRight w:val="0"/>
      <w:marTop w:val="120"/>
      <w:marBottom w:val="240"/>
      <w:divBdr>
        <w:top w:val="none" w:sz="0" w:space="0" w:color="auto"/>
        <w:left w:val="none" w:sz="0" w:space="0" w:color="auto"/>
        <w:bottom w:val="none" w:sz="0" w:space="0" w:color="auto"/>
        <w:right w:val="none" w:sz="0" w:space="0" w:color="auto"/>
      </w:divBdr>
    </w:div>
    <w:div w:id="1230388169">
      <w:marLeft w:val="0"/>
      <w:marRight w:val="0"/>
      <w:marTop w:val="0"/>
      <w:marBottom w:val="0"/>
      <w:divBdr>
        <w:top w:val="none" w:sz="0" w:space="0" w:color="auto"/>
        <w:left w:val="none" w:sz="0" w:space="0" w:color="auto"/>
        <w:bottom w:val="none" w:sz="0" w:space="0" w:color="auto"/>
        <w:right w:val="none" w:sz="0" w:space="0" w:color="auto"/>
      </w:divBdr>
    </w:div>
    <w:div w:id="1231040372">
      <w:marLeft w:val="0"/>
      <w:marRight w:val="0"/>
      <w:marTop w:val="0"/>
      <w:marBottom w:val="240"/>
      <w:divBdr>
        <w:top w:val="none" w:sz="0" w:space="0" w:color="auto"/>
        <w:left w:val="none" w:sz="0" w:space="0" w:color="auto"/>
        <w:bottom w:val="none" w:sz="0" w:space="0" w:color="auto"/>
        <w:right w:val="none" w:sz="0" w:space="0" w:color="auto"/>
      </w:divBdr>
    </w:div>
    <w:div w:id="1231310697">
      <w:marLeft w:val="0"/>
      <w:marRight w:val="0"/>
      <w:marTop w:val="0"/>
      <w:marBottom w:val="180"/>
      <w:divBdr>
        <w:top w:val="none" w:sz="0" w:space="0" w:color="auto"/>
        <w:left w:val="none" w:sz="0" w:space="0" w:color="auto"/>
        <w:bottom w:val="none" w:sz="0" w:space="0" w:color="auto"/>
        <w:right w:val="none" w:sz="0" w:space="0" w:color="auto"/>
      </w:divBdr>
    </w:div>
    <w:div w:id="1231647617">
      <w:marLeft w:val="0"/>
      <w:marRight w:val="0"/>
      <w:marTop w:val="0"/>
      <w:marBottom w:val="180"/>
      <w:divBdr>
        <w:top w:val="none" w:sz="0" w:space="0" w:color="auto"/>
        <w:left w:val="none" w:sz="0" w:space="0" w:color="auto"/>
        <w:bottom w:val="none" w:sz="0" w:space="0" w:color="auto"/>
        <w:right w:val="none" w:sz="0" w:space="0" w:color="auto"/>
      </w:divBdr>
    </w:div>
    <w:div w:id="1232042242">
      <w:marLeft w:val="0"/>
      <w:marRight w:val="0"/>
      <w:marTop w:val="0"/>
      <w:marBottom w:val="180"/>
      <w:divBdr>
        <w:top w:val="none" w:sz="0" w:space="0" w:color="auto"/>
        <w:left w:val="none" w:sz="0" w:space="0" w:color="auto"/>
        <w:bottom w:val="none" w:sz="0" w:space="0" w:color="auto"/>
        <w:right w:val="none" w:sz="0" w:space="0" w:color="auto"/>
      </w:divBdr>
    </w:div>
    <w:div w:id="1233466683">
      <w:marLeft w:val="0"/>
      <w:marRight w:val="0"/>
      <w:marTop w:val="120"/>
      <w:marBottom w:val="120"/>
      <w:divBdr>
        <w:top w:val="none" w:sz="0" w:space="0" w:color="auto"/>
        <w:left w:val="none" w:sz="0" w:space="0" w:color="auto"/>
        <w:bottom w:val="none" w:sz="0" w:space="0" w:color="auto"/>
        <w:right w:val="none" w:sz="0" w:space="0" w:color="auto"/>
      </w:divBdr>
    </w:div>
    <w:div w:id="1233470255">
      <w:marLeft w:val="0"/>
      <w:marRight w:val="0"/>
      <w:marTop w:val="0"/>
      <w:marBottom w:val="0"/>
      <w:divBdr>
        <w:top w:val="none" w:sz="0" w:space="0" w:color="auto"/>
        <w:left w:val="none" w:sz="0" w:space="0" w:color="auto"/>
        <w:bottom w:val="none" w:sz="0" w:space="0" w:color="auto"/>
        <w:right w:val="none" w:sz="0" w:space="0" w:color="auto"/>
      </w:divBdr>
    </w:div>
    <w:div w:id="1233658252">
      <w:marLeft w:val="0"/>
      <w:marRight w:val="0"/>
      <w:marTop w:val="0"/>
      <w:marBottom w:val="0"/>
      <w:divBdr>
        <w:top w:val="none" w:sz="0" w:space="0" w:color="auto"/>
        <w:left w:val="none" w:sz="0" w:space="0" w:color="auto"/>
        <w:bottom w:val="none" w:sz="0" w:space="0" w:color="auto"/>
        <w:right w:val="none" w:sz="0" w:space="0" w:color="auto"/>
      </w:divBdr>
    </w:div>
    <w:div w:id="1233663020">
      <w:marLeft w:val="0"/>
      <w:marRight w:val="0"/>
      <w:marTop w:val="120"/>
      <w:marBottom w:val="120"/>
      <w:divBdr>
        <w:top w:val="none" w:sz="0" w:space="0" w:color="auto"/>
        <w:left w:val="none" w:sz="0" w:space="0" w:color="auto"/>
        <w:bottom w:val="none" w:sz="0" w:space="0" w:color="auto"/>
        <w:right w:val="none" w:sz="0" w:space="0" w:color="auto"/>
      </w:divBdr>
    </w:div>
    <w:div w:id="1233809909">
      <w:marLeft w:val="0"/>
      <w:marRight w:val="0"/>
      <w:marTop w:val="0"/>
      <w:marBottom w:val="180"/>
      <w:divBdr>
        <w:top w:val="none" w:sz="0" w:space="0" w:color="auto"/>
        <w:left w:val="none" w:sz="0" w:space="0" w:color="auto"/>
        <w:bottom w:val="none" w:sz="0" w:space="0" w:color="auto"/>
        <w:right w:val="none" w:sz="0" w:space="0" w:color="auto"/>
      </w:divBdr>
    </w:div>
    <w:div w:id="1233931993">
      <w:marLeft w:val="0"/>
      <w:marRight w:val="0"/>
      <w:marTop w:val="120"/>
      <w:marBottom w:val="180"/>
      <w:divBdr>
        <w:top w:val="none" w:sz="0" w:space="0" w:color="auto"/>
        <w:left w:val="none" w:sz="0" w:space="0" w:color="auto"/>
        <w:bottom w:val="none" w:sz="0" w:space="0" w:color="auto"/>
        <w:right w:val="none" w:sz="0" w:space="0" w:color="auto"/>
      </w:divBdr>
    </w:div>
    <w:div w:id="1234580764">
      <w:marLeft w:val="0"/>
      <w:marRight w:val="0"/>
      <w:marTop w:val="180"/>
      <w:marBottom w:val="0"/>
      <w:divBdr>
        <w:top w:val="none" w:sz="0" w:space="0" w:color="auto"/>
        <w:left w:val="none" w:sz="0" w:space="0" w:color="auto"/>
        <w:bottom w:val="none" w:sz="0" w:space="0" w:color="auto"/>
        <w:right w:val="none" w:sz="0" w:space="0" w:color="auto"/>
      </w:divBdr>
    </w:div>
    <w:div w:id="1234581519">
      <w:marLeft w:val="0"/>
      <w:marRight w:val="0"/>
      <w:marTop w:val="0"/>
      <w:marBottom w:val="240"/>
      <w:divBdr>
        <w:top w:val="none" w:sz="0" w:space="0" w:color="auto"/>
        <w:left w:val="none" w:sz="0" w:space="0" w:color="auto"/>
        <w:bottom w:val="none" w:sz="0" w:space="0" w:color="auto"/>
        <w:right w:val="none" w:sz="0" w:space="0" w:color="auto"/>
      </w:divBdr>
    </w:div>
    <w:div w:id="1235775895">
      <w:marLeft w:val="0"/>
      <w:marRight w:val="0"/>
      <w:marTop w:val="0"/>
      <w:marBottom w:val="0"/>
      <w:divBdr>
        <w:top w:val="none" w:sz="0" w:space="0" w:color="auto"/>
        <w:left w:val="none" w:sz="0" w:space="0" w:color="auto"/>
        <w:bottom w:val="none" w:sz="0" w:space="0" w:color="auto"/>
        <w:right w:val="none" w:sz="0" w:space="0" w:color="auto"/>
      </w:divBdr>
      <w:divsChild>
        <w:div w:id="687676780">
          <w:marLeft w:val="0"/>
          <w:marRight w:val="0"/>
          <w:marTop w:val="0"/>
          <w:marBottom w:val="0"/>
          <w:divBdr>
            <w:top w:val="none" w:sz="0" w:space="0" w:color="auto"/>
            <w:left w:val="none" w:sz="0" w:space="0" w:color="auto"/>
            <w:bottom w:val="none" w:sz="0" w:space="0" w:color="auto"/>
            <w:right w:val="none" w:sz="0" w:space="0" w:color="auto"/>
          </w:divBdr>
        </w:div>
      </w:divsChild>
    </w:div>
    <w:div w:id="1235821981">
      <w:marLeft w:val="0"/>
      <w:marRight w:val="0"/>
      <w:marTop w:val="120"/>
      <w:marBottom w:val="180"/>
      <w:divBdr>
        <w:top w:val="none" w:sz="0" w:space="0" w:color="auto"/>
        <w:left w:val="none" w:sz="0" w:space="0" w:color="auto"/>
        <w:bottom w:val="none" w:sz="0" w:space="0" w:color="auto"/>
        <w:right w:val="none" w:sz="0" w:space="0" w:color="auto"/>
      </w:divBdr>
    </w:div>
    <w:div w:id="1235967822">
      <w:marLeft w:val="0"/>
      <w:marRight w:val="0"/>
      <w:marTop w:val="0"/>
      <w:marBottom w:val="180"/>
      <w:divBdr>
        <w:top w:val="none" w:sz="0" w:space="0" w:color="auto"/>
        <w:left w:val="none" w:sz="0" w:space="0" w:color="auto"/>
        <w:bottom w:val="none" w:sz="0" w:space="0" w:color="auto"/>
        <w:right w:val="none" w:sz="0" w:space="0" w:color="auto"/>
      </w:divBdr>
    </w:div>
    <w:div w:id="1236282442">
      <w:marLeft w:val="0"/>
      <w:marRight w:val="0"/>
      <w:marTop w:val="0"/>
      <w:marBottom w:val="240"/>
      <w:divBdr>
        <w:top w:val="none" w:sz="0" w:space="0" w:color="auto"/>
        <w:left w:val="none" w:sz="0" w:space="0" w:color="auto"/>
        <w:bottom w:val="none" w:sz="0" w:space="0" w:color="auto"/>
        <w:right w:val="none" w:sz="0" w:space="0" w:color="auto"/>
      </w:divBdr>
    </w:div>
    <w:div w:id="1236479078">
      <w:marLeft w:val="0"/>
      <w:marRight w:val="0"/>
      <w:marTop w:val="120"/>
      <w:marBottom w:val="120"/>
      <w:divBdr>
        <w:top w:val="none" w:sz="0" w:space="0" w:color="auto"/>
        <w:left w:val="none" w:sz="0" w:space="0" w:color="auto"/>
        <w:bottom w:val="none" w:sz="0" w:space="0" w:color="auto"/>
        <w:right w:val="none" w:sz="0" w:space="0" w:color="auto"/>
      </w:divBdr>
    </w:div>
    <w:div w:id="1237470470">
      <w:marLeft w:val="0"/>
      <w:marRight w:val="0"/>
      <w:marTop w:val="0"/>
      <w:marBottom w:val="180"/>
      <w:divBdr>
        <w:top w:val="none" w:sz="0" w:space="0" w:color="auto"/>
        <w:left w:val="none" w:sz="0" w:space="0" w:color="auto"/>
        <w:bottom w:val="none" w:sz="0" w:space="0" w:color="auto"/>
        <w:right w:val="none" w:sz="0" w:space="0" w:color="auto"/>
      </w:divBdr>
    </w:div>
    <w:div w:id="1237856584">
      <w:marLeft w:val="0"/>
      <w:marRight w:val="0"/>
      <w:marTop w:val="0"/>
      <w:marBottom w:val="0"/>
      <w:divBdr>
        <w:top w:val="none" w:sz="0" w:space="0" w:color="auto"/>
        <w:left w:val="none" w:sz="0" w:space="0" w:color="auto"/>
        <w:bottom w:val="none" w:sz="0" w:space="0" w:color="auto"/>
        <w:right w:val="none" w:sz="0" w:space="0" w:color="auto"/>
      </w:divBdr>
    </w:div>
    <w:div w:id="1239360066">
      <w:marLeft w:val="0"/>
      <w:marRight w:val="0"/>
      <w:marTop w:val="0"/>
      <w:marBottom w:val="180"/>
      <w:divBdr>
        <w:top w:val="none" w:sz="0" w:space="0" w:color="auto"/>
        <w:left w:val="none" w:sz="0" w:space="0" w:color="auto"/>
        <w:bottom w:val="none" w:sz="0" w:space="0" w:color="auto"/>
        <w:right w:val="none" w:sz="0" w:space="0" w:color="auto"/>
      </w:divBdr>
    </w:div>
    <w:div w:id="1241599750">
      <w:marLeft w:val="0"/>
      <w:marRight w:val="0"/>
      <w:marTop w:val="0"/>
      <w:marBottom w:val="240"/>
      <w:divBdr>
        <w:top w:val="none" w:sz="0" w:space="0" w:color="auto"/>
        <w:left w:val="none" w:sz="0" w:space="0" w:color="auto"/>
        <w:bottom w:val="none" w:sz="0" w:space="0" w:color="auto"/>
        <w:right w:val="none" w:sz="0" w:space="0" w:color="auto"/>
      </w:divBdr>
    </w:div>
    <w:div w:id="1241910149">
      <w:marLeft w:val="0"/>
      <w:marRight w:val="0"/>
      <w:marTop w:val="180"/>
      <w:marBottom w:val="180"/>
      <w:divBdr>
        <w:top w:val="none" w:sz="0" w:space="0" w:color="auto"/>
        <w:left w:val="none" w:sz="0" w:space="0" w:color="auto"/>
        <w:bottom w:val="none" w:sz="0" w:space="0" w:color="auto"/>
        <w:right w:val="none" w:sz="0" w:space="0" w:color="auto"/>
      </w:divBdr>
    </w:div>
    <w:div w:id="1242107224">
      <w:marLeft w:val="0"/>
      <w:marRight w:val="0"/>
      <w:marTop w:val="0"/>
      <w:marBottom w:val="240"/>
      <w:divBdr>
        <w:top w:val="none" w:sz="0" w:space="0" w:color="auto"/>
        <w:left w:val="none" w:sz="0" w:space="0" w:color="auto"/>
        <w:bottom w:val="none" w:sz="0" w:space="0" w:color="auto"/>
        <w:right w:val="none" w:sz="0" w:space="0" w:color="auto"/>
      </w:divBdr>
    </w:div>
    <w:div w:id="1242637145">
      <w:marLeft w:val="0"/>
      <w:marRight w:val="0"/>
      <w:marTop w:val="0"/>
      <w:marBottom w:val="240"/>
      <w:divBdr>
        <w:top w:val="none" w:sz="0" w:space="0" w:color="auto"/>
        <w:left w:val="none" w:sz="0" w:space="0" w:color="auto"/>
        <w:bottom w:val="none" w:sz="0" w:space="0" w:color="auto"/>
        <w:right w:val="none" w:sz="0" w:space="0" w:color="auto"/>
      </w:divBdr>
    </w:div>
    <w:div w:id="1244023454">
      <w:marLeft w:val="0"/>
      <w:marRight w:val="0"/>
      <w:marTop w:val="0"/>
      <w:marBottom w:val="180"/>
      <w:divBdr>
        <w:top w:val="none" w:sz="0" w:space="0" w:color="auto"/>
        <w:left w:val="none" w:sz="0" w:space="0" w:color="auto"/>
        <w:bottom w:val="none" w:sz="0" w:space="0" w:color="auto"/>
        <w:right w:val="none" w:sz="0" w:space="0" w:color="auto"/>
      </w:divBdr>
    </w:div>
    <w:div w:id="1245147643">
      <w:marLeft w:val="0"/>
      <w:marRight w:val="0"/>
      <w:marTop w:val="0"/>
      <w:marBottom w:val="240"/>
      <w:divBdr>
        <w:top w:val="none" w:sz="0" w:space="0" w:color="auto"/>
        <w:left w:val="none" w:sz="0" w:space="0" w:color="auto"/>
        <w:bottom w:val="none" w:sz="0" w:space="0" w:color="auto"/>
        <w:right w:val="none" w:sz="0" w:space="0" w:color="auto"/>
      </w:divBdr>
    </w:div>
    <w:div w:id="1245607538">
      <w:marLeft w:val="0"/>
      <w:marRight w:val="0"/>
      <w:marTop w:val="0"/>
      <w:marBottom w:val="240"/>
      <w:divBdr>
        <w:top w:val="none" w:sz="0" w:space="0" w:color="auto"/>
        <w:left w:val="none" w:sz="0" w:space="0" w:color="auto"/>
        <w:bottom w:val="none" w:sz="0" w:space="0" w:color="auto"/>
        <w:right w:val="none" w:sz="0" w:space="0" w:color="auto"/>
      </w:divBdr>
    </w:div>
    <w:div w:id="1246576169">
      <w:marLeft w:val="0"/>
      <w:marRight w:val="0"/>
      <w:marTop w:val="120"/>
      <w:marBottom w:val="240"/>
      <w:divBdr>
        <w:top w:val="none" w:sz="0" w:space="0" w:color="auto"/>
        <w:left w:val="none" w:sz="0" w:space="0" w:color="auto"/>
        <w:bottom w:val="none" w:sz="0" w:space="0" w:color="auto"/>
        <w:right w:val="none" w:sz="0" w:space="0" w:color="auto"/>
      </w:divBdr>
    </w:div>
    <w:div w:id="1247029781">
      <w:marLeft w:val="0"/>
      <w:marRight w:val="0"/>
      <w:marTop w:val="0"/>
      <w:marBottom w:val="240"/>
      <w:divBdr>
        <w:top w:val="none" w:sz="0" w:space="0" w:color="auto"/>
        <w:left w:val="none" w:sz="0" w:space="0" w:color="auto"/>
        <w:bottom w:val="none" w:sz="0" w:space="0" w:color="auto"/>
        <w:right w:val="none" w:sz="0" w:space="0" w:color="auto"/>
      </w:divBdr>
    </w:div>
    <w:div w:id="1247349190">
      <w:marLeft w:val="0"/>
      <w:marRight w:val="0"/>
      <w:marTop w:val="100"/>
      <w:marBottom w:val="100"/>
      <w:divBdr>
        <w:top w:val="none" w:sz="0" w:space="0" w:color="auto"/>
        <w:left w:val="none" w:sz="0" w:space="0" w:color="auto"/>
        <w:bottom w:val="none" w:sz="0" w:space="0" w:color="auto"/>
        <w:right w:val="none" w:sz="0" w:space="0" w:color="auto"/>
      </w:divBdr>
    </w:div>
    <w:div w:id="1248467238">
      <w:marLeft w:val="0"/>
      <w:marRight w:val="0"/>
      <w:marTop w:val="0"/>
      <w:marBottom w:val="180"/>
      <w:divBdr>
        <w:top w:val="none" w:sz="0" w:space="0" w:color="auto"/>
        <w:left w:val="none" w:sz="0" w:space="0" w:color="auto"/>
        <w:bottom w:val="none" w:sz="0" w:space="0" w:color="auto"/>
        <w:right w:val="none" w:sz="0" w:space="0" w:color="auto"/>
      </w:divBdr>
    </w:div>
    <w:div w:id="1249383740">
      <w:marLeft w:val="0"/>
      <w:marRight w:val="0"/>
      <w:marTop w:val="0"/>
      <w:marBottom w:val="240"/>
      <w:divBdr>
        <w:top w:val="none" w:sz="0" w:space="0" w:color="auto"/>
        <w:left w:val="none" w:sz="0" w:space="0" w:color="auto"/>
        <w:bottom w:val="none" w:sz="0" w:space="0" w:color="auto"/>
        <w:right w:val="none" w:sz="0" w:space="0" w:color="auto"/>
      </w:divBdr>
    </w:div>
    <w:div w:id="1249537143">
      <w:marLeft w:val="0"/>
      <w:marRight w:val="0"/>
      <w:marTop w:val="0"/>
      <w:marBottom w:val="180"/>
      <w:divBdr>
        <w:top w:val="none" w:sz="0" w:space="0" w:color="auto"/>
        <w:left w:val="none" w:sz="0" w:space="0" w:color="auto"/>
        <w:bottom w:val="none" w:sz="0" w:space="0" w:color="auto"/>
        <w:right w:val="none" w:sz="0" w:space="0" w:color="auto"/>
      </w:divBdr>
    </w:div>
    <w:div w:id="1250046707">
      <w:marLeft w:val="0"/>
      <w:marRight w:val="0"/>
      <w:marTop w:val="180"/>
      <w:marBottom w:val="180"/>
      <w:divBdr>
        <w:top w:val="none" w:sz="0" w:space="0" w:color="auto"/>
        <w:left w:val="none" w:sz="0" w:space="0" w:color="auto"/>
        <w:bottom w:val="none" w:sz="0" w:space="0" w:color="auto"/>
        <w:right w:val="none" w:sz="0" w:space="0" w:color="auto"/>
      </w:divBdr>
    </w:div>
    <w:div w:id="1250695070">
      <w:marLeft w:val="0"/>
      <w:marRight w:val="0"/>
      <w:marTop w:val="0"/>
      <w:marBottom w:val="240"/>
      <w:divBdr>
        <w:top w:val="none" w:sz="0" w:space="0" w:color="auto"/>
        <w:left w:val="none" w:sz="0" w:space="0" w:color="auto"/>
        <w:bottom w:val="none" w:sz="0" w:space="0" w:color="auto"/>
        <w:right w:val="none" w:sz="0" w:space="0" w:color="auto"/>
      </w:divBdr>
    </w:div>
    <w:div w:id="1252161986">
      <w:marLeft w:val="0"/>
      <w:marRight w:val="0"/>
      <w:marTop w:val="0"/>
      <w:marBottom w:val="0"/>
      <w:divBdr>
        <w:top w:val="none" w:sz="0" w:space="0" w:color="auto"/>
        <w:left w:val="none" w:sz="0" w:space="0" w:color="auto"/>
        <w:bottom w:val="none" w:sz="0" w:space="0" w:color="auto"/>
        <w:right w:val="none" w:sz="0" w:space="0" w:color="auto"/>
      </w:divBdr>
    </w:div>
    <w:div w:id="1252739907">
      <w:marLeft w:val="0"/>
      <w:marRight w:val="0"/>
      <w:marTop w:val="0"/>
      <w:marBottom w:val="0"/>
      <w:divBdr>
        <w:top w:val="none" w:sz="0" w:space="0" w:color="auto"/>
        <w:left w:val="none" w:sz="0" w:space="0" w:color="auto"/>
        <w:bottom w:val="none" w:sz="0" w:space="0" w:color="auto"/>
        <w:right w:val="none" w:sz="0" w:space="0" w:color="auto"/>
      </w:divBdr>
    </w:div>
    <w:div w:id="1253078336">
      <w:marLeft w:val="0"/>
      <w:marRight w:val="0"/>
      <w:marTop w:val="0"/>
      <w:marBottom w:val="240"/>
      <w:divBdr>
        <w:top w:val="none" w:sz="0" w:space="0" w:color="auto"/>
        <w:left w:val="none" w:sz="0" w:space="0" w:color="auto"/>
        <w:bottom w:val="none" w:sz="0" w:space="0" w:color="auto"/>
        <w:right w:val="none" w:sz="0" w:space="0" w:color="auto"/>
      </w:divBdr>
    </w:div>
    <w:div w:id="1253662697">
      <w:marLeft w:val="0"/>
      <w:marRight w:val="0"/>
      <w:marTop w:val="0"/>
      <w:marBottom w:val="0"/>
      <w:divBdr>
        <w:top w:val="none" w:sz="0" w:space="0" w:color="auto"/>
        <w:left w:val="none" w:sz="0" w:space="0" w:color="auto"/>
        <w:bottom w:val="none" w:sz="0" w:space="0" w:color="auto"/>
        <w:right w:val="none" w:sz="0" w:space="0" w:color="auto"/>
      </w:divBdr>
      <w:divsChild>
        <w:div w:id="419372513">
          <w:marLeft w:val="0"/>
          <w:marRight w:val="0"/>
          <w:marTop w:val="0"/>
          <w:marBottom w:val="0"/>
          <w:divBdr>
            <w:top w:val="none" w:sz="0" w:space="0" w:color="auto"/>
            <w:left w:val="none" w:sz="0" w:space="0" w:color="auto"/>
            <w:bottom w:val="none" w:sz="0" w:space="0" w:color="auto"/>
            <w:right w:val="none" w:sz="0" w:space="0" w:color="auto"/>
          </w:divBdr>
        </w:div>
      </w:divsChild>
    </w:div>
    <w:div w:id="1254585370">
      <w:marLeft w:val="0"/>
      <w:marRight w:val="0"/>
      <w:marTop w:val="180"/>
      <w:marBottom w:val="180"/>
      <w:divBdr>
        <w:top w:val="none" w:sz="0" w:space="0" w:color="auto"/>
        <w:left w:val="none" w:sz="0" w:space="0" w:color="auto"/>
        <w:bottom w:val="none" w:sz="0" w:space="0" w:color="auto"/>
        <w:right w:val="none" w:sz="0" w:space="0" w:color="auto"/>
      </w:divBdr>
    </w:div>
    <w:div w:id="1255817515">
      <w:marLeft w:val="0"/>
      <w:marRight w:val="0"/>
      <w:marTop w:val="0"/>
      <w:marBottom w:val="240"/>
      <w:divBdr>
        <w:top w:val="none" w:sz="0" w:space="0" w:color="auto"/>
        <w:left w:val="none" w:sz="0" w:space="0" w:color="auto"/>
        <w:bottom w:val="none" w:sz="0" w:space="0" w:color="auto"/>
        <w:right w:val="none" w:sz="0" w:space="0" w:color="auto"/>
      </w:divBdr>
    </w:div>
    <w:div w:id="1257252438">
      <w:marLeft w:val="0"/>
      <w:marRight w:val="0"/>
      <w:marTop w:val="120"/>
      <w:marBottom w:val="240"/>
      <w:divBdr>
        <w:top w:val="none" w:sz="0" w:space="0" w:color="auto"/>
        <w:left w:val="none" w:sz="0" w:space="0" w:color="auto"/>
        <w:bottom w:val="none" w:sz="0" w:space="0" w:color="auto"/>
        <w:right w:val="none" w:sz="0" w:space="0" w:color="auto"/>
      </w:divBdr>
    </w:div>
    <w:div w:id="1258829252">
      <w:marLeft w:val="0"/>
      <w:marRight w:val="0"/>
      <w:marTop w:val="0"/>
      <w:marBottom w:val="240"/>
      <w:divBdr>
        <w:top w:val="none" w:sz="0" w:space="0" w:color="auto"/>
        <w:left w:val="none" w:sz="0" w:space="0" w:color="auto"/>
        <w:bottom w:val="none" w:sz="0" w:space="0" w:color="auto"/>
        <w:right w:val="none" w:sz="0" w:space="0" w:color="auto"/>
      </w:divBdr>
    </w:div>
    <w:div w:id="1258906224">
      <w:marLeft w:val="0"/>
      <w:marRight w:val="0"/>
      <w:marTop w:val="0"/>
      <w:marBottom w:val="180"/>
      <w:divBdr>
        <w:top w:val="none" w:sz="0" w:space="0" w:color="auto"/>
        <w:left w:val="none" w:sz="0" w:space="0" w:color="auto"/>
        <w:bottom w:val="none" w:sz="0" w:space="0" w:color="auto"/>
        <w:right w:val="none" w:sz="0" w:space="0" w:color="auto"/>
      </w:divBdr>
    </w:div>
    <w:div w:id="1260143579">
      <w:marLeft w:val="0"/>
      <w:marRight w:val="0"/>
      <w:marTop w:val="0"/>
      <w:marBottom w:val="180"/>
      <w:divBdr>
        <w:top w:val="none" w:sz="0" w:space="0" w:color="auto"/>
        <w:left w:val="none" w:sz="0" w:space="0" w:color="auto"/>
        <w:bottom w:val="none" w:sz="0" w:space="0" w:color="auto"/>
        <w:right w:val="none" w:sz="0" w:space="0" w:color="auto"/>
      </w:divBdr>
    </w:div>
    <w:div w:id="1261530265">
      <w:marLeft w:val="0"/>
      <w:marRight w:val="0"/>
      <w:marTop w:val="0"/>
      <w:marBottom w:val="0"/>
      <w:divBdr>
        <w:top w:val="none" w:sz="0" w:space="0" w:color="auto"/>
        <w:left w:val="none" w:sz="0" w:space="0" w:color="auto"/>
        <w:bottom w:val="none" w:sz="0" w:space="0" w:color="auto"/>
        <w:right w:val="none" w:sz="0" w:space="0" w:color="auto"/>
      </w:divBdr>
      <w:divsChild>
        <w:div w:id="153842494">
          <w:marLeft w:val="0"/>
          <w:marRight w:val="0"/>
          <w:marTop w:val="0"/>
          <w:marBottom w:val="0"/>
          <w:divBdr>
            <w:top w:val="none" w:sz="0" w:space="0" w:color="auto"/>
            <w:left w:val="none" w:sz="0" w:space="0" w:color="auto"/>
            <w:bottom w:val="none" w:sz="0" w:space="0" w:color="auto"/>
            <w:right w:val="none" w:sz="0" w:space="0" w:color="auto"/>
          </w:divBdr>
        </w:div>
      </w:divsChild>
    </w:div>
    <w:div w:id="1261715844">
      <w:marLeft w:val="0"/>
      <w:marRight w:val="0"/>
      <w:marTop w:val="0"/>
      <w:marBottom w:val="0"/>
      <w:divBdr>
        <w:top w:val="none" w:sz="0" w:space="0" w:color="auto"/>
        <w:left w:val="none" w:sz="0" w:space="0" w:color="auto"/>
        <w:bottom w:val="none" w:sz="0" w:space="0" w:color="auto"/>
        <w:right w:val="none" w:sz="0" w:space="0" w:color="auto"/>
      </w:divBdr>
      <w:divsChild>
        <w:div w:id="1299527516">
          <w:marLeft w:val="0"/>
          <w:marRight w:val="0"/>
          <w:marTop w:val="0"/>
          <w:marBottom w:val="0"/>
          <w:divBdr>
            <w:top w:val="none" w:sz="0" w:space="0" w:color="auto"/>
            <w:left w:val="none" w:sz="0" w:space="0" w:color="auto"/>
            <w:bottom w:val="none" w:sz="0" w:space="0" w:color="auto"/>
            <w:right w:val="none" w:sz="0" w:space="0" w:color="auto"/>
          </w:divBdr>
        </w:div>
      </w:divsChild>
    </w:div>
    <w:div w:id="1262491084">
      <w:marLeft w:val="0"/>
      <w:marRight w:val="0"/>
      <w:marTop w:val="0"/>
      <w:marBottom w:val="180"/>
      <w:divBdr>
        <w:top w:val="none" w:sz="0" w:space="0" w:color="auto"/>
        <w:left w:val="none" w:sz="0" w:space="0" w:color="auto"/>
        <w:bottom w:val="none" w:sz="0" w:space="0" w:color="auto"/>
        <w:right w:val="none" w:sz="0" w:space="0" w:color="auto"/>
      </w:divBdr>
    </w:div>
    <w:div w:id="1262882935">
      <w:marLeft w:val="0"/>
      <w:marRight w:val="0"/>
      <w:marTop w:val="0"/>
      <w:marBottom w:val="0"/>
      <w:divBdr>
        <w:top w:val="none" w:sz="0" w:space="0" w:color="auto"/>
        <w:left w:val="none" w:sz="0" w:space="0" w:color="auto"/>
        <w:bottom w:val="none" w:sz="0" w:space="0" w:color="auto"/>
        <w:right w:val="none" w:sz="0" w:space="0" w:color="auto"/>
      </w:divBdr>
      <w:divsChild>
        <w:div w:id="467285301">
          <w:marLeft w:val="0"/>
          <w:marRight w:val="0"/>
          <w:marTop w:val="0"/>
          <w:marBottom w:val="0"/>
          <w:divBdr>
            <w:top w:val="none" w:sz="0" w:space="0" w:color="auto"/>
            <w:left w:val="none" w:sz="0" w:space="0" w:color="auto"/>
            <w:bottom w:val="none" w:sz="0" w:space="0" w:color="auto"/>
            <w:right w:val="none" w:sz="0" w:space="0" w:color="auto"/>
          </w:divBdr>
        </w:div>
      </w:divsChild>
    </w:div>
    <w:div w:id="1263295750">
      <w:marLeft w:val="0"/>
      <w:marRight w:val="0"/>
      <w:marTop w:val="0"/>
      <w:marBottom w:val="0"/>
      <w:divBdr>
        <w:top w:val="none" w:sz="0" w:space="0" w:color="auto"/>
        <w:left w:val="none" w:sz="0" w:space="0" w:color="auto"/>
        <w:bottom w:val="none" w:sz="0" w:space="0" w:color="auto"/>
        <w:right w:val="none" w:sz="0" w:space="0" w:color="auto"/>
      </w:divBdr>
      <w:divsChild>
        <w:div w:id="1130783916">
          <w:marLeft w:val="0"/>
          <w:marRight w:val="0"/>
          <w:marTop w:val="0"/>
          <w:marBottom w:val="0"/>
          <w:divBdr>
            <w:top w:val="none" w:sz="0" w:space="0" w:color="auto"/>
            <w:left w:val="none" w:sz="0" w:space="0" w:color="auto"/>
            <w:bottom w:val="none" w:sz="0" w:space="0" w:color="auto"/>
            <w:right w:val="none" w:sz="0" w:space="0" w:color="auto"/>
          </w:divBdr>
        </w:div>
      </w:divsChild>
    </w:div>
    <w:div w:id="1264194369">
      <w:marLeft w:val="0"/>
      <w:marRight w:val="0"/>
      <w:marTop w:val="100"/>
      <w:marBottom w:val="240"/>
      <w:divBdr>
        <w:top w:val="none" w:sz="0" w:space="0" w:color="auto"/>
        <w:left w:val="none" w:sz="0" w:space="0" w:color="auto"/>
        <w:bottom w:val="none" w:sz="0" w:space="0" w:color="auto"/>
        <w:right w:val="none" w:sz="0" w:space="0" w:color="auto"/>
      </w:divBdr>
    </w:div>
    <w:div w:id="1266110387">
      <w:marLeft w:val="0"/>
      <w:marRight w:val="0"/>
      <w:marTop w:val="0"/>
      <w:marBottom w:val="180"/>
      <w:divBdr>
        <w:top w:val="none" w:sz="0" w:space="0" w:color="auto"/>
        <w:left w:val="none" w:sz="0" w:space="0" w:color="auto"/>
        <w:bottom w:val="none" w:sz="0" w:space="0" w:color="auto"/>
        <w:right w:val="none" w:sz="0" w:space="0" w:color="auto"/>
      </w:divBdr>
    </w:div>
    <w:div w:id="1266187326">
      <w:marLeft w:val="0"/>
      <w:marRight w:val="0"/>
      <w:marTop w:val="0"/>
      <w:marBottom w:val="0"/>
      <w:divBdr>
        <w:top w:val="none" w:sz="0" w:space="0" w:color="auto"/>
        <w:left w:val="none" w:sz="0" w:space="0" w:color="auto"/>
        <w:bottom w:val="none" w:sz="0" w:space="0" w:color="auto"/>
        <w:right w:val="none" w:sz="0" w:space="0" w:color="auto"/>
      </w:divBdr>
    </w:div>
    <w:div w:id="1266883433">
      <w:marLeft w:val="0"/>
      <w:marRight w:val="0"/>
      <w:marTop w:val="0"/>
      <w:marBottom w:val="0"/>
      <w:divBdr>
        <w:top w:val="none" w:sz="0" w:space="0" w:color="auto"/>
        <w:left w:val="none" w:sz="0" w:space="0" w:color="auto"/>
        <w:bottom w:val="none" w:sz="0" w:space="0" w:color="auto"/>
        <w:right w:val="none" w:sz="0" w:space="0" w:color="auto"/>
      </w:divBdr>
    </w:div>
    <w:div w:id="1267037919">
      <w:marLeft w:val="0"/>
      <w:marRight w:val="0"/>
      <w:marTop w:val="0"/>
      <w:marBottom w:val="180"/>
      <w:divBdr>
        <w:top w:val="none" w:sz="0" w:space="0" w:color="auto"/>
        <w:left w:val="none" w:sz="0" w:space="0" w:color="auto"/>
        <w:bottom w:val="none" w:sz="0" w:space="0" w:color="auto"/>
        <w:right w:val="none" w:sz="0" w:space="0" w:color="auto"/>
      </w:divBdr>
    </w:div>
    <w:div w:id="1267232093">
      <w:marLeft w:val="0"/>
      <w:marRight w:val="0"/>
      <w:marTop w:val="0"/>
      <w:marBottom w:val="0"/>
      <w:divBdr>
        <w:top w:val="none" w:sz="0" w:space="0" w:color="auto"/>
        <w:left w:val="none" w:sz="0" w:space="0" w:color="auto"/>
        <w:bottom w:val="none" w:sz="0" w:space="0" w:color="auto"/>
        <w:right w:val="none" w:sz="0" w:space="0" w:color="auto"/>
      </w:divBdr>
    </w:div>
    <w:div w:id="1267691813">
      <w:marLeft w:val="0"/>
      <w:marRight w:val="0"/>
      <w:marTop w:val="0"/>
      <w:marBottom w:val="0"/>
      <w:divBdr>
        <w:top w:val="none" w:sz="0" w:space="0" w:color="auto"/>
        <w:left w:val="none" w:sz="0" w:space="0" w:color="auto"/>
        <w:bottom w:val="none" w:sz="0" w:space="0" w:color="auto"/>
        <w:right w:val="none" w:sz="0" w:space="0" w:color="auto"/>
      </w:divBdr>
      <w:divsChild>
        <w:div w:id="1111052869">
          <w:marLeft w:val="0"/>
          <w:marRight w:val="0"/>
          <w:marTop w:val="0"/>
          <w:marBottom w:val="0"/>
          <w:divBdr>
            <w:top w:val="none" w:sz="0" w:space="0" w:color="auto"/>
            <w:left w:val="none" w:sz="0" w:space="0" w:color="auto"/>
            <w:bottom w:val="none" w:sz="0" w:space="0" w:color="auto"/>
            <w:right w:val="none" w:sz="0" w:space="0" w:color="auto"/>
          </w:divBdr>
        </w:div>
      </w:divsChild>
    </w:div>
    <w:div w:id="1267807170">
      <w:marLeft w:val="0"/>
      <w:marRight w:val="0"/>
      <w:marTop w:val="120"/>
      <w:marBottom w:val="120"/>
      <w:divBdr>
        <w:top w:val="none" w:sz="0" w:space="0" w:color="auto"/>
        <w:left w:val="none" w:sz="0" w:space="0" w:color="auto"/>
        <w:bottom w:val="none" w:sz="0" w:space="0" w:color="auto"/>
        <w:right w:val="none" w:sz="0" w:space="0" w:color="auto"/>
      </w:divBdr>
    </w:div>
    <w:div w:id="1268732608">
      <w:marLeft w:val="0"/>
      <w:marRight w:val="0"/>
      <w:marTop w:val="180"/>
      <w:marBottom w:val="180"/>
      <w:divBdr>
        <w:top w:val="none" w:sz="0" w:space="0" w:color="auto"/>
        <w:left w:val="none" w:sz="0" w:space="0" w:color="auto"/>
        <w:bottom w:val="none" w:sz="0" w:space="0" w:color="auto"/>
        <w:right w:val="none" w:sz="0" w:space="0" w:color="auto"/>
      </w:divBdr>
    </w:div>
    <w:div w:id="1268850582">
      <w:marLeft w:val="0"/>
      <w:marRight w:val="0"/>
      <w:marTop w:val="0"/>
      <w:marBottom w:val="240"/>
      <w:divBdr>
        <w:top w:val="none" w:sz="0" w:space="0" w:color="auto"/>
        <w:left w:val="none" w:sz="0" w:space="0" w:color="auto"/>
        <w:bottom w:val="none" w:sz="0" w:space="0" w:color="auto"/>
        <w:right w:val="none" w:sz="0" w:space="0" w:color="auto"/>
      </w:divBdr>
    </w:div>
    <w:div w:id="1268931567">
      <w:marLeft w:val="0"/>
      <w:marRight w:val="0"/>
      <w:marTop w:val="0"/>
      <w:marBottom w:val="0"/>
      <w:divBdr>
        <w:top w:val="none" w:sz="0" w:space="0" w:color="auto"/>
        <w:left w:val="none" w:sz="0" w:space="0" w:color="auto"/>
        <w:bottom w:val="none" w:sz="0" w:space="0" w:color="auto"/>
        <w:right w:val="none" w:sz="0" w:space="0" w:color="auto"/>
      </w:divBdr>
    </w:div>
    <w:div w:id="1271471487">
      <w:marLeft w:val="0"/>
      <w:marRight w:val="0"/>
      <w:marTop w:val="0"/>
      <w:marBottom w:val="0"/>
      <w:divBdr>
        <w:top w:val="none" w:sz="0" w:space="0" w:color="auto"/>
        <w:left w:val="none" w:sz="0" w:space="0" w:color="auto"/>
        <w:bottom w:val="none" w:sz="0" w:space="0" w:color="auto"/>
        <w:right w:val="none" w:sz="0" w:space="0" w:color="auto"/>
      </w:divBdr>
    </w:div>
    <w:div w:id="1272859178">
      <w:marLeft w:val="0"/>
      <w:marRight w:val="0"/>
      <w:marTop w:val="180"/>
      <w:marBottom w:val="180"/>
      <w:divBdr>
        <w:top w:val="none" w:sz="0" w:space="0" w:color="auto"/>
        <w:left w:val="none" w:sz="0" w:space="0" w:color="auto"/>
        <w:bottom w:val="none" w:sz="0" w:space="0" w:color="auto"/>
        <w:right w:val="none" w:sz="0" w:space="0" w:color="auto"/>
      </w:divBdr>
    </w:div>
    <w:div w:id="1273828831">
      <w:marLeft w:val="0"/>
      <w:marRight w:val="0"/>
      <w:marTop w:val="240"/>
      <w:marBottom w:val="140"/>
      <w:divBdr>
        <w:top w:val="none" w:sz="0" w:space="0" w:color="auto"/>
        <w:left w:val="none" w:sz="0" w:space="0" w:color="auto"/>
        <w:bottom w:val="none" w:sz="0" w:space="0" w:color="auto"/>
        <w:right w:val="none" w:sz="0" w:space="0" w:color="auto"/>
      </w:divBdr>
    </w:div>
    <w:div w:id="1274287263">
      <w:marLeft w:val="0"/>
      <w:marRight w:val="0"/>
      <w:marTop w:val="0"/>
      <w:marBottom w:val="0"/>
      <w:divBdr>
        <w:top w:val="none" w:sz="0" w:space="0" w:color="auto"/>
        <w:left w:val="none" w:sz="0" w:space="0" w:color="auto"/>
        <w:bottom w:val="none" w:sz="0" w:space="0" w:color="auto"/>
        <w:right w:val="none" w:sz="0" w:space="0" w:color="auto"/>
      </w:divBdr>
      <w:divsChild>
        <w:div w:id="664281225">
          <w:marLeft w:val="0"/>
          <w:marRight w:val="0"/>
          <w:marTop w:val="0"/>
          <w:marBottom w:val="0"/>
          <w:divBdr>
            <w:top w:val="none" w:sz="0" w:space="0" w:color="auto"/>
            <w:left w:val="none" w:sz="0" w:space="0" w:color="auto"/>
            <w:bottom w:val="none" w:sz="0" w:space="0" w:color="auto"/>
            <w:right w:val="none" w:sz="0" w:space="0" w:color="auto"/>
          </w:divBdr>
        </w:div>
      </w:divsChild>
    </w:div>
    <w:div w:id="1274289402">
      <w:marLeft w:val="0"/>
      <w:marRight w:val="0"/>
      <w:marTop w:val="120"/>
      <w:marBottom w:val="120"/>
      <w:divBdr>
        <w:top w:val="none" w:sz="0" w:space="0" w:color="auto"/>
        <w:left w:val="none" w:sz="0" w:space="0" w:color="auto"/>
        <w:bottom w:val="none" w:sz="0" w:space="0" w:color="auto"/>
        <w:right w:val="none" w:sz="0" w:space="0" w:color="auto"/>
      </w:divBdr>
    </w:div>
    <w:div w:id="1274633392">
      <w:marLeft w:val="0"/>
      <w:marRight w:val="0"/>
      <w:marTop w:val="180"/>
      <w:marBottom w:val="180"/>
      <w:divBdr>
        <w:top w:val="none" w:sz="0" w:space="0" w:color="auto"/>
        <w:left w:val="none" w:sz="0" w:space="0" w:color="auto"/>
        <w:bottom w:val="none" w:sz="0" w:space="0" w:color="auto"/>
        <w:right w:val="none" w:sz="0" w:space="0" w:color="auto"/>
      </w:divBdr>
    </w:div>
    <w:div w:id="1276134359">
      <w:marLeft w:val="0"/>
      <w:marRight w:val="0"/>
      <w:marTop w:val="0"/>
      <w:marBottom w:val="180"/>
      <w:divBdr>
        <w:top w:val="none" w:sz="0" w:space="0" w:color="auto"/>
        <w:left w:val="none" w:sz="0" w:space="0" w:color="auto"/>
        <w:bottom w:val="none" w:sz="0" w:space="0" w:color="auto"/>
        <w:right w:val="none" w:sz="0" w:space="0" w:color="auto"/>
      </w:divBdr>
    </w:div>
    <w:div w:id="1276328561">
      <w:marLeft w:val="0"/>
      <w:marRight w:val="0"/>
      <w:marTop w:val="100"/>
      <w:marBottom w:val="0"/>
      <w:divBdr>
        <w:top w:val="none" w:sz="0" w:space="0" w:color="auto"/>
        <w:left w:val="none" w:sz="0" w:space="0" w:color="auto"/>
        <w:bottom w:val="none" w:sz="0" w:space="0" w:color="auto"/>
        <w:right w:val="none" w:sz="0" w:space="0" w:color="auto"/>
      </w:divBdr>
      <w:divsChild>
        <w:div w:id="1875771646">
          <w:marLeft w:val="0"/>
          <w:marRight w:val="0"/>
          <w:marTop w:val="0"/>
          <w:marBottom w:val="0"/>
          <w:divBdr>
            <w:top w:val="none" w:sz="0" w:space="0" w:color="auto"/>
            <w:left w:val="none" w:sz="0" w:space="0" w:color="auto"/>
            <w:bottom w:val="none" w:sz="0" w:space="0" w:color="auto"/>
            <w:right w:val="none" w:sz="0" w:space="0" w:color="auto"/>
          </w:divBdr>
        </w:div>
        <w:div w:id="511771029">
          <w:marLeft w:val="0"/>
          <w:marRight w:val="0"/>
          <w:marTop w:val="0"/>
          <w:marBottom w:val="0"/>
          <w:divBdr>
            <w:top w:val="none" w:sz="0" w:space="0" w:color="auto"/>
            <w:left w:val="none" w:sz="0" w:space="0" w:color="auto"/>
            <w:bottom w:val="none" w:sz="0" w:space="0" w:color="auto"/>
            <w:right w:val="none" w:sz="0" w:space="0" w:color="auto"/>
          </w:divBdr>
        </w:div>
        <w:div w:id="1191068691">
          <w:marLeft w:val="0"/>
          <w:marRight w:val="0"/>
          <w:marTop w:val="0"/>
          <w:marBottom w:val="0"/>
          <w:divBdr>
            <w:top w:val="none" w:sz="0" w:space="0" w:color="auto"/>
            <w:left w:val="none" w:sz="0" w:space="0" w:color="auto"/>
            <w:bottom w:val="none" w:sz="0" w:space="0" w:color="auto"/>
            <w:right w:val="none" w:sz="0" w:space="0" w:color="auto"/>
          </w:divBdr>
        </w:div>
        <w:div w:id="910846248">
          <w:marLeft w:val="0"/>
          <w:marRight w:val="0"/>
          <w:marTop w:val="0"/>
          <w:marBottom w:val="0"/>
          <w:divBdr>
            <w:top w:val="none" w:sz="0" w:space="0" w:color="auto"/>
            <w:left w:val="none" w:sz="0" w:space="0" w:color="auto"/>
            <w:bottom w:val="none" w:sz="0" w:space="0" w:color="auto"/>
            <w:right w:val="none" w:sz="0" w:space="0" w:color="auto"/>
          </w:divBdr>
        </w:div>
        <w:div w:id="1178808514">
          <w:marLeft w:val="0"/>
          <w:marRight w:val="0"/>
          <w:marTop w:val="0"/>
          <w:marBottom w:val="0"/>
          <w:divBdr>
            <w:top w:val="none" w:sz="0" w:space="0" w:color="auto"/>
            <w:left w:val="none" w:sz="0" w:space="0" w:color="auto"/>
            <w:bottom w:val="none" w:sz="0" w:space="0" w:color="auto"/>
            <w:right w:val="none" w:sz="0" w:space="0" w:color="auto"/>
          </w:divBdr>
        </w:div>
        <w:div w:id="405152868">
          <w:marLeft w:val="0"/>
          <w:marRight w:val="0"/>
          <w:marTop w:val="0"/>
          <w:marBottom w:val="0"/>
          <w:divBdr>
            <w:top w:val="none" w:sz="0" w:space="0" w:color="auto"/>
            <w:left w:val="none" w:sz="0" w:space="0" w:color="auto"/>
            <w:bottom w:val="none" w:sz="0" w:space="0" w:color="auto"/>
            <w:right w:val="none" w:sz="0" w:space="0" w:color="auto"/>
          </w:divBdr>
        </w:div>
      </w:divsChild>
    </w:div>
    <w:div w:id="1276906447">
      <w:marLeft w:val="0"/>
      <w:marRight w:val="0"/>
      <w:marTop w:val="100"/>
      <w:marBottom w:val="0"/>
      <w:divBdr>
        <w:top w:val="none" w:sz="0" w:space="0" w:color="auto"/>
        <w:left w:val="none" w:sz="0" w:space="0" w:color="auto"/>
        <w:bottom w:val="none" w:sz="0" w:space="0" w:color="auto"/>
        <w:right w:val="none" w:sz="0" w:space="0" w:color="auto"/>
      </w:divBdr>
    </w:div>
    <w:div w:id="1277709571">
      <w:marLeft w:val="0"/>
      <w:marRight w:val="0"/>
      <w:marTop w:val="180"/>
      <w:marBottom w:val="180"/>
      <w:divBdr>
        <w:top w:val="none" w:sz="0" w:space="0" w:color="auto"/>
        <w:left w:val="none" w:sz="0" w:space="0" w:color="auto"/>
        <w:bottom w:val="none" w:sz="0" w:space="0" w:color="auto"/>
        <w:right w:val="none" w:sz="0" w:space="0" w:color="auto"/>
      </w:divBdr>
    </w:div>
    <w:div w:id="1277910275">
      <w:marLeft w:val="0"/>
      <w:marRight w:val="0"/>
      <w:marTop w:val="0"/>
      <w:marBottom w:val="180"/>
      <w:divBdr>
        <w:top w:val="none" w:sz="0" w:space="0" w:color="auto"/>
        <w:left w:val="none" w:sz="0" w:space="0" w:color="auto"/>
        <w:bottom w:val="none" w:sz="0" w:space="0" w:color="auto"/>
        <w:right w:val="none" w:sz="0" w:space="0" w:color="auto"/>
      </w:divBdr>
    </w:div>
    <w:div w:id="1278176621">
      <w:marLeft w:val="0"/>
      <w:marRight w:val="0"/>
      <w:marTop w:val="120"/>
      <w:marBottom w:val="120"/>
      <w:divBdr>
        <w:top w:val="none" w:sz="0" w:space="0" w:color="auto"/>
        <w:left w:val="none" w:sz="0" w:space="0" w:color="auto"/>
        <w:bottom w:val="none" w:sz="0" w:space="0" w:color="auto"/>
        <w:right w:val="none" w:sz="0" w:space="0" w:color="auto"/>
      </w:divBdr>
    </w:div>
    <w:div w:id="1278637530">
      <w:marLeft w:val="0"/>
      <w:marRight w:val="0"/>
      <w:marTop w:val="100"/>
      <w:marBottom w:val="180"/>
      <w:divBdr>
        <w:top w:val="none" w:sz="0" w:space="0" w:color="auto"/>
        <w:left w:val="none" w:sz="0" w:space="0" w:color="auto"/>
        <w:bottom w:val="none" w:sz="0" w:space="0" w:color="auto"/>
        <w:right w:val="none" w:sz="0" w:space="0" w:color="auto"/>
      </w:divBdr>
    </w:div>
    <w:div w:id="1279488364">
      <w:marLeft w:val="0"/>
      <w:marRight w:val="0"/>
      <w:marTop w:val="100"/>
      <w:marBottom w:val="0"/>
      <w:divBdr>
        <w:top w:val="none" w:sz="0" w:space="0" w:color="auto"/>
        <w:left w:val="none" w:sz="0" w:space="0" w:color="auto"/>
        <w:bottom w:val="none" w:sz="0" w:space="0" w:color="auto"/>
        <w:right w:val="none" w:sz="0" w:space="0" w:color="auto"/>
      </w:divBdr>
      <w:divsChild>
        <w:div w:id="353503114">
          <w:marLeft w:val="0"/>
          <w:marRight w:val="0"/>
          <w:marTop w:val="0"/>
          <w:marBottom w:val="0"/>
          <w:divBdr>
            <w:top w:val="none" w:sz="0" w:space="0" w:color="auto"/>
            <w:left w:val="none" w:sz="0" w:space="0" w:color="auto"/>
            <w:bottom w:val="none" w:sz="0" w:space="0" w:color="auto"/>
            <w:right w:val="none" w:sz="0" w:space="0" w:color="auto"/>
          </w:divBdr>
        </w:div>
        <w:div w:id="895819275">
          <w:marLeft w:val="0"/>
          <w:marRight w:val="0"/>
          <w:marTop w:val="0"/>
          <w:marBottom w:val="0"/>
          <w:divBdr>
            <w:top w:val="none" w:sz="0" w:space="0" w:color="auto"/>
            <w:left w:val="none" w:sz="0" w:space="0" w:color="auto"/>
            <w:bottom w:val="none" w:sz="0" w:space="0" w:color="auto"/>
            <w:right w:val="none" w:sz="0" w:space="0" w:color="auto"/>
          </w:divBdr>
        </w:div>
      </w:divsChild>
    </w:div>
    <w:div w:id="1280262508">
      <w:marLeft w:val="0"/>
      <w:marRight w:val="0"/>
      <w:marTop w:val="0"/>
      <w:marBottom w:val="240"/>
      <w:divBdr>
        <w:top w:val="none" w:sz="0" w:space="0" w:color="auto"/>
        <w:left w:val="none" w:sz="0" w:space="0" w:color="auto"/>
        <w:bottom w:val="none" w:sz="0" w:space="0" w:color="auto"/>
        <w:right w:val="none" w:sz="0" w:space="0" w:color="auto"/>
      </w:divBdr>
    </w:div>
    <w:div w:id="1280605131">
      <w:marLeft w:val="0"/>
      <w:marRight w:val="0"/>
      <w:marTop w:val="0"/>
      <w:marBottom w:val="0"/>
      <w:divBdr>
        <w:top w:val="none" w:sz="0" w:space="0" w:color="auto"/>
        <w:left w:val="none" w:sz="0" w:space="0" w:color="auto"/>
        <w:bottom w:val="none" w:sz="0" w:space="0" w:color="auto"/>
        <w:right w:val="none" w:sz="0" w:space="0" w:color="auto"/>
      </w:divBdr>
    </w:div>
    <w:div w:id="1280801458">
      <w:marLeft w:val="0"/>
      <w:marRight w:val="0"/>
      <w:marTop w:val="0"/>
      <w:marBottom w:val="0"/>
      <w:divBdr>
        <w:top w:val="none" w:sz="0" w:space="0" w:color="auto"/>
        <w:left w:val="none" w:sz="0" w:space="0" w:color="auto"/>
        <w:bottom w:val="none" w:sz="0" w:space="0" w:color="auto"/>
        <w:right w:val="none" w:sz="0" w:space="0" w:color="auto"/>
      </w:divBdr>
      <w:divsChild>
        <w:div w:id="1573278080">
          <w:marLeft w:val="0"/>
          <w:marRight w:val="0"/>
          <w:marTop w:val="0"/>
          <w:marBottom w:val="0"/>
          <w:divBdr>
            <w:top w:val="none" w:sz="0" w:space="0" w:color="auto"/>
            <w:left w:val="none" w:sz="0" w:space="0" w:color="auto"/>
            <w:bottom w:val="none" w:sz="0" w:space="0" w:color="auto"/>
            <w:right w:val="none" w:sz="0" w:space="0" w:color="auto"/>
          </w:divBdr>
        </w:div>
      </w:divsChild>
    </w:div>
    <w:div w:id="1280991412">
      <w:marLeft w:val="0"/>
      <w:marRight w:val="0"/>
      <w:marTop w:val="0"/>
      <w:marBottom w:val="0"/>
      <w:divBdr>
        <w:top w:val="none" w:sz="0" w:space="0" w:color="auto"/>
        <w:left w:val="none" w:sz="0" w:space="0" w:color="auto"/>
        <w:bottom w:val="none" w:sz="0" w:space="0" w:color="auto"/>
        <w:right w:val="none" w:sz="0" w:space="0" w:color="auto"/>
      </w:divBdr>
    </w:div>
    <w:div w:id="1281886617">
      <w:marLeft w:val="0"/>
      <w:marRight w:val="0"/>
      <w:marTop w:val="120"/>
      <w:marBottom w:val="180"/>
      <w:divBdr>
        <w:top w:val="none" w:sz="0" w:space="0" w:color="auto"/>
        <w:left w:val="none" w:sz="0" w:space="0" w:color="auto"/>
        <w:bottom w:val="none" w:sz="0" w:space="0" w:color="auto"/>
        <w:right w:val="none" w:sz="0" w:space="0" w:color="auto"/>
      </w:divBdr>
    </w:div>
    <w:div w:id="1283196768">
      <w:marLeft w:val="0"/>
      <w:marRight w:val="0"/>
      <w:marTop w:val="100"/>
      <w:marBottom w:val="0"/>
      <w:divBdr>
        <w:top w:val="none" w:sz="0" w:space="0" w:color="auto"/>
        <w:left w:val="none" w:sz="0" w:space="0" w:color="auto"/>
        <w:bottom w:val="none" w:sz="0" w:space="0" w:color="auto"/>
        <w:right w:val="none" w:sz="0" w:space="0" w:color="auto"/>
      </w:divBdr>
    </w:div>
    <w:div w:id="1283607167">
      <w:marLeft w:val="0"/>
      <w:marRight w:val="0"/>
      <w:marTop w:val="180"/>
      <w:marBottom w:val="180"/>
      <w:divBdr>
        <w:top w:val="none" w:sz="0" w:space="0" w:color="auto"/>
        <w:left w:val="none" w:sz="0" w:space="0" w:color="auto"/>
        <w:bottom w:val="none" w:sz="0" w:space="0" w:color="auto"/>
        <w:right w:val="none" w:sz="0" w:space="0" w:color="auto"/>
      </w:divBdr>
    </w:div>
    <w:div w:id="1283802103">
      <w:marLeft w:val="0"/>
      <w:marRight w:val="0"/>
      <w:marTop w:val="0"/>
      <w:marBottom w:val="0"/>
      <w:divBdr>
        <w:top w:val="none" w:sz="0" w:space="0" w:color="auto"/>
        <w:left w:val="none" w:sz="0" w:space="0" w:color="auto"/>
        <w:bottom w:val="none" w:sz="0" w:space="0" w:color="auto"/>
        <w:right w:val="none" w:sz="0" w:space="0" w:color="auto"/>
      </w:divBdr>
    </w:div>
    <w:div w:id="1284847673">
      <w:marLeft w:val="0"/>
      <w:marRight w:val="0"/>
      <w:marTop w:val="0"/>
      <w:marBottom w:val="180"/>
      <w:divBdr>
        <w:top w:val="none" w:sz="0" w:space="0" w:color="auto"/>
        <w:left w:val="none" w:sz="0" w:space="0" w:color="auto"/>
        <w:bottom w:val="none" w:sz="0" w:space="0" w:color="auto"/>
        <w:right w:val="none" w:sz="0" w:space="0" w:color="auto"/>
      </w:divBdr>
    </w:div>
    <w:div w:id="1285500796">
      <w:marLeft w:val="0"/>
      <w:marRight w:val="0"/>
      <w:marTop w:val="0"/>
      <w:marBottom w:val="180"/>
      <w:divBdr>
        <w:top w:val="none" w:sz="0" w:space="0" w:color="auto"/>
        <w:left w:val="none" w:sz="0" w:space="0" w:color="auto"/>
        <w:bottom w:val="none" w:sz="0" w:space="0" w:color="auto"/>
        <w:right w:val="none" w:sz="0" w:space="0" w:color="auto"/>
      </w:divBdr>
    </w:div>
    <w:div w:id="1285887146">
      <w:marLeft w:val="0"/>
      <w:marRight w:val="0"/>
      <w:marTop w:val="0"/>
      <w:marBottom w:val="0"/>
      <w:divBdr>
        <w:top w:val="none" w:sz="0" w:space="0" w:color="auto"/>
        <w:left w:val="none" w:sz="0" w:space="0" w:color="auto"/>
        <w:bottom w:val="none" w:sz="0" w:space="0" w:color="auto"/>
        <w:right w:val="none" w:sz="0" w:space="0" w:color="auto"/>
      </w:divBdr>
    </w:div>
    <w:div w:id="1287616763">
      <w:marLeft w:val="0"/>
      <w:marRight w:val="0"/>
      <w:marTop w:val="0"/>
      <w:marBottom w:val="240"/>
      <w:divBdr>
        <w:top w:val="none" w:sz="0" w:space="0" w:color="auto"/>
        <w:left w:val="none" w:sz="0" w:space="0" w:color="auto"/>
        <w:bottom w:val="none" w:sz="0" w:space="0" w:color="auto"/>
        <w:right w:val="none" w:sz="0" w:space="0" w:color="auto"/>
      </w:divBdr>
    </w:div>
    <w:div w:id="1287856202">
      <w:marLeft w:val="0"/>
      <w:marRight w:val="0"/>
      <w:marTop w:val="0"/>
      <w:marBottom w:val="180"/>
      <w:divBdr>
        <w:top w:val="none" w:sz="0" w:space="0" w:color="auto"/>
        <w:left w:val="none" w:sz="0" w:space="0" w:color="auto"/>
        <w:bottom w:val="none" w:sz="0" w:space="0" w:color="auto"/>
        <w:right w:val="none" w:sz="0" w:space="0" w:color="auto"/>
      </w:divBdr>
    </w:div>
    <w:div w:id="1288126005">
      <w:marLeft w:val="0"/>
      <w:marRight w:val="0"/>
      <w:marTop w:val="0"/>
      <w:marBottom w:val="180"/>
      <w:divBdr>
        <w:top w:val="none" w:sz="0" w:space="0" w:color="auto"/>
        <w:left w:val="none" w:sz="0" w:space="0" w:color="auto"/>
        <w:bottom w:val="none" w:sz="0" w:space="0" w:color="auto"/>
        <w:right w:val="none" w:sz="0" w:space="0" w:color="auto"/>
      </w:divBdr>
    </w:div>
    <w:div w:id="1288126388">
      <w:marLeft w:val="0"/>
      <w:marRight w:val="0"/>
      <w:marTop w:val="0"/>
      <w:marBottom w:val="0"/>
      <w:divBdr>
        <w:top w:val="none" w:sz="0" w:space="0" w:color="auto"/>
        <w:left w:val="none" w:sz="0" w:space="0" w:color="auto"/>
        <w:bottom w:val="none" w:sz="0" w:space="0" w:color="auto"/>
        <w:right w:val="none" w:sz="0" w:space="0" w:color="auto"/>
      </w:divBdr>
    </w:div>
    <w:div w:id="1288271232">
      <w:marLeft w:val="0"/>
      <w:marRight w:val="0"/>
      <w:marTop w:val="0"/>
      <w:marBottom w:val="180"/>
      <w:divBdr>
        <w:top w:val="none" w:sz="0" w:space="0" w:color="auto"/>
        <w:left w:val="none" w:sz="0" w:space="0" w:color="auto"/>
        <w:bottom w:val="none" w:sz="0" w:space="0" w:color="auto"/>
        <w:right w:val="none" w:sz="0" w:space="0" w:color="auto"/>
      </w:divBdr>
    </w:div>
    <w:div w:id="1288506168">
      <w:marLeft w:val="0"/>
      <w:marRight w:val="0"/>
      <w:marTop w:val="0"/>
      <w:marBottom w:val="0"/>
      <w:divBdr>
        <w:top w:val="none" w:sz="0" w:space="0" w:color="auto"/>
        <w:left w:val="none" w:sz="0" w:space="0" w:color="auto"/>
        <w:bottom w:val="none" w:sz="0" w:space="0" w:color="auto"/>
        <w:right w:val="none" w:sz="0" w:space="0" w:color="auto"/>
      </w:divBdr>
      <w:divsChild>
        <w:div w:id="576668972">
          <w:marLeft w:val="0"/>
          <w:marRight w:val="0"/>
          <w:marTop w:val="0"/>
          <w:marBottom w:val="0"/>
          <w:divBdr>
            <w:top w:val="none" w:sz="0" w:space="0" w:color="auto"/>
            <w:left w:val="none" w:sz="0" w:space="0" w:color="auto"/>
            <w:bottom w:val="none" w:sz="0" w:space="0" w:color="auto"/>
            <w:right w:val="none" w:sz="0" w:space="0" w:color="auto"/>
          </w:divBdr>
        </w:div>
      </w:divsChild>
    </w:div>
    <w:div w:id="1289050247">
      <w:marLeft w:val="0"/>
      <w:marRight w:val="0"/>
      <w:marTop w:val="0"/>
      <w:marBottom w:val="240"/>
      <w:divBdr>
        <w:top w:val="none" w:sz="0" w:space="0" w:color="auto"/>
        <w:left w:val="none" w:sz="0" w:space="0" w:color="auto"/>
        <w:bottom w:val="none" w:sz="0" w:space="0" w:color="auto"/>
        <w:right w:val="none" w:sz="0" w:space="0" w:color="auto"/>
      </w:divBdr>
    </w:div>
    <w:div w:id="1289436584">
      <w:marLeft w:val="0"/>
      <w:marRight w:val="0"/>
      <w:marTop w:val="0"/>
      <w:marBottom w:val="180"/>
      <w:divBdr>
        <w:top w:val="none" w:sz="0" w:space="0" w:color="auto"/>
        <w:left w:val="none" w:sz="0" w:space="0" w:color="auto"/>
        <w:bottom w:val="none" w:sz="0" w:space="0" w:color="auto"/>
        <w:right w:val="none" w:sz="0" w:space="0" w:color="auto"/>
      </w:divBdr>
    </w:div>
    <w:div w:id="1289823025">
      <w:marLeft w:val="0"/>
      <w:marRight w:val="0"/>
      <w:marTop w:val="0"/>
      <w:marBottom w:val="180"/>
      <w:divBdr>
        <w:top w:val="none" w:sz="0" w:space="0" w:color="auto"/>
        <w:left w:val="none" w:sz="0" w:space="0" w:color="auto"/>
        <w:bottom w:val="none" w:sz="0" w:space="0" w:color="auto"/>
        <w:right w:val="none" w:sz="0" w:space="0" w:color="auto"/>
      </w:divBdr>
    </w:div>
    <w:div w:id="1290741054">
      <w:marLeft w:val="0"/>
      <w:marRight w:val="0"/>
      <w:marTop w:val="0"/>
      <w:marBottom w:val="240"/>
      <w:divBdr>
        <w:top w:val="none" w:sz="0" w:space="0" w:color="auto"/>
        <w:left w:val="none" w:sz="0" w:space="0" w:color="auto"/>
        <w:bottom w:val="none" w:sz="0" w:space="0" w:color="auto"/>
        <w:right w:val="none" w:sz="0" w:space="0" w:color="auto"/>
      </w:divBdr>
    </w:div>
    <w:div w:id="1291860954">
      <w:marLeft w:val="0"/>
      <w:marRight w:val="0"/>
      <w:marTop w:val="0"/>
      <w:marBottom w:val="0"/>
      <w:divBdr>
        <w:top w:val="none" w:sz="0" w:space="0" w:color="auto"/>
        <w:left w:val="none" w:sz="0" w:space="0" w:color="auto"/>
        <w:bottom w:val="none" w:sz="0" w:space="0" w:color="auto"/>
        <w:right w:val="none" w:sz="0" w:space="0" w:color="auto"/>
      </w:divBdr>
    </w:div>
    <w:div w:id="1293633648">
      <w:marLeft w:val="0"/>
      <w:marRight w:val="0"/>
      <w:marTop w:val="0"/>
      <w:marBottom w:val="180"/>
      <w:divBdr>
        <w:top w:val="none" w:sz="0" w:space="0" w:color="auto"/>
        <w:left w:val="none" w:sz="0" w:space="0" w:color="auto"/>
        <w:bottom w:val="none" w:sz="0" w:space="0" w:color="auto"/>
        <w:right w:val="none" w:sz="0" w:space="0" w:color="auto"/>
      </w:divBdr>
    </w:div>
    <w:div w:id="1293825717">
      <w:marLeft w:val="0"/>
      <w:marRight w:val="0"/>
      <w:marTop w:val="0"/>
      <w:marBottom w:val="0"/>
      <w:divBdr>
        <w:top w:val="none" w:sz="0" w:space="0" w:color="auto"/>
        <w:left w:val="none" w:sz="0" w:space="0" w:color="auto"/>
        <w:bottom w:val="none" w:sz="0" w:space="0" w:color="auto"/>
        <w:right w:val="none" w:sz="0" w:space="0" w:color="auto"/>
      </w:divBdr>
    </w:div>
    <w:div w:id="1294479204">
      <w:marLeft w:val="0"/>
      <w:marRight w:val="0"/>
      <w:marTop w:val="0"/>
      <w:marBottom w:val="240"/>
      <w:divBdr>
        <w:top w:val="none" w:sz="0" w:space="0" w:color="auto"/>
        <w:left w:val="none" w:sz="0" w:space="0" w:color="auto"/>
        <w:bottom w:val="none" w:sz="0" w:space="0" w:color="auto"/>
        <w:right w:val="none" w:sz="0" w:space="0" w:color="auto"/>
      </w:divBdr>
    </w:div>
    <w:div w:id="1294679569">
      <w:marLeft w:val="0"/>
      <w:marRight w:val="0"/>
      <w:marTop w:val="0"/>
      <w:marBottom w:val="0"/>
      <w:divBdr>
        <w:top w:val="none" w:sz="0" w:space="0" w:color="auto"/>
        <w:left w:val="none" w:sz="0" w:space="0" w:color="auto"/>
        <w:bottom w:val="none" w:sz="0" w:space="0" w:color="auto"/>
        <w:right w:val="none" w:sz="0" w:space="0" w:color="auto"/>
      </w:divBdr>
    </w:div>
    <w:div w:id="1295910505">
      <w:marLeft w:val="0"/>
      <w:marRight w:val="0"/>
      <w:marTop w:val="0"/>
      <w:marBottom w:val="180"/>
      <w:divBdr>
        <w:top w:val="none" w:sz="0" w:space="0" w:color="auto"/>
        <w:left w:val="none" w:sz="0" w:space="0" w:color="auto"/>
        <w:bottom w:val="none" w:sz="0" w:space="0" w:color="auto"/>
        <w:right w:val="none" w:sz="0" w:space="0" w:color="auto"/>
      </w:divBdr>
    </w:div>
    <w:div w:id="1299725253">
      <w:marLeft w:val="0"/>
      <w:marRight w:val="0"/>
      <w:marTop w:val="180"/>
      <w:marBottom w:val="180"/>
      <w:divBdr>
        <w:top w:val="none" w:sz="0" w:space="0" w:color="auto"/>
        <w:left w:val="none" w:sz="0" w:space="0" w:color="auto"/>
        <w:bottom w:val="none" w:sz="0" w:space="0" w:color="auto"/>
        <w:right w:val="none" w:sz="0" w:space="0" w:color="auto"/>
      </w:divBdr>
    </w:div>
    <w:div w:id="1299994453">
      <w:marLeft w:val="0"/>
      <w:marRight w:val="0"/>
      <w:marTop w:val="0"/>
      <w:marBottom w:val="0"/>
      <w:divBdr>
        <w:top w:val="none" w:sz="0" w:space="0" w:color="auto"/>
        <w:left w:val="none" w:sz="0" w:space="0" w:color="auto"/>
        <w:bottom w:val="none" w:sz="0" w:space="0" w:color="auto"/>
        <w:right w:val="none" w:sz="0" w:space="0" w:color="auto"/>
      </w:divBdr>
      <w:divsChild>
        <w:div w:id="710223907">
          <w:marLeft w:val="0"/>
          <w:marRight w:val="0"/>
          <w:marTop w:val="0"/>
          <w:marBottom w:val="0"/>
          <w:divBdr>
            <w:top w:val="none" w:sz="0" w:space="0" w:color="auto"/>
            <w:left w:val="none" w:sz="0" w:space="0" w:color="auto"/>
            <w:bottom w:val="none" w:sz="0" w:space="0" w:color="auto"/>
            <w:right w:val="none" w:sz="0" w:space="0" w:color="auto"/>
          </w:divBdr>
        </w:div>
      </w:divsChild>
    </w:div>
    <w:div w:id="1303582313">
      <w:marLeft w:val="0"/>
      <w:marRight w:val="0"/>
      <w:marTop w:val="0"/>
      <w:marBottom w:val="0"/>
      <w:divBdr>
        <w:top w:val="none" w:sz="0" w:space="0" w:color="auto"/>
        <w:left w:val="none" w:sz="0" w:space="0" w:color="auto"/>
        <w:bottom w:val="none" w:sz="0" w:space="0" w:color="auto"/>
        <w:right w:val="none" w:sz="0" w:space="0" w:color="auto"/>
      </w:divBdr>
    </w:div>
    <w:div w:id="1303583740">
      <w:marLeft w:val="0"/>
      <w:marRight w:val="0"/>
      <w:marTop w:val="100"/>
      <w:marBottom w:val="0"/>
      <w:divBdr>
        <w:top w:val="none" w:sz="0" w:space="0" w:color="auto"/>
        <w:left w:val="none" w:sz="0" w:space="0" w:color="auto"/>
        <w:bottom w:val="none" w:sz="0" w:space="0" w:color="auto"/>
        <w:right w:val="none" w:sz="0" w:space="0" w:color="auto"/>
      </w:divBdr>
    </w:div>
    <w:div w:id="1303849949">
      <w:marLeft w:val="0"/>
      <w:marRight w:val="0"/>
      <w:marTop w:val="0"/>
      <w:marBottom w:val="0"/>
      <w:divBdr>
        <w:top w:val="none" w:sz="0" w:space="0" w:color="auto"/>
        <w:left w:val="none" w:sz="0" w:space="0" w:color="auto"/>
        <w:bottom w:val="none" w:sz="0" w:space="0" w:color="auto"/>
        <w:right w:val="none" w:sz="0" w:space="0" w:color="auto"/>
      </w:divBdr>
    </w:div>
    <w:div w:id="1304382371">
      <w:marLeft w:val="0"/>
      <w:marRight w:val="0"/>
      <w:marTop w:val="0"/>
      <w:marBottom w:val="240"/>
      <w:divBdr>
        <w:top w:val="none" w:sz="0" w:space="0" w:color="auto"/>
        <w:left w:val="none" w:sz="0" w:space="0" w:color="auto"/>
        <w:bottom w:val="none" w:sz="0" w:space="0" w:color="auto"/>
        <w:right w:val="none" w:sz="0" w:space="0" w:color="auto"/>
      </w:divBdr>
    </w:div>
    <w:div w:id="1304887313">
      <w:marLeft w:val="0"/>
      <w:marRight w:val="0"/>
      <w:marTop w:val="0"/>
      <w:marBottom w:val="180"/>
      <w:divBdr>
        <w:top w:val="none" w:sz="0" w:space="0" w:color="auto"/>
        <w:left w:val="none" w:sz="0" w:space="0" w:color="auto"/>
        <w:bottom w:val="none" w:sz="0" w:space="0" w:color="auto"/>
        <w:right w:val="none" w:sz="0" w:space="0" w:color="auto"/>
      </w:divBdr>
    </w:div>
    <w:div w:id="1305701403">
      <w:marLeft w:val="0"/>
      <w:marRight w:val="0"/>
      <w:marTop w:val="0"/>
      <w:marBottom w:val="0"/>
      <w:divBdr>
        <w:top w:val="none" w:sz="0" w:space="0" w:color="auto"/>
        <w:left w:val="none" w:sz="0" w:space="0" w:color="auto"/>
        <w:bottom w:val="none" w:sz="0" w:space="0" w:color="auto"/>
        <w:right w:val="none" w:sz="0" w:space="0" w:color="auto"/>
      </w:divBdr>
    </w:div>
    <w:div w:id="1305963470">
      <w:marLeft w:val="0"/>
      <w:marRight w:val="0"/>
      <w:marTop w:val="0"/>
      <w:marBottom w:val="0"/>
      <w:divBdr>
        <w:top w:val="none" w:sz="0" w:space="0" w:color="auto"/>
        <w:left w:val="none" w:sz="0" w:space="0" w:color="auto"/>
        <w:bottom w:val="none" w:sz="0" w:space="0" w:color="auto"/>
        <w:right w:val="none" w:sz="0" w:space="0" w:color="auto"/>
      </w:divBdr>
      <w:divsChild>
        <w:div w:id="191455447">
          <w:marLeft w:val="0"/>
          <w:marRight w:val="0"/>
          <w:marTop w:val="0"/>
          <w:marBottom w:val="0"/>
          <w:divBdr>
            <w:top w:val="none" w:sz="0" w:space="0" w:color="auto"/>
            <w:left w:val="none" w:sz="0" w:space="0" w:color="auto"/>
            <w:bottom w:val="none" w:sz="0" w:space="0" w:color="auto"/>
            <w:right w:val="none" w:sz="0" w:space="0" w:color="auto"/>
          </w:divBdr>
        </w:div>
      </w:divsChild>
    </w:div>
    <w:div w:id="1307975318">
      <w:marLeft w:val="0"/>
      <w:marRight w:val="0"/>
      <w:marTop w:val="180"/>
      <w:marBottom w:val="180"/>
      <w:divBdr>
        <w:top w:val="none" w:sz="0" w:space="0" w:color="auto"/>
        <w:left w:val="none" w:sz="0" w:space="0" w:color="auto"/>
        <w:bottom w:val="none" w:sz="0" w:space="0" w:color="auto"/>
        <w:right w:val="none" w:sz="0" w:space="0" w:color="auto"/>
      </w:divBdr>
    </w:div>
    <w:div w:id="1308365315">
      <w:marLeft w:val="0"/>
      <w:marRight w:val="0"/>
      <w:marTop w:val="0"/>
      <w:marBottom w:val="0"/>
      <w:divBdr>
        <w:top w:val="none" w:sz="0" w:space="0" w:color="auto"/>
        <w:left w:val="none" w:sz="0" w:space="0" w:color="auto"/>
        <w:bottom w:val="none" w:sz="0" w:space="0" w:color="auto"/>
        <w:right w:val="none" w:sz="0" w:space="0" w:color="auto"/>
      </w:divBdr>
    </w:div>
    <w:div w:id="1309287522">
      <w:marLeft w:val="0"/>
      <w:marRight w:val="0"/>
      <w:marTop w:val="0"/>
      <w:marBottom w:val="180"/>
      <w:divBdr>
        <w:top w:val="none" w:sz="0" w:space="0" w:color="auto"/>
        <w:left w:val="none" w:sz="0" w:space="0" w:color="auto"/>
        <w:bottom w:val="none" w:sz="0" w:space="0" w:color="auto"/>
        <w:right w:val="none" w:sz="0" w:space="0" w:color="auto"/>
      </w:divBdr>
    </w:div>
    <w:div w:id="1310019695">
      <w:marLeft w:val="0"/>
      <w:marRight w:val="0"/>
      <w:marTop w:val="0"/>
      <w:marBottom w:val="240"/>
      <w:divBdr>
        <w:top w:val="none" w:sz="0" w:space="0" w:color="auto"/>
        <w:left w:val="none" w:sz="0" w:space="0" w:color="auto"/>
        <w:bottom w:val="none" w:sz="0" w:space="0" w:color="auto"/>
        <w:right w:val="none" w:sz="0" w:space="0" w:color="auto"/>
      </w:divBdr>
    </w:div>
    <w:div w:id="1310475966">
      <w:marLeft w:val="0"/>
      <w:marRight w:val="0"/>
      <w:marTop w:val="100"/>
      <w:marBottom w:val="0"/>
      <w:divBdr>
        <w:top w:val="none" w:sz="0" w:space="0" w:color="auto"/>
        <w:left w:val="none" w:sz="0" w:space="0" w:color="auto"/>
        <w:bottom w:val="none" w:sz="0" w:space="0" w:color="auto"/>
        <w:right w:val="none" w:sz="0" w:space="0" w:color="auto"/>
      </w:divBdr>
      <w:divsChild>
        <w:div w:id="1847745934">
          <w:marLeft w:val="0"/>
          <w:marRight w:val="0"/>
          <w:marTop w:val="0"/>
          <w:marBottom w:val="0"/>
          <w:divBdr>
            <w:top w:val="none" w:sz="0" w:space="0" w:color="auto"/>
            <w:left w:val="none" w:sz="0" w:space="0" w:color="auto"/>
            <w:bottom w:val="none" w:sz="0" w:space="0" w:color="auto"/>
            <w:right w:val="none" w:sz="0" w:space="0" w:color="auto"/>
          </w:divBdr>
        </w:div>
      </w:divsChild>
    </w:div>
    <w:div w:id="1311519872">
      <w:marLeft w:val="0"/>
      <w:marRight w:val="0"/>
      <w:marTop w:val="100"/>
      <w:marBottom w:val="180"/>
      <w:divBdr>
        <w:top w:val="none" w:sz="0" w:space="0" w:color="auto"/>
        <w:left w:val="none" w:sz="0" w:space="0" w:color="auto"/>
        <w:bottom w:val="none" w:sz="0" w:space="0" w:color="auto"/>
        <w:right w:val="none" w:sz="0" w:space="0" w:color="auto"/>
      </w:divBdr>
    </w:div>
    <w:div w:id="1311862397">
      <w:marLeft w:val="0"/>
      <w:marRight w:val="0"/>
      <w:marTop w:val="120"/>
      <w:marBottom w:val="120"/>
      <w:divBdr>
        <w:top w:val="none" w:sz="0" w:space="0" w:color="auto"/>
        <w:left w:val="none" w:sz="0" w:space="0" w:color="auto"/>
        <w:bottom w:val="none" w:sz="0" w:space="0" w:color="auto"/>
        <w:right w:val="none" w:sz="0" w:space="0" w:color="auto"/>
      </w:divBdr>
    </w:div>
    <w:div w:id="1312710060">
      <w:marLeft w:val="0"/>
      <w:marRight w:val="0"/>
      <w:marTop w:val="0"/>
      <w:marBottom w:val="0"/>
      <w:divBdr>
        <w:top w:val="none" w:sz="0" w:space="0" w:color="auto"/>
        <w:left w:val="none" w:sz="0" w:space="0" w:color="auto"/>
        <w:bottom w:val="none" w:sz="0" w:space="0" w:color="auto"/>
        <w:right w:val="none" w:sz="0" w:space="0" w:color="auto"/>
      </w:divBdr>
    </w:div>
    <w:div w:id="1313364297">
      <w:marLeft w:val="0"/>
      <w:marRight w:val="0"/>
      <w:marTop w:val="0"/>
      <w:marBottom w:val="180"/>
      <w:divBdr>
        <w:top w:val="none" w:sz="0" w:space="0" w:color="auto"/>
        <w:left w:val="none" w:sz="0" w:space="0" w:color="auto"/>
        <w:bottom w:val="none" w:sz="0" w:space="0" w:color="auto"/>
        <w:right w:val="none" w:sz="0" w:space="0" w:color="auto"/>
      </w:divBdr>
    </w:div>
    <w:div w:id="1315334320">
      <w:marLeft w:val="0"/>
      <w:marRight w:val="0"/>
      <w:marTop w:val="0"/>
      <w:marBottom w:val="0"/>
      <w:divBdr>
        <w:top w:val="none" w:sz="0" w:space="0" w:color="auto"/>
        <w:left w:val="none" w:sz="0" w:space="0" w:color="auto"/>
        <w:bottom w:val="none" w:sz="0" w:space="0" w:color="auto"/>
        <w:right w:val="none" w:sz="0" w:space="0" w:color="auto"/>
      </w:divBdr>
      <w:divsChild>
        <w:div w:id="1795054790">
          <w:marLeft w:val="0"/>
          <w:marRight w:val="0"/>
          <w:marTop w:val="0"/>
          <w:marBottom w:val="0"/>
          <w:divBdr>
            <w:top w:val="none" w:sz="0" w:space="0" w:color="auto"/>
            <w:left w:val="none" w:sz="0" w:space="0" w:color="auto"/>
            <w:bottom w:val="none" w:sz="0" w:space="0" w:color="auto"/>
            <w:right w:val="none" w:sz="0" w:space="0" w:color="auto"/>
          </w:divBdr>
        </w:div>
      </w:divsChild>
    </w:div>
    <w:div w:id="1315335100">
      <w:marLeft w:val="0"/>
      <w:marRight w:val="0"/>
      <w:marTop w:val="0"/>
      <w:marBottom w:val="240"/>
      <w:divBdr>
        <w:top w:val="none" w:sz="0" w:space="0" w:color="auto"/>
        <w:left w:val="none" w:sz="0" w:space="0" w:color="auto"/>
        <w:bottom w:val="none" w:sz="0" w:space="0" w:color="auto"/>
        <w:right w:val="none" w:sz="0" w:space="0" w:color="auto"/>
      </w:divBdr>
    </w:div>
    <w:div w:id="1316573178">
      <w:marLeft w:val="0"/>
      <w:marRight w:val="0"/>
      <w:marTop w:val="0"/>
      <w:marBottom w:val="0"/>
      <w:divBdr>
        <w:top w:val="none" w:sz="0" w:space="0" w:color="auto"/>
        <w:left w:val="none" w:sz="0" w:space="0" w:color="auto"/>
        <w:bottom w:val="none" w:sz="0" w:space="0" w:color="auto"/>
        <w:right w:val="none" w:sz="0" w:space="0" w:color="auto"/>
      </w:divBdr>
      <w:divsChild>
        <w:div w:id="1292902167">
          <w:marLeft w:val="0"/>
          <w:marRight w:val="0"/>
          <w:marTop w:val="0"/>
          <w:marBottom w:val="0"/>
          <w:divBdr>
            <w:top w:val="none" w:sz="0" w:space="0" w:color="auto"/>
            <w:left w:val="none" w:sz="0" w:space="0" w:color="auto"/>
            <w:bottom w:val="none" w:sz="0" w:space="0" w:color="auto"/>
            <w:right w:val="none" w:sz="0" w:space="0" w:color="auto"/>
          </w:divBdr>
        </w:div>
      </w:divsChild>
    </w:div>
    <w:div w:id="1316835524">
      <w:marLeft w:val="0"/>
      <w:marRight w:val="0"/>
      <w:marTop w:val="0"/>
      <w:marBottom w:val="180"/>
      <w:divBdr>
        <w:top w:val="none" w:sz="0" w:space="0" w:color="auto"/>
        <w:left w:val="none" w:sz="0" w:space="0" w:color="auto"/>
        <w:bottom w:val="none" w:sz="0" w:space="0" w:color="auto"/>
        <w:right w:val="none" w:sz="0" w:space="0" w:color="auto"/>
      </w:divBdr>
    </w:div>
    <w:div w:id="1317146058">
      <w:marLeft w:val="0"/>
      <w:marRight w:val="0"/>
      <w:marTop w:val="0"/>
      <w:marBottom w:val="240"/>
      <w:divBdr>
        <w:top w:val="none" w:sz="0" w:space="0" w:color="auto"/>
        <w:left w:val="none" w:sz="0" w:space="0" w:color="auto"/>
        <w:bottom w:val="none" w:sz="0" w:space="0" w:color="auto"/>
        <w:right w:val="none" w:sz="0" w:space="0" w:color="auto"/>
      </w:divBdr>
    </w:div>
    <w:div w:id="1317496957">
      <w:marLeft w:val="0"/>
      <w:marRight w:val="0"/>
      <w:marTop w:val="0"/>
      <w:marBottom w:val="240"/>
      <w:divBdr>
        <w:top w:val="none" w:sz="0" w:space="0" w:color="auto"/>
        <w:left w:val="none" w:sz="0" w:space="0" w:color="auto"/>
        <w:bottom w:val="none" w:sz="0" w:space="0" w:color="auto"/>
        <w:right w:val="none" w:sz="0" w:space="0" w:color="auto"/>
      </w:divBdr>
    </w:div>
    <w:div w:id="1317608287">
      <w:marLeft w:val="0"/>
      <w:marRight w:val="0"/>
      <w:marTop w:val="180"/>
      <w:marBottom w:val="180"/>
      <w:divBdr>
        <w:top w:val="none" w:sz="0" w:space="0" w:color="auto"/>
        <w:left w:val="none" w:sz="0" w:space="0" w:color="auto"/>
        <w:bottom w:val="none" w:sz="0" w:space="0" w:color="auto"/>
        <w:right w:val="none" w:sz="0" w:space="0" w:color="auto"/>
      </w:divBdr>
    </w:div>
    <w:div w:id="1317612459">
      <w:marLeft w:val="0"/>
      <w:marRight w:val="0"/>
      <w:marTop w:val="180"/>
      <w:marBottom w:val="240"/>
      <w:divBdr>
        <w:top w:val="none" w:sz="0" w:space="0" w:color="auto"/>
        <w:left w:val="none" w:sz="0" w:space="0" w:color="auto"/>
        <w:bottom w:val="none" w:sz="0" w:space="0" w:color="auto"/>
        <w:right w:val="none" w:sz="0" w:space="0" w:color="auto"/>
      </w:divBdr>
    </w:div>
    <w:div w:id="1318416716">
      <w:marLeft w:val="0"/>
      <w:marRight w:val="0"/>
      <w:marTop w:val="0"/>
      <w:marBottom w:val="0"/>
      <w:divBdr>
        <w:top w:val="none" w:sz="0" w:space="0" w:color="auto"/>
        <w:left w:val="none" w:sz="0" w:space="0" w:color="auto"/>
        <w:bottom w:val="none" w:sz="0" w:space="0" w:color="auto"/>
        <w:right w:val="none" w:sz="0" w:space="0" w:color="auto"/>
      </w:divBdr>
      <w:divsChild>
        <w:div w:id="544610057">
          <w:marLeft w:val="0"/>
          <w:marRight w:val="0"/>
          <w:marTop w:val="0"/>
          <w:marBottom w:val="0"/>
          <w:divBdr>
            <w:top w:val="none" w:sz="0" w:space="0" w:color="auto"/>
            <w:left w:val="none" w:sz="0" w:space="0" w:color="auto"/>
            <w:bottom w:val="none" w:sz="0" w:space="0" w:color="auto"/>
            <w:right w:val="none" w:sz="0" w:space="0" w:color="auto"/>
          </w:divBdr>
        </w:div>
      </w:divsChild>
    </w:div>
    <w:div w:id="1318456465">
      <w:marLeft w:val="0"/>
      <w:marRight w:val="0"/>
      <w:marTop w:val="0"/>
      <w:marBottom w:val="240"/>
      <w:divBdr>
        <w:top w:val="none" w:sz="0" w:space="0" w:color="auto"/>
        <w:left w:val="none" w:sz="0" w:space="0" w:color="auto"/>
        <w:bottom w:val="none" w:sz="0" w:space="0" w:color="auto"/>
        <w:right w:val="none" w:sz="0" w:space="0" w:color="auto"/>
      </w:divBdr>
    </w:div>
    <w:div w:id="1318611302">
      <w:marLeft w:val="0"/>
      <w:marRight w:val="0"/>
      <w:marTop w:val="0"/>
      <w:marBottom w:val="0"/>
      <w:divBdr>
        <w:top w:val="none" w:sz="0" w:space="0" w:color="auto"/>
        <w:left w:val="none" w:sz="0" w:space="0" w:color="auto"/>
        <w:bottom w:val="none" w:sz="0" w:space="0" w:color="auto"/>
        <w:right w:val="none" w:sz="0" w:space="0" w:color="auto"/>
      </w:divBdr>
    </w:div>
    <w:div w:id="1318614191">
      <w:marLeft w:val="0"/>
      <w:marRight w:val="0"/>
      <w:marTop w:val="0"/>
      <w:marBottom w:val="0"/>
      <w:divBdr>
        <w:top w:val="none" w:sz="0" w:space="0" w:color="auto"/>
        <w:left w:val="none" w:sz="0" w:space="0" w:color="auto"/>
        <w:bottom w:val="none" w:sz="0" w:space="0" w:color="auto"/>
        <w:right w:val="none" w:sz="0" w:space="0" w:color="auto"/>
      </w:divBdr>
      <w:divsChild>
        <w:div w:id="1602840205">
          <w:marLeft w:val="0"/>
          <w:marRight w:val="0"/>
          <w:marTop w:val="0"/>
          <w:marBottom w:val="0"/>
          <w:divBdr>
            <w:top w:val="none" w:sz="0" w:space="0" w:color="auto"/>
            <w:left w:val="none" w:sz="0" w:space="0" w:color="auto"/>
            <w:bottom w:val="none" w:sz="0" w:space="0" w:color="auto"/>
            <w:right w:val="none" w:sz="0" w:space="0" w:color="auto"/>
          </w:divBdr>
        </w:div>
      </w:divsChild>
    </w:div>
    <w:div w:id="1319505234">
      <w:marLeft w:val="0"/>
      <w:marRight w:val="0"/>
      <w:marTop w:val="0"/>
      <w:marBottom w:val="0"/>
      <w:divBdr>
        <w:top w:val="none" w:sz="0" w:space="0" w:color="auto"/>
        <w:left w:val="none" w:sz="0" w:space="0" w:color="auto"/>
        <w:bottom w:val="none" w:sz="0" w:space="0" w:color="auto"/>
        <w:right w:val="none" w:sz="0" w:space="0" w:color="auto"/>
      </w:divBdr>
      <w:divsChild>
        <w:div w:id="631446635">
          <w:marLeft w:val="0"/>
          <w:marRight w:val="0"/>
          <w:marTop w:val="0"/>
          <w:marBottom w:val="0"/>
          <w:divBdr>
            <w:top w:val="none" w:sz="0" w:space="0" w:color="auto"/>
            <w:left w:val="none" w:sz="0" w:space="0" w:color="auto"/>
            <w:bottom w:val="none" w:sz="0" w:space="0" w:color="auto"/>
            <w:right w:val="none" w:sz="0" w:space="0" w:color="auto"/>
          </w:divBdr>
        </w:div>
      </w:divsChild>
    </w:div>
    <w:div w:id="1319768014">
      <w:marLeft w:val="0"/>
      <w:marRight w:val="0"/>
      <w:marTop w:val="0"/>
      <w:marBottom w:val="180"/>
      <w:divBdr>
        <w:top w:val="none" w:sz="0" w:space="0" w:color="auto"/>
        <w:left w:val="none" w:sz="0" w:space="0" w:color="auto"/>
        <w:bottom w:val="none" w:sz="0" w:space="0" w:color="auto"/>
        <w:right w:val="none" w:sz="0" w:space="0" w:color="auto"/>
      </w:divBdr>
    </w:div>
    <w:div w:id="1319844891">
      <w:marLeft w:val="0"/>
      <w:marRight w:val="0"/>
      <w:marTop w:val="0"/>
      <w:marBottom w:val="0"/>
      <w:divBdr>
        <w:top w:val="none" w:sz="0" w:space="0" w:color="auto"/>
        <w:left w:val="none" w:sz="0" w:space="0" w:color="auto"/>
        <w:bottom w:val="none" w:sz="0" w:space="0" w:color="auto"/>
        <w:right w:val="none" w:sz="0" w:space="0" w:color="auto"/>
      </w:divBdr>
      <w:divsChild>
        <w:div w:id="1191069433">
          <w:marLeft w:val="0"/>
          <w:marRight w:val="0"/>
          <w:marTop w:val="0"/>
          <w:marBottom w:val="0"/>
          <w:divBdr>
            <w:top w:val="none" w:sz="0" w:space="0" w:color="auto"/>
            <w:left w:val="none" w:sz="0" w:space="0" w:color="auto"/>
            <w:bottom w:val="none" w:sz="0" w:space="0" w:color="auto"/>
            <w:right w:val="none" w:sz="0" w:space="0" w:color="auto"/>
          </w:divBdr>
        </w:div>
      </w:divsChild>
    </w:div>
    <w:div w:id="1320502982">
      <w:marLeft w:val="0"/>
      <w:marRight w:val="0"/>
      <w:marTop w:val="0"/>
      <w:marBottom w:val="240"/>
      <w:divBdr>
        <w:top w:val="none" w:sz="0" w:space="0" w:color="auto"/>
        <w:left w:val="none" w:sz="0" w:space="0" w:color="auto"/>
        <w:bottom w:val="none" w:sz="0" w:space="0" w:color="auto"/>
        <w:right w:val="none" w:sz="0" w:space="0" w:color="auto"/>
      </w:divBdr>
    </w:div>
    <w:div w:id="1321034546">
      <w:marLeft w:val="0"/>
      <w:marRight w:val="0"/>
      <w:marTop w:val="0"/>
      <w:marBottom w:val="180"/>
      <w:divBdr>
        <w:top w:val="none" w:sz="0" w:space="0" w:color="auto"/>
        <w:left w:val="none" w:sz="0" w:space="0" w:color="auto"/>
        <w:bottom w:val="none" w:sz="0" w:space="0" w:color="auto"/>
        <w:right w:val="none" w:sz="0" w:space="0" w:color="auto"/>
      </w:divBdr>
    </w:div>
    <w:div w:id="1321273177">
      <w:marLeft w:val="0"/>
      <w:marRight w:val="0"/>
      <w:marTop w:val="0"/>
      <w:marBottom w:val="0"/>
      <w:divBdr>
        <w:top w:val="none" w:sz="0" w:space="0" w:color="auto"/>
        <w:left w:val="none" w:sz="0" w:space="0" w:color="auto"/>
        <w:bottom w:val="none" w:sz="0" w:space="0" w:color="auto"/>
        <w:right w:val="none" w:sz="0" w:space="0" w:color="auto"/>
      </w:divBdr>
    </w:div>
    <w:div w:id="1321273844">
      <w:marLeft w:val="0"/>
      <w:marRight w:val="0"/>
      <w:marTop w:val="0"/>
      <w:marBottom w:val="0"/>
      <w:divBdr>
        <w:top w:val="none" w:sz="0" w:space="0" w:color="auto"/>
        <w:left w:val="none" w:sz="0" w:space="0" w:color="auto"/>
        <w:bottom w:val="none" w:sz="0" w:space="0" w:color="auto"/>
        <w:right w:val="none" w:sz="0" w:space="0" w:color="auto"/>
      </w:divBdr>
      <w:divsChild>
        <w:div w:id="475419402">
          <w:marLeft w:val="0"/>
          <w:marRight w:val="0"/>
          <w:marTop w:val="0"/>
          <w:marBottom w:val="0"/>
          <w:divBdr>
            <w:top w:val="none" w:sz="0" w:space="0" w:color="auto"/>
            <w:left w:val="none" w:sz="0" w:space="0" w:color="auto"/>
            <w:bottom w:val="none" w:sz="0" w:space="0" w:color="auto"/>
            <w:right w:val="none" w:sz="0" w:space="0" w:color="auto"/>
          </w:divBdr>
        </w:div>
      </w:divsChild>
    </w:div>
    <w:div w:id="1321884276">
      <w:marLeft w:val="0"/>
      <w:marRight w:val="0"/>
      <w:marTop w:val="0"/>
      <w:marBottom w:val="180"/>
      <w:divBdr>
        <w:top w:val="none" w:sz="0" w:space="0" w:color="auto"/>
        <w:left w:val="none" w:sz="0" w:space="0" w:color="auto"/>
        <w:bottom w:val="none" w:sz="0" w:space="0" w:color="auto"/>
        <w:right w:val="none" w:sz="0" w:space="0" w:color="auto"/>
      </w:divBdr>
    </w:div>
    <w:div w:id="1322078980">
      <w:marLeft w:val="0"/>
      <w:marRight w:val="0"/>
      <w:marTop w:val="0"/>
      <w:marBottom w:val="0"/>
      <w:divBdr>
        <w:top w:val="none" w:sz="0" w:space="0" w:color="auto"/>
        <w:left w:val="none" w:sz="0" w:space="0" w:color="auto"/>
        <w:bottom w:val="none" w:sz="0" w:space="0" w:color="auto"/>
        <w:right w:val="none" w:sz="0" w:space="0" w:color="auto"/>
      </w:divBdr>
    </w:div>
    <w:div w:id="1322150073">
      <w:marLeft w:val="0"/>
      <w:marRight w:val="0"/>
      <w:marTop w:val="0"/>
      <w:marBottom w:val="0"/>
      <w:divBdr>
        <w:top w:val="none" w:sz="0" w:space="0" w:color="auto"/>
        <w:left w:val="none" w:sz="0" w:space="0" w:color="auto"/>
        <w:bottom w:val="none" w:sz="0" w:space="0" w:color="auto"/>
        <w:right w:val="none" w:sz="0" w:space="0" w:color="auto"/>
      </w:divBdr>
    </w:div>
    <w:div w:id="1322194824">
      <w:marLeft w:val="0"/>
      <w:marRight w:val="0"/>
      <w:marTop w:val="180"/>
      <w:marBottom w:val="180"/>
      <w:divBdr>
        <w:top w:val="none" w:sz="0" w:space="0" w:color="auto"/>
        <w:left w:val="none" w:sz="0" w:space="0" w:color="auto"/>
        <w:bottom w:val="none" w:sz="0" w:space="0" w:color="auto"/>
        <w:right w:val="none" w:sz="0" w:space="0" w:color="auto"/>
      </w:divBdr>
    </w:div>
    <w:div w:id="1323044523">
      <w:marLeft w:val="0"/>
      <w:marRight w:val="0"/>
      <w:marTop w:val="0"/>
      <w:marBottom w:val="240"/>
      <w:divBdr>
        <w:top w:val="none" w:sz="0" w:space="0" w:color="auto"/>
        <w:left w:val="none" w:sz="0" w:space="0" w:color="auto"/>
        <w:bottom w:val="none" w:sz="0" w:space="0" w:color="auto"/>
        <w:right w:val="none" w:sz="0" w:space="0" w:color="auto"/>
      </w:divBdr>
    </w:div>
    <w:div w:id="1323196134">
      <w:marLeft w:val="0"/>
      <w:marRight w:val="0"/>
      <w:marTop w:val="0"/>
      <w:marBottom w:val="240"/>
      <w:divBdr>
        <w:top w:val="none" w:sz="0" w:space="0" w:color="auto"/>
        <w:left w:val="none" w:sz="0" w:space="0" w:color="auto"/>
        <w:bottom w:val="none" w:sz="0" w:space="0" w:color="auto"/>
        <w:right w:val="none" w:sz="0" w:space="0" w:color="auto"/>
      </w:divBdr>
    </w:div>
    <w:div w:id="1323238148">
      <w:marLeft w:val="0"/>
      <w:marRight w:val="0"/>
      <w:marTop w:val="180"/>
      <w:marBottom w:val="180"/>
      <w:divBdr>
        <w:top w:val="none" w:sz="0" w:space="0" w:color="auto"/>
        <w:left w:val="none" w:sz="0" w:space="0" w:color="auto"/>
        <w:bottom w:val="none" w:sz="0" w:space="0" w:color="auto"/>
        <w:right w:val="none" w:sz="0" w:space="0" w:color="auto"/>
      </w:divBdr>
    </w:div>
    <w:div w:id="1323586918">
      <w:marLeft w:val="0"/>
      <w:marRight w:val="0"/>
      <w:marTop w:val="100"/>
      <w:marBottom w:val="0"/>
      <w:divBdr>
        <w:top w:val="none" w:sz="0" w:space="0" w:color="auto"/>
        <w:left w:val="none" w:sz="0" w:space="0" w:color="auto"/>
        <w:bottom w:val="none" w:sz="0" w:space="0" w:color="auto"/>
        <w:right w:val="none" w:sz="0" w:space="0" w:color="auto"/>
      </w:divBdr>
    </w:div>
    <w:div w:id="1324241853">
      <w:marLeft w:val="0"/>
      <w:marRight w:val="0"/>
      <w:marTop w:val="0"/>
      <w:marBottom w:val="240"/>
      <w:divBdr>
        <w:top w:val="none" w:sz="0" w:space="0" w:color="auto"/>
        <w:left w:val="none" w:sz="0" w:space="0" w:color="auto"/>
        <w:bottom w:val="none" w:sz="0" w:space="0" w:color="auto"/>
        <w:right w:val="none" w:sz="0" w:space="0" w:color="auto"/>
      </w:divBdr>
    </w:div>
    <w:div w:id="1324773106">
      <w:marLeft w:val="0"/>
      <w:marRight w:val="0"/>
      <w:marTop w:val="0"/>
      <w:marBottom w:val="240"/>
      <w:divBdr>
        <w:top w:val="none" w:sz="0" w:space="0" w:color="auto"/>
        <w:left w:val="none" w:sz="0" w:space="0" w:color="auto"/>
        <w:bottom w:val="none" w:sz="0" w:space="0" w:color="auto"/>
        <w:right w:val="none" w:sz="0" w:space="0" w:color="auto"/>
      </w:divBdr>
    </w:div>
    <w:div w:id="1325161656">
      <w:marLeft w:val="0"/>
      <w:marRight w:val="0"/>
      <w:marTop w:val="0"/>
      <w:marBottom w:val="240"/>
      <w:divBdr>
        <w:top w:val="none" w:sz="0" w:space="0" w:color="auto"/>
        <w:left w:val="none" w:sz="0" w:space="0" w:color="auto"/>
        <w:bottom w:val="none" w:sz="0" w:space="0" w:color="auto"/>
        <w:right w:val="none" w:sz="0" w:space="0" w:color="auto"/>
      </w:divBdr>
    </w:div>
    <w:div w:id="1325400933">
      <w:marLeft w:val="0"/>
      <w:marRight w:val="0"/>
      <w:marTop w:val="180"/>
      <w:marBottom w:val="180"/>
      <w:divBdr>
        <w:top w:val="none" w:sz="0" w:space="0" w:color="auto"/>
        <w:left w:val="none" w:sz="0" w:space="0" w:color="auto"/>
        <w:bottom w:val="none" w:sz="0" w:space="0" w:color="auto"/>
        <w:right w:val="none" w:sz="0" w:space="0" w:color="auto"/>
      </w:divBdr>
    </w:div>
    <w:div w:id="1326279778">
      <w:marLeft w:val="0"/>
      <w:marRight w:val="0"/>
      <w:marTop w:val="0"/>
      <w:marBottom w:val="0"/>
      <w:divBdr>
        <w:top w:val="none" w:sz="0" w:space="0" w:color="auto"/>
        <w:left w:val="none" w:sz="0" w:space="0" w:color="auto"/>
        <w:bottom w:val="none" w:sz="0" w:space="0" w:color="auto"/>
        <w:right w:val="none" w:sz="0" w:space="0" w:color="auto"/>
      </w:divBdr>
      <w:divsChild>
        <w:div w:id="1319112383">
          <w:marLeft w:val="0"/>
          <w:marRight w:val="0"/>
          <w:marTop w:val="0"/>
          <w:marBottom w:val="0"/>
          <w:divBdr>
            <w:top w:val="none" w:sz="0" w:space="0" w:color="auto"/>
            <w:left w:val="none" w:sz="0" w:space="0" w:color="auto"/>
            <w:bottom w:val="none" w:sz="0" w:space="0" w:color="auto"/>
            <w:right w:val="none" w:sz="0" w:space="0" w:color="auto"/>
          </w:divBdr>
        </w:div>
      </w:divsChild>
    </w:div>
    <w:div w:id="1326516080">
      <w:marLeft w:val="0"/>
      <w:marRight w:val="0"/>
      <w:marTop w:val="0"/>
      <w:marBottom w:val="240"/>
      <w:divBdr>
        <w:top w:val="none" w:sz="0" w:space="0" w:color="auto"/>
        <w:left w:val="none" w:sz="0" w:space="0" w:color="auto"/>
        <w:bottom w:val="none" w:sz="0" w:space="0" w:color="auto"/>
        <w:right w:val="none" w:sz="0" w:space="0" w:color="auto"/>
      </w:divBdr>
    </w:div>
    <w:div w:id="1326711665">
      <w:marLeft w:val="0"/>
      <w:marRight w:val="0"/>
      <w:marTop w:val="0"/>
      <w:marBottom w:val="180"/>
      <w:divBdr>
        <w:top w:val="none" w:sz="0" w:space="0" w:color="auto"/>
        <w:left w:val="none" w:sz="0" w:space="0" w:color="auto"/>
        <w:bottom w:val="none" w:sz="0" w:space="0" w:color="auto"/>
        <w:right w:val="none" w:sz="0" w:space="0" w:color="auto"/>
      </w:divBdr>
    </w:div>
    <w:div w:id="1326977951">
      <w:marLeft w:val="0"/>
      <w:marRight w:val="0"/>
      <w:marTop w:val="0"/>
      <w:marBottom w:val="0"/>
      <w:divBdr>
        <w:top w:val="none" w:sz="0" w:space="0" w:color="auto"/>
        <w:left w:val="none" w:sz="0" w:space="0" w:color="auto"/>
        <w:bottom w:val="none" w:sz="0" w:space="0" w:color="auto"/>
        <w:right w:val="none" w:sz="0" w:space="0" w:color="auto"/>
      </w:divBdr>
      <w:divsChild>
        <w:div w:id="1353149279">
          <w:marLeft w:val="0"/>
          <w:marRight w:val="0"/>
          <w:marTop w:val="0"/>
          <w:marBottom w:val="0"/>
          <w:divBdr>
            <w:top w:val="none" w:sz="0" w:space="0" w:color="auto"/>
            <w:left w:val="none" w:sz="0" w:space="0" w:color="auto"/>
            <w:bottom w:val="none" w:sz="0" w:space="0" w:color="auto"/>
            <w:right w:val="none" w:sz="0" w:space="0" w:color="auto"/>
          </w:divBdr>
        </w:div>
      </w:divsChild>
    </w:div>
    <w:div w:id="1327972164">
      <w:marLeft w:val="0"/>
      <w:marRight w:val="0"/>
      <w:marTop w:val="0"/>
      <w:marBottom w:val="0"/>
      <w:divBdr>
        <w:top w:val="none" w:sz="0" w:space="0" w:color="auto"/>
        <w:left w:val="none" w:sz="0" w:space="0" w:color="auto"/>
        <w:bottom w:val="none" w:sz="0" w:space="0" w:color="auto"/>
        <w:right w:val="none" w:sz="0" w:space="0" w:color="auto"/>
      </w:divBdr>
      <w:divsChild>
        <w:div w:id="1582442751">
          <w:marLeft w:val="0"/>
          <w:marRight w:val="0"/>
          <w:marTop w:val="0"/>
          <w:marBottom w:val="0"/>
          <w:divBdr>
            <w:top w:val="none" w:sz="0" w:space="0" w:color="auto"/>
            <w:left w:val="none" w:sz="0" w:space="0" w:color="auto"/>
            <w:bottom w:val="none" w:sz="0" w:space="0" w:color="auto"/>
            <w:right w:val="none" w:sz="0" w:space="0" w:color="auto"/>
          </w:divBdr>
        </w:div>
      </w:divsChild>
    </w:div>
    <w:div w:id="1328747118">
      <w:marLeft w:val="0"/>
      <w:marRight w:val="0"/>
      <w:marTop w:val="0"/>
      <w:marBottom w:val="240"/>
      <w:divBdr>
        <w:top w:val="none" w:sz="0" w:space="0" w:color="auto"/>
        <w:left w:val="none" w:sz="0" w:space="0" w:color="auto"/>
        <w:bottom w:val="none" w:sz="0" w:space="0" w:color="auto"/>
        <w:right w:val="none" w:sz="0" w:space="0" w:color="auto"/>
      </w:divBdr>
    </w:div>
    <w:div w:id="1328822623">
      <w:marLeft w:val="0"/>
      <w:marRight w:val="0"/>
      <w:marTop w:val="0"/>
      <w:marBottom w:val="240"/>
      <w:divBdr>
        <w:top w:val="none" w:sz="0" w:space="0" w:color="auto"/>
        <w:left w:val="none" w:sz="0" w:space="0" w:color="auto"/>
        <w:bottom w:val="none" w:sz="0" w:space="0" w:color="auto"/>
        <w:right w:val="none" w:sz="0" w:space="0" w:color="auto"/>
      </w:divBdr>
    </w:div>
    <w:div w:id="1329097807">
      <w:marLeft w:val="0"/>
      <w:marRight w:val="0"/>
      <w:marTop w:val="0"/>
      <w:marBottom w:val="180"/>
      <w:divBdr>
        <w:top w:val="none" w:sz="0" w:space="0" w:color="auto"/>
        <w:left w:val="none" w:sz="0" w:space="0" w:color="auto"/>
        <w:bottom w:val="none" w:sz="0" w:space="0" w:color="auto"/>
        <w:right w:val="none" w:sz="0" w:space="0" w:color="auto"/>
      </w:divBdr>
    </w:div>
    <w:div w:id="1329285448">
      <w:marLeft w:val="0"/>
      <w:marRight w:val="0"/>
      <w:marTop w:val="0"/>
      <w:marBottom w:val="0"/>
      <w:divBdr>
        <w:top w:val="none" w:sz="0" w:space="0" w:color="auto"/>
        <w:left w:val="none" w:sz="0" w:space="0" w:color="auto"/>
        <w:bottom w:val="none" w:sz="0" w:space="0" w:color="auto"/>
        <w:right w:val="none" w:sz="0" w:space="0" w:color="auto"/>
      </w:divBdr>
      <w:divsChild>
        <w:div w:id="1494488988">
          <w:marLeft w:val="0"/>
          <w:marRight w:val="0"/>
          <w:marTop w:val="0"/>
          <w:marBottom w:val="0"/>
          <w:divBdr>
            <w:top w:val="none" w:sz="0" w:space="0" w:color="auto"/>
            <w:left w:val="none" w:sz="0" w:space="0" w:color="auto"/>
            <w:bottom w:val="none" w:sz="0" w:space="0" w:color="auto"/>
            <w:right w:val="none" w:sz="0" w:space="0" w:color="auto"/>
          </w:divBdr>
        </w:div>
      </w:divsChild>
    </w:div>
    <w:div w:id="1329409630">
      <w:marLeft w:val="0"/>
      <w:marRight w:val="0"/>
      <w:marTop w:val="0"/>
      <w:marBottom w:val="0"/>
      <w:divBdr>
        <w:top w:val="none" w:sz="0" w:space="0" w:color="auto"/>
        <w:left w:val="none" w:sz="0" w:space="0" w:color="auto"/>
        <w:bottom w:val="none" w:sz="0" w:space="0" w:color="auto"/>
        <w:right w:val="none" w:sz="0" w:space="0" w:color="auto"/>
      </w:divBdr>
    </w:div>
    <w:div w:id="1329671914">
      <w:marLeft w:val="0"/>
      <w:marRight w:val="0"/>
      <w:marTop w:val="100"/>
      <w:marBottom w:val="0"/>
      <w:divBdr>
        <w:top w:val="none" w:sz="0" w:space="0" w:color="auto"/>
        <w:left w:val="none" w:sz="0" w:space="0" w:color="auto"/>
        <w:bottom w:val="none" w:sz="0" w:space="0" w:color="auto"/>
        <w:right w:val="none" w:sz="0" w:space="0" w:color="auto"/>
      </w:divBdr>
    </w:div>
    <w:div w:id="1329671988">
      <w:marLeft w:val="0"/>
      <w:marRight w:val="0"/>
      <w:marTop w:val="180"/>
      <w:marBottom w:val="180"/>
      <w:divBdr>
        <w:top w:val="none" w:sz="0" w:space="0" w:color="auto"/>
        <w:left w:val="none" w:sz="0" w:space="0" w:color="auto"/>
        <w:bottom w:val="none" w:sz="0" w:space="0" w:color="auto"/>
        <w:right w:val="none" w:sz="0" w:space="0" w:color="auto"/>
      </w:divBdr>
    </w:div>
    <w:div w:id="1330912262">
      <w:marLeft w:val="0"/>
      <w:marRight w:val="0"/>
      <w:marTop w:val="180"/>
      <w:marBottom w:val="180"/>
      <w:divBdr>
        <w:top w:val="none" w:sz="0" w:space="0" w:color="auto"/>
        <w:left w:val="none" w:sz="0" w:space="0" w:color="auto"/>
        <w:bottom w:val="none" w:sz="0" w:space="0" w:color="auto"/>
        <w:right w:val="none" w:sz="0" w:space="0" w:color="auto"/>
      </w:divBdr>
    </w:div>
    <w:div w:id="1331325043">
      <w:marLeft w:val="0"/>
      <w:marRight w:val="0"/>
      <w:marTop w:val="0"/>
      <w:marBottom w:val="0"/>
      <w:divBdr>
        <w:top w:val="none" w:sz="0" w:space="0" w:color="auto"/>
        <w:left w:val="none" w:sz="0" w:space="0" w:color="auto"/>
        <w:bottom w:val="none" w:sz="0" w:space="0" w:color="auto"/>
        <w:right w:val="none" w:sz="0" w:space="0" w:color="auto"/>
      </w:divBdr>
      <w:divsChild>
        <w:div w:id="286357845">
          <w:marLeft w:val="0"/>
          <w:marRight w:val="0"/>
          <w:marTop w:val="0"/>
          <w:marBottom w:val="0"/>
          <w:divBdr>
            <w:top w:val="none" w:sz="0" w:space="0" w:color="auto"/>
            <w:left w:val="none" w:sz="0" w:space="0" w:color="auto"/>
            <w:bottom w:val="none" w:sz="0" w:space="0" w:color="auto"/>
            <w:right w:val="none" w:sz="0" w:space="0" w:color="auto"/>
          </w:divBdr>
        </w:div>
      </w:divsChild>
    </w:div>
    <w:div w:id="1331757415">
      <w:marLeft w:val="0"/>
      <w:marRight w:val="0"/>
      <w:marTop w:val="0"/>
      <w:marBottom w:val="0"/>
      <w:divBdr>
        <w:top w:val="none" w:sz="0" w:space="0" w:color="auto"/>
        <w:left w:val="none" w:sz="0" w:space="0" w:color="auto"/>
        <w:bottom w:val="none" w:sz="0" w:space="0" w:color="auto"/>
        <w:right w:val="none" w:sz="0" w:space="0" w:color="auto"/>
      </w:divBdr>
    </w:div>
    <w:div w:id="1331912314">
      <w:marLeft w:val="0"/>
      <w:marRight w:val="0"/>
      <w:marTop w:val="0"/>
      <w:marBottom w:val="180"/>
      <w:divBdr>
        <w:top w:val="none" w:sz="0" w:space="0" w:color="auto"/>
        <w:left w:val="none" w:sz="0" w:space="0" w:color="auto"/>
        <w:bottom w:val="none" w:sz="0" w:space="0" w:color="auto"/>
        <w:right w:val="none" w:sz="0" w:space="0" w:color="auto"/>
      </w:divBdr>
    </w:div>
    <w:div w:id="1331985218">
      <w:marLeft w:val="0"/>
      <w:marRight w:val="0"/>
      <w:marTop w:val="100"/>
      <w:marBottom w:val="240"/>
      <w:divBdr>
        <w:top w:val="none" w:sz="0" w:space="0" w:color="auto"/>
        <w:left w:val="none" w:sz="0" w:space="0" w:color="auto"/>
        <w:bottom w:val="none" w:sz="0" w:space="0" w:color="auto"/>
        <w:right w:val="none" w:sz="0" w:space="0" w:color="auto"/>
      </w:divBdr>
      <w:divsChild>
        <w:div w:id="1900627530">
          <w:marLeft w:val="0"/>
          <w:marRight w:val="0"/>
          <w:marTop w:val="0"/>
          <w:marBottom w:val="0"/>
          <w:divBdr>
            <w:top w:val="none" w:sz="0" w:space="0" w:color="auto"/>
            <w:left w:val="none" w:sz="0" w:space="0" w:color="auto"/>
            <w:bottom w:val="none" w:sz="0" w:space="0" w:color="auto"/>
            <w:right w:val="none" w:sz="0" w:space="0" w:color="auto"/>
          </w:divBdr>
        </w:div>
        <w:div w:id="371467434">
          <w:marLeft w:val="0"/>
          <w:marRight w:val="0"/>
          <w:marTop w:val="0"/>
          <w:marBottom w:val="0"/>
          <w:divBdr>
            <w:top w:val="none" w:sz="0" w:space="0" w:color="auto"/>
            <w:left w:val="none" w:sz="0" w:space="0" w:color="auto"/>
            <w:bottom w:val="none" w:sz="0" w:space="0" w:color="auto"/>
            <w:right w:val="none" w:sz="0" w:space="0" w:color="auto"/>
          </w:divBdr>
        </w:div>
      </w:divsChild>
    </w:div>
    <w:div w:id="1332099314">
      <w:marLeft w:val="0"/>
      <w:marRight w:val="0"/>
      <w:marTop w:val="0"/>
      <w:marBottom w:val="240"/>
      <w:divBdr>
        <w:top w:val="none" w:sz="0" w:space="0" w:color="auto"/>
        <w:left w:val="none" w:sz="0" w:space="0" w:color="auto"/>
        <w:bottom w:val="none" w:sz="0" w:space="0" w:color="auto"/>
        <w:right w:val="none" w:sz="0" w:space="0" w:color="auto"/>
      </w:divBdr>
    </w:div>
    <w:div w:id="1332374999">
      <w:marLeft w:val="0"/>
      <w:marRight w:val="0"/>
      <w:marTop w:val="0"/>
      <w:marBottom w:val="240"/>
      <w:divBdr>
        <w:top w:val="none" w:sz="0" w:space="0" w:color="auto"/>
        <w:left w:val="none" w:sz="0" w:space="0" w:color="auto"/>
        <w:bottom w:val="none" w:sz="0" w:space="0" w:color="auto"/>
        <w:right w:val="none" w:sz="0" w:space="0" w:color="auto"/>
      </w:divBdr>
    </w:div>
    <w:div w:id="1333217348">
      <w:marLeft w:val="0"/>
      <w:marRight w:val="0"/>
      <w:marTop w:val="0"/>
      <w:marBottom w:val="180"/>
      <w:divBdr>
        <w:top w:val="none" w:sz="0" w:space="0" w:color="auto"/>
        <w:left w:val="none" w:sz="0" w:space="0" w:color="auto"/>
        <w:bottom w:val="none" w:sz="0" w:space="0" w:color="auto"/>
        <w:right w:val="none" w:sz="0" w:space="0" w:color="auto"/>
      </w:divBdr>
    </w:div>
    <w:div w:id="1333411218">
      <w:marLeft w:val="0"/>
      <w:marRight w:val="0"/>
      <w:marTop w:val="0"/>
      <w:marBottom w:val="0"/>
      <w:divBdr>
        <w:top w:val="none" w:sz="0" w:space="0" w:color="auto"/>
        <w:left w:val="none" w:sz="0" w:space="0" w:color="auto"/>
        <w:bottom w:val="none" w:sz="0" w:space="0" w:color="auto"/>
        <w:right w:val="none" w:sz="0" w:space="0" w:color="auto"/>
      </w:divBdr>
    </w:div>
    <w:div w:id="1333602876">
      <w:marLeft w:val="0"/>
      <w:marRight w:val="0"/>
      <w:marTop w:val="0"/>
      <w:marBottom w:val="0"/>
      <w:divBdr>
        <w:top w:val="none" w:sz="0" w:space="0" w:color="auto"/>
        <w:left w:val="none" w:sz="0" w:space="0" w:color="auto"/>
        <w:bottom w:val="none" w:sz="0" w:space="0" w:color="auto"/>
        <w:right w:val="none" w:sz="0" w:space="0" w:color="auto"/>
      </w:divBdr>
    </w:div>
    <w:div w:id="1334261946">
      <w:marLeft w:val="0"/>
      <w:marRight w:val="0"/>
      <w:marTop w:val="0"/>
      <w:marBottom w:val="240"/>
      <w:divBdr>
        <w:top w:val="none" w:sz="0" w:space="0" w:color="auto"/>
        <w:left w:val="none" w:sz="0" w:space="0" w:color="auto"/>
        <w:bottom w:val="none" w:sz="0" w:space="0" w:color="auto"/>
        <w:right w:val="none" w:sz="0" w:space="0" w:color="auto"/>
      </w:divBdr>
    </w:div>
    <w:div w:id="1334334188">
      <w:marLeft w:val="0"/>
      <w:marRight w:val="0"/>
      <w:marTop w:val="0"/>
      <w:marBottom w:val="180"/>
      <w:divBdr>
        <w:top w:val="none" w:sz="0" w:space="0" w:color="auto"/>
        <w:left w:val="none" w:sz="0" w:space="0" w:color="auto"/>
        <w:bottom w:val="none" w:sz="0" w:space="0" w:color="auto"/>
        <w:right w:val="none" w:sz="0" w:space="0" w:color="auto"/>
      </w:divBdr>
    </w:div>
    <w:div w:id="1334526391">
      <w:marLeft w:val="0"/>
      <w:marRight w:val="0"/>
      <w:marTop w:val="0"/>
      <w:marBottom w:val="0"/>
      <w:divBdr>
        <w:top w:val="none" w:sz="0" w:space="0" w:color="auto"/>
        <w:left w:val="none" w:sz="0" w:space="0" w:color="auto"/>
        <w:bottom w:val="none" w:sz="0" w:space="0" w:color="auto"/>
        <w:right w:val="none" w:sz="0" w:space="0" w:color="auto"/>
      </w:divBdr>
    </w:div>
    <w:div w:id="1335760680">
      <w:marLeft w:val="0"/>
      <w:marRight w:val="0"/>
      <w:marTop w:val="0"/>
      <w:marBottom w:val="0"/>
      <w:divBdr>
        <w:top w:val="none" w:sz="0" w:space="0" w:color="auto"/>
        <w:left w:val="none" w:sz="0" w:space="0" w:color="auto"/>
        <w:bottom w:val="none" w:sz="0" w:space="0" w:color="auto"/>
        <w:right w:val="none" w:sz="0" w:space="0" w:color="auto"/>
      </w:divBdr>
      <w:divsChild>
        <w:div w:id="1759642306">
          <w:marLeft w:val="0"/>
          <w:marRight w:val="0"/>
          <w:marTop w:val="0"/>
          <w:marBottom w:val="0"/>
          <w:divBdr>
            <w:top w:val="none" w:sz="0" w:space="0" w:color="auto"/>
            <w:left w:val="none" w:sz="0" w:space="0" w:color="auto"/>
            <w:bottom w:val="none" w:sz="0" w:space="0" w:color="auto"/>
            <w:right w:val="none" w:sz="0" w:space="0" w:color="auto"/>
          </w:divBdr>
        </w:div>
      </w:divsChild>
    </w:div>
    <w:div w:id="1336416702">
      <w:marLeft w:val="0"/>
      <w:marRight w:val="0"/>
      <w:marTop w:val="0"/>
      <w:marBottom w:val="240"/>
      <w:divBdr>
        <w:top w:val="none" w:sz="0" w:space="0" w:color="auto"/>
        <w:left w:val="none" w:sz="0" w:space="0" w:color="auto"/>
        <w:bottom w:val="none" w:sz="0" w:space="0" w:color="auto"/>
        <w:right w:val="none" w:sz="0" w:space="0" w:color="auto"/>
      </w:divBdr>
    </w:div>
    <w:div w:id="1336419121">
      <w:marLeft w:val="0"/>
      <w:marRight w:val="0"/>
      <w:marTop w:val="0"/>
      <w:marBottom w:val="180"/>
      <w:divBdr>
        <w:top w:val="none" w:sz="0" w:space="0" w:color="auto"/>
        <w:left w:val="none" w:sz="0" w:space="0" w:color="auto"/>
        <w:bottom w:val="none" w:sz="0" w:space="0" w:color="auto"/>
        <w:right w:val="none" w:sz="0" w:space="0" w:color="auto"/>
      </w:divBdr>
    </w:div>
    <w:div w:id="1338729946">
      <w:marLeft w:val="0"/>
      <w:marRight w:val="0"/>
      <w:marTop w:val="0"/>
      <w:marBottom w:val="0"/>
      <w:divBdr>
        <w:top w:val="none" w:sz="0" w:space="0" w:color="auto"/>
        <w:left w:val="none" w:sz="0" w:space="0" w:color="auto"/>
        <w:bottom w:val="none" w:sz="0" w:space="0" w:color="auto"/>
        <w:right w:val="none" w:sz="0" w:space="0" w:color="auto"/>
      </w:divBdr>
      <w:divsChild>
        <w:div w:id="1931425648">
          <w:marLeft w:val="0"/>
          <w:marRight w:val="0"/>
          <w:marTop w:val="0"/>
          <w:marBottom w:val="0"/>
          <w:divBdr>
            <w:top w:val="none" w:sz="0" w:space="0" w:color="auto"/>
            <w:left w:val="none" w:sz="0" w:space="0" w:color="auto"/>
            <w:bottom w:val="none" w:sz="0" w:space="0" w:color="auto"/>
            <w:right w:val="none" w:sz="0" w:space="0" w:color="auto"/>
          </w:divBdr>
        </w:div>
      </w:divsChild>
    </w:div>
    <w:div w:id="1339113935">
      <w:marLeft w:val="0"/>
      <w:marRight w:val="0"/>
      <w:marTop w:val="0"/>
      <w:marBottom w:val="240"/>
      <w:divBdr>
        <w:top w:val="none" w:sz="0" w:space="0" w:color="auto"/>
        <w:left w:val="none" w:sz="0" w:space="0" w:color="auto"/>
        <w:bottom w:val="none" w:sz="0" w:space="0" w:color="auto"/>
        <w:right w:val="none" w:sz="0" w:space="0" w:color="auto"/>
      </w:divBdr>
    </w:div>
    <w:div w:id="1339849729">
      <w:marLeft w:val="0"/>
      <w:marRight w:val="0"/>
      <w:marTop w:val="0"/>
      <w:marBottom w:val="0"/>
      <w:divBdr>
        <w:top w:val="none" w:sz="0" w:space="0" w:color="auto"/>
        <w:left w:val="none" w:sz="0" w:space="0" w:color="auto"/>
        <w:bottom w:val="none" w:sz="0" w:space="0" w:color="auto"/>
        <w:right w:val="none" w:sz="0" w:space="0" w:color="auto"/>
      </w:divBdr>
      <w:divsChild>
        <w:div w:id="121769513">
          <w:marLeft w:val="0"/>
          <w:marRight w:val="0"/>
          <w:marTop w:val="0"/>
          <w:marBottom w:val="0"/>
          <w:divBdr>
            <w:top w:val="none" w:sz="0" w:space="0" w:color="auto"/>
            <w:left w:val="none" w:sz="0" w:space="0" w:color="auto"/>
            <w:bottom w:val="none" w:sz="0" w:space="0" w:color="auto"/>
            <w:right w:val="none" w:sz="0" w:space="0" w:color="auto"/>
          </w:divBdr>
        </w:div>
      </w:divsChild>
    </w:div>
    <w:div w:id="1340041061">
      <w:marLeft w:val="0"/>
      <w:marRight w:val="0"/>
      <w:marTop w:val="0"/>
      <w:marBottom w:val="180"/>
      <w:divBdr>
        <w:top w:val="none" w:sz="0" w:space="0" w:color="auto"/>
        <w:left w:val="none" w:sz="0" w:space="0" w:color="auto"/>
        <w:bottom w:val="none" w:sz="0" w:space="0" w:color="auto"/>
        <w:right w:val="none" w:sz="0" w:space="0" w:color="auto"/>
      </w:divBdr>
    </w:div>
    <w:div w:id="1341853458">
      <w:marLeft w:val="0"/>
      <w:marRight w:val="0"/>
      <w:marTop w:val="180"/>
      <w:marBottom w:val="180"/>
      <w:divBdr>
        <w:top w:val="none" w:sz="0" w:space="0" w:color="auto"/>
        <w:left w:val="none" w:sz="0" w:space="0" w:color="auto"/>
        <w:bottom w:val="none" w:sz="0" w:space="0" w:color="auto"/>
        <w:right w:val="none" w:sz="0" w:space="0" w:color="auto"/>
      </w:divBdr>
    </w:div>
    <w:div w:id="1344481006">
      <w:marLeft w:val="0"/>
      <w:marRight w:val="0"/>
      <w:marTop w:val="0"/>
      <w:marBottom w:val="0"/>
      <w:divBdr>
        <w:top w:val="none" w:sz="0" w:space="0" w:color="auto"/>
        <w:left w:val="none" w:sz="0" w:space="0" w:color="auto"/>
        <w:bottom w:val="none" w:sz="0" w:space="0" w:color="auto"/>
        <w:right w:val="none" w:sz="0" w:space="0" w:color="auto"/>
      </w:divBdr>
      <w:divsChild>
        <w:div w:id="708066280">
          <w:marLeft w:val="0"/>
          <w:marRight w:val="0"/>
          <w:marTop w:val="0"/>
          <w:marBottom w:val="0"/>
          <w:divBdr>
            <w:top w:val="none" w:sz="0" w:space="0" w:color="auto"/>
            <w:left w:val="none" w:sz="0" w:space="0" w:color="auto"/>
            <w:bottom w:val="none" w:sz="0" w:space="0" w:color="auto"/>
            <w:right w:val="none" w:sz="0" w:space="0" w:color="auto"/>
          </w:divBdr>
        </w:div>
      </w:divsChild>
    </w:div>
    <w:div w:id="1344548879">
      <w:marLeft w:val="0"/>
      <w:marRight w:val="0"/>
      <w:marTop w:val="240"/>
      <w:marBottom w:val="240"/>
      <w:divBdr>
        <w:top w:val="none" w:sz="0" w:space="0" w:color="auto"/>
        <w:left w:val="none" w:sz="0" w:space="0" w:color="auto"/>
        <w:bottom w:val="none" w:sz="0" w:space="0" w:color="auto"/>
        <w:right w:val="none" w:sz="0" w:space="0" w:color="auto"/>
      </w:divBdr>
    </w:div>
    <w:div w:id="1345127581">
      <w:marLeft w:val="0"/>
      <w:marRight w:val="0"/>
      <w:marTop w:val="0"/>
      <w:marBottom w:val="180"/>
      <w:divBdr>
        <w:top w:val="none" w:sz="0" w:space="0" w:color="auto"/>
        <w:left w:val="none" w:sz="0" w:space="0" w:color="auto"/>
        <w:bottom w:val="none" w:sz="0" w:space="0" w:color="auto"/>
        <w:right w:val="none" w:sz="0" w:space="0" w:color="auto"/>
      </w:divBdr>
    </w:div>
    <w:div w:id="1345207008">
      <w:marLeft w:val="0"/>
      <w:marRight w:val="0"/>
      <w:marTop w:val="0"/>
      <w:marBottom w:val="0"/>
      <w:divBdr>
        <w:top w:val="none" w:sz="0" w:space="0" w:color="auto"/>
        <w:left w:val="none" w:sz="0" w:space="0" w:color="auto"/>
        <w:bottom w:val="none" w:sz="0" w:space="0" w:color="auto"/>
        <w:right w:val="none" w:sz="0" w:space="0" w:color="auto"/>
      </w:divBdr>
    </w:div>
    <w:div w:id="1345595478">
      <w:marLeft w:val="0"/>
      <w:marRight w:val="0"/>
      <w:marTop w:val="0"/>
      <w:marBottom w:val="180"/>
      <w:divBdr>
        <w:top w:val="none" w:sz="0" w:space="0" w:color="auto"/>
        <w:left w:val="none" w:sz="0" w:space="0" w:color="auto"/>
        <w:bottom w:val="none" w:sz="0" w:space="0" w:color="auto"/>
        <w:right w:val="none" w:sz="0" w:space="0" w:color="auto"/>
      </w:divBdr>
    </w:div>
    <w:div w:id="1345941304">
      <w:marLeft w:val="0"/>
      <w:marRight w:val="0"/>
      <w:marTop w:val="0"/>
      <w:marBottom w:val="180"/>
      <w:divBdr>
        <w:top w:val="none" w:sz="0" w:space="0" w:color="auto"/>
        <w:left w:val="none" w:sz="0" w:space="0" w:color="auto"/>
        <w:bottom w:val="none" w:sz="0" w:space="0" w:color="auto"/>
        <w:right w:val="none" w:sz="0" w:space="0" w:color="auto"/>
      </w:divBdr>
    </w:div>
    <w:div w:id="1346516273">
      <w:marLeft w:val="0"/>
      <w:marRight w:val="0"/>
      <w:marTop w:val="0"/>
      <w:marBottom w:val="180"/>
      <w:divBdr>
        <w:top w:val="none" w:sz="0" w:space="0" w:color="auto"/>
        <w:left w:val="none" w:sz="0" w:space="0" w:color="auto"/>
        <w:bottom w:val="none" w:sz="0" w:space="0" w:color="auto"/>
        <w:right w:val="none" w:sz="0" w:space="0" w:color="auto"/>
      </w:divBdr>
    </w:div>
    <w:div w:id="1347057329">
      <w:marLeft w:val="0"/>
      <w:marRight w:val="0"/>
      <w:marTop w:val="180"/>
      <w:marBottom w:val="180"/>
      <w:divBdr>
        <w:top w:val="none" w:sz="0" w:space="0" w:color="auto"/>
        <w:left w:val="none" w:sz="0" w:space="0" w:color="auto"/>
        <w:bottom w:val="none" w:sz="0" w:space="0" w:color="auto"/>
        <w:right w:val="none" w:sz="0" w:space="0" w:color="auto"/>
      </w:divBdr>
    </w:div>
    <w:div w:id="1348368525">
      <w:marLeft w:val="0"/>
      <w:marRight w:val="0"/>
      <w:marTop w:val="0"/>
      <w:marBottom w:val="0"/>
      <w:divBdr>
        <w:top w:val="none" w:sz="0" w:space="0" w:color="auto"/>
        <w:left w:val="none" w:sz="0" w:space="0" w:color="auto"/>
        <w:bottom w:val="none" w:sz="0" w:space="0" w:color="auto"/>
        <w:right w:val="none" w:sz="0" w:space="0" w:color="auto"/>
      </w:divBdr>
      <w:divsChild>
        <w:div w:id="1396276271">
          <w:marLeft w:val="0"/>
          <w:marRight w:val="0"/>
          <w:marTop w:val="0"/>
          <w:marBottom w:val="0"/>
          <w:divBdr>
            <w:top w:val="none" w:sz="0" w:space="0" w:color="auto"/>
            <w:left w:val="none" w:sz="0" w:space="0" w:color="auto"/>
            <w:bottom w:val="none" w:sz="0" w:space="0" w:color="auto"/>
            <w:right w:val="none" w:sz="0" w:space="0" w:color="auto"/>
          </w:divBdr>
        </w:div>
      </w:divsChild>
    </w:div>
    <w:div w:id="1349478925">
      <w:marLeft w:val="0"/>
      <w:marRight w:val="0"/>
      <w:marTop w:val="0"/>
      <w:marBottom w:val="240"/>
      <w:divBdr>
        <w:top w:val="none" w:sz="0" w:space="0" w:color="auto"/>
        <w:left w:val="none" w:sz="0" w:space="0" w:color="auto"/>
        <w:bottom w:val="none" w:sz="0" w:space="0" w:color="auto"/>
        <w:right w:val="none" w:sz="0" w:space="0" w:color="auto"/>
      </w:divBdr>
    </w:div>
    <w:div w:id="1349873303">
      <w:marLeft w:val="0"/>
      <w:marRight w:val="0"/>
      <w:marTop w:val="0"/>
      <w:marBottom w:val="0"/>
      <w:divBdr>
        <w:top w:val="none" w:sz="0" w:space="0" w:color="auto"/>
        <w:left w:val="none" w:sz="0" w:space="0" w:color="auto"/>
        <w:bottom w:val="none" w:sz="0" w:space="0" w:color="auto"/>
        <w:right w:val="none" w:sz="0" w:space="0" w:color="auto"/>
      </w:divBdr>
      <w:divsChild>
        <w:div w:id="1630356477">
          <w:marLeft w:val="0"/>
          <w:marRight w:val="0"/>
          <w:marTop w:val="0"/>
          <w:marBottom w:val="0"/>
          <w:divBdr>
            <w:top w:val="none" w:sz="0" w:space="0" w:color="auto"/>
            <w:left w:val="none" w:sz="0" w:space="0" w:color="auto"/>
            <w:bottom w:val="none" w:sz="0" w:space="0" w:color="auto"/>
            <w:right w:val="none" w:sz="0" w:space="0" w:color="auto"/>
          </w:divBdr>
        </w:div>
      </w:divsChild>
    </w:div>
    <w:div w:id="1353263701">
      <w:marLeft w:val="0"/>
      <w:marRight w:val="0"/>
      <w:marTop w:val="180"/>
      <w:marBottom w:val="180"/>
      <w:divBdr>
        <w:top w:val="none" w:sz="0" w:space="0" w:color="auto"/>
        <w:left w:val="none" w:sz="0" w:space="0" w:color="auto"/>
        <w:bottom w:val="none" w:sz="0" w:space="0" w:color="auto"/>
        <w:right w:val="none" w:sz="0" w:space="0" w:color="auto"/>
      </w:divBdr>
    </w:div>
    <w:div w:id="1354459134">
      <w:marLeft w:val="0"/>
      <w:marRight w:val="0"/>
      <w:marTop w:val="0"/>
      <w:marBottom w:val="0"/>
      <w:divBdr>
        <w:top w:val="none" w:sz="0" w:space="0" w:color="auto"/>
        <w:left w:val="none" w:sz="0" w:space="0" w:color="auto"/>
        <w:bottom w:val="none" w:sz="0" w:space="0" w:color="auto"/>
        <w:right w:val="none" w:sz="0" w:space="0" w:color="auto"/>
      </w:divBdr>
      <w:divsChild>
        <w:div w:id="153419981">
          <w:marLeft w:val="0"/>
          <w:marRight w:val="0"/>
          <w:marTop w:val="0"/>
          <w:marBottom w:val="0"/>
          <w:divBdr>
            <w:top w:val="none" w:sz="0" w:space="0" w:color="auto"/>
            <w:left w:val="none" w:sz="0" w:space="0" w:color="auto"/>
            <w:bottom w:val="none" w:sz="0" w:space="0" w:color="auto"/>
            <w:right w:val="none" w:sz="0" w:space="0" w:color="auto"/>
          </w:divBdr>
        </w:div>
      </w:divsChild>
    </w:div>
    <w:div w:id="1355381705">
      <w:marLeft w:val="0"/>
      <w:marRight w:val="0"/>
      <w:marTop w:val="120"/>
      <w:marBottom w:val="180"/>
      <w:divBdr>
        <w:top w:val="none" w:sz="0" w:space="0" w:color="auto"/>
        <w:left w:val="none" w:sz="0" w:space="0" w:color="auto"/>
        <w:bottom w:val="none" w:sz="0" w:space="0" w:color="auto"/>
        <w:right w:val="none" w:sz="0" w:space="0" w:color="auto"/>
      </w:divBdr>
    </w:div>
    <w:div w:id="1356738053">
      <w:marLeft w:val="0"/>
      <w:marRight w:val="0"/>
      <w:marTop w:val="0"/>
      <w:marBottom w:val="0"/>
      <w:divBdr>
        <w:top w:val="none" w:sz="0" w:space="0" w:color="auto"/>
        <w:left w:val="none" w:sz="0" w:space="0" w:color="auto"/>
        <w:bottom w:val="none" w:sz="0" w:space="0" w:color="auto"/>
        <w:right w:val="none" w:sz="0" w:space="0" w:color="auto"/>
      </w:divBdr>
      <w:divsChild>
        <w:div w:id="295065531">
          <w:marLeft w:val="0"/>
          <w:marRight w:val="0"/>
          <w:marTop w:val="0"/>
          <w:marBottom w:val="0"/>
          <w:divBdr>
            <w:top w:val="none" w:sz="0" w:space="0" w:color="auto"/>
            <w:left w:val="none" w:sz="0" w:space="0" w:color="auto"/>
            <w:bottom w:val="none" w:sz="0" w:space="0" w:color="auto"/>
            <w:right w:val="none" w:sz="0" w:space="0" w:color="auto"/>
          </w:divBdr>
        </w:div>
      </w:divsChild>
    </w:div>
    <w:div w:id="1356927469">
      <w:marLeft w:val="0"/>
      <w:marRight w:val="0"/>
      <w:marTop w:val="0"/>
      <w:marBottom w:val="240"/>
      <w:divBdr>
        <w:top w:val="none" w:sz="0" w:space="0" w:color="auto"/>
        <w:left w:val="none" w:sz="0" w:space="0" w:color="auto"/>
        <w:bottom w:val="none" w:sz="0" w:space="0" w:color="auto"/>
        <w:right w:val="none" w:sz="0" w:space="0" w:color="auto"/>
      </w:divBdr>
    </w:div>
    <w:div w:id="1357077181">
      <w:marLeft w:val="0"/>
      <w:marRight w:val="0"/>
      <w:marTop w:val="0"/>
      <w:marBottom w:val="240"/>
      <w:divBdr>
        <w:top w:val="none" w:sz="0" w:space="0" w:color="auto"/>
        <w:left w:val="none" w:sz="0" w:space="0" w:color="auto"/>
        <w:bottom w:val="none" w:sz="0" w:space="0" w:color="auto"/>
        <w:right w:val="none" w:sz="0" w:space="0" w:color="auto"/>
      </w:divBdr>
    </w:div>
    <w:div w:id="1357344974">
      <w:marLeft w:val="0"/>
      <w:marRight w:val="0"/>
      <w:marTop w:val="0"/>
      <w:marBottom w:val="180"/>
      <w:divBdr>
        <w:top w:val="none" w:sz="0" w:space="0" w:color="auto"/>
        <w:left w:val="none" w:sz="0" w:space="0" w:color="auto"/>
        <w:bottom w:val="none" w:sz="0" w:space="0" w:color="auto"/>
        <w:right w:val="none" w:sz="0" w:space="0" w:color="auto"/>
      </w:divBdr>
    </w:div>
    <w:div w:id="1357464750">
      <w:marLeft w:val="0"/>
      <w:marRight w:val="0"/>
      <w:marTop w:val="0"/>
      <w:marBottom w:val="0"/>
      <w:divBdr>
        <w:top w:val="none" w:sz="0" w:space="0" w:color="auto"/>
        <w:left w:val="none" w:sz="0" w:space="0" w:color="auto"/>
        <w:bottom w:val="none" w:sz="0" w:space="0" w:color="auto"/>
        <w:right w:val="none" w:sz="0" w:space="0" w:color="auto"/>
      </w:divBdr>
    </w:div>
    <w:div w:id="1358121993">
      <w:marLeft w:val="0"/>
      <w:marRight w:val="0"/>
      <w:marTop w:val="0"/>
      <w:marBottom w:val="60"/>
      <w:divBdr>
        <w:top w:val="none" w:sz="0" w:space="0" w:color="auto"/>
        <w:left w:val="none" w:sz="0" w:space="0" w:color="auto"/>
        <w:bottom w:val="none" w:sz="0" w:space="0" w:color="auto"/>
        <w:right w:val="none" w:sz="0" w:space="0" w:color="auto"/>
      </w:divBdr>
    </w:div>
    <w:div w:id="1358199101">
      <w:marLeft w:val="0"/>
      <w:marRight w:val="0"/>
      <w:marTop w:val="0"/>
      <w:marBottom w:val="0"/>
      <w:divBdr>
        <w:top w:val="none" w:sz="0" w:space="0" w:color="auto"/>
        <w:left w:val="none" w:sz="0" w:space="0" w:color="auto"/>
        <w:bottom w:val="none" w:sz="0" w:space="0" w:color="auto"/>
        <w:right w:val="none" w:sz="0" w:space="0" w:color="auto"/>
      </w:divBdr>
      <w:divsChild>
        <w:div w:id="487020879">
          <w:marLeft w:val="0"/>
          <w:marRight w:val="0"/>
          <w:marTop w:val="0"/>
          <w:marBottom w:val="0"/>
          <w:divBdr>
            <w:top w:val="none" w:sz="0" w:space="0" w:color="auto"/>
            <w:left w:val="none" w:sz="0" w:space="0" w:color="auto"/>
            <w:bottom w:val="none" w:sz="0" w:space="0" w:color="auto"/>
            <w:right w:val="none" w:sz="0" w:space="0" w:color="auto"/>
          </w:divBdr>
        </w:div>
      </w:divsChild>
    </w:div>
    <w:div w:id="1358238917">
      <w:marLeft w:val="0"/>
      <w:marRight w:val="0"/>
      <w:marTop w:val="0"/>
      <w:marBottom w:val="0"/>
      <w:divBdr>
        <w:top w:val="none" w:sz="0" w:space="0" w:color="auto"/>
        <w:left w:val="none" w:sz="0" w:space="0" w:color="auto"/>
        <w:bottom w:val="none" w:sz="0" w:space="0" w:color="auto"/>
        <w:right w:val="none" w:sz="0" w:space="0" w:color="auto"/>
      </w:divBdr>
      <w:divsChild>
        <w:div w:id="54164307">
          <w:marLeft w:val="0"/>
          <w:marRight w:val="0"/>
          <w:marTop w:val="0"/>
          <w:marBottom w:val="0"/>
          <w:divBdr>
            <w:top w:val="none" w:sz="0" w:space="0" w:color="auto"/>
            <w:left w:val="none" w:sz="0" w:space="0" w:color="auto"/>
            <w:bottom w:val="none" w:sz="0" w:space="0" w:color="auto"/>
            <w:right w:val="none" w:sz="0" w:space="0" w:color="auto"/>
          </w:divBdr>
        </w:div>
      </w:divsChild>
    </w:div>
    <w:div w:id="1358390153">
      <w:marLeft w:val="0"/>
      <w:marRight w:val="0"/>
      <w:marTop w:val="180"/>
      <w:marBottom w:val="180"/>
      <w:divBdr>
        <w:top w:val="none" w:sz="0" w:space="0" w:color="auto"/>
        <w:left w:val="none" w:sz="0" w:space="0" w:color="auto"/>
        <w:bottom w:val="none" w:sz="0" w:space="0" w:color="auto"/>
        <w:right w:val="none" w:sz="0" w:space="0" w:color="auto"/>
      </w:divBdr>
    </w:div>
    <w:div w:id="1358896414">
      <w:marLeft w:val="0"/>
      <w:marRight w:val="0"/>
      <w:marTop w:val="180"/>
      <w:marBottom w:val="180"/>
      <w:divBdr>
        <w:top w:val="none" w:sz="0" w:space="0" w:color="auto"/>
        <w:left w:val="none" w:sz="0" w:space="0" w:color="auto"/>
        <w:bottom w:val="none" w:sz="0" w:space="0" w:color="auto"/>
        <w:right w:val="none" w:sz="0" w:space="0" w:color="auto"/>
      </w:divBdr>
    </w:div>
    <w:div w:id="1359044436">
      <w:marLeft w:val="0"/>
      <w:marRight w:val="0"/>
      <w:marTop w:val="0"/>
      <w:marBottom w:val="0"/>
      <w:divBdr>
        <w:top w:val="none" w:sz="0" w:space="0" w:color="auto"/>
        <w:left w:val="none" w:sz="0" w:space="0" w:color="auto"/>
        <w:bottom w:val="none" w:sz="0" w:space="0" w:color="auto"/>
        <w:right w:val="none" w:sz="0" w:space="0" w:color="auto"/>
      </w:divBdr>
      <w:divsChild>
        <w:div w:id="1527328867">
          <w:marLeft w:val="0"/>
          <w:marRight w:val="0"/>
          <w:marTop w:val="0"/>
          <w:marBottom w:val="0"/>
          <w:divBdr>
            <w:top w:val="none" w:sz="0" w:space="0" w:color="auto"/>
            <w:left w:val="none" w:sz="0" w:space="0" w:color="auto"/>
            <w:bottom w:val="none" w:sz="0" w:space="0" w:color="auto"/>
            <w:right w:val="none" w:sz="0" w:space="0" w:color="auto"/>
          </w:divBdr>
        </w:div>
      </w:divsChild>
    </w:div>
    <w:div w:id="1359702416">
      <w:marLeft w:val="0"/>
      <w:marRight w:val="0"/>
      <w:marTop w:val="0"/>
      <w:marBottom w:val="180"/>
      <w:divBdr>
        <w:top w:val="none" w:sz="0" w:space="0" w:color="auto"/>
        <w:left w:val="none" w:sz="0" w:space="0" w:color="auto"/>
        <w:bottom w:val="none" w:sz="0" w:space="0" w:color="auto"/>
        <w:right w:val="none" w:sz="0" w:space="0" w:color="auto"/>
      </w:divBdr>
    </w:div>
    <w:div w:id="1360164146">
      <w:marLeft w:val="0"/>
      <w:marRight w:val="0"/>
      <w:marTop w:val="0"/>
      <w:marBottom w:val="0"/>
      <w:divBdr>
        <w:top w:val="none" w:sz="0" w:space="0" w:color="auto"/>
        <w:left w:val="none" w:sz="0" w:space="0" w:color="auto"/>
        <w:bottom w:val="none" w:sz="0" w:space="0" w:color="auto"/>
        <w:right w:val="none" w:sz="0" w:space="0" w:color="auto"/>
      </w:divBdr>
      <w:divsChild>
        <w:div w:id="1051734852">
          <w:marLeft w:val="0"/>
          <w:marRight w:val="0"/>
          <w:marTop w:val="0"/>
          <w:marBottom w:val="0"/>
          <w:divBdr>
            <w:top w:val="none" w:sz="0" w:space="0" w:color="auto"/>
            <w:left w:val="none" w:sz="0" w:space="0" w:color="auto"/>
            <w:bottom w:val="none" w:sz="0" w:space="0" w:color="auto"/>
            <w:right w:val="none" w:sz="0" w:space="0" w:color="auto"/>
          </w:divBdr>
        </w:div>
      </w:divsChild>
    </w:div>
    <w:div w:id="1360397262">
      <w:marLeft w:val="0"/>
      <w:marRight w:val="0"/>
      <w:marTop w:val="0"/>
      <w:marBottom w:val="240"/>
      <w:divBdr>
        <w:top w:val="none" w:sz="0" w:space="0" w:color="auto"/>
        <w:left w:val="none" w:sz="0" w:space="0" w:color="auto"/>
        <w:bottom w:val="none" w:sz="0" w:space="0" w:color="auto"/>
        <w:right w:val="none" w:sz="0" w:space="0" w:color="auto"/>
      </w:divBdr>
    </w:div>
    <w:div w:id="1360621566">
      <w:marLeft w:val="0"/>
      <w:marRight w:val="0"/>
      <w:marTop w:val="0"/>
      <w:marBottom w:val="180"/>
      <w:divBdr>
        <w:top w:val="none" w:sz="0" w:space="0" w:color="auto"/>
        <w:left w:val="none" w:sz="0" w:space="0" w:color="auto"/>
        <w:bottom w:val="none" w:sz="0" w:space="0" w:color="auto"/>
        <w:right w:val="none" w:sz="0" w:space="0" w:color="auto"/>
      </w:divBdr>
    </w:div>
    <w:div w:id="1361276981">
      <w:marLeft w:val="0"/>
      <w:marRight w:val="0"/>
      <w:marTop w:val="100"/>
      <w:marBottom w:val="0"/>
      <w:divBdr>
        <w:top w:val="none" w:sz="0" w:space="0" w:color="auto"/>
        <w:left w:val="none" w:sz="0" w:space="0" w:color="auto"/>
        <w:bottom w:val="none" w:sz="0" w:space="0" w:color="auto"/>
        <w:right w:val="none" w:sz="0" w:space="0" w:color="auto"/>
      </w:divBdr>
      <w:divsChild>
        <w:div w:id="514922687">
          <w:marLeft w:val="0"/>
          <w:marRight w:val="0"/>
          <w:marTop w:val="0"/>
          <w:marBottom w:val="0"/>
          <w:divBdr>
            <w:top w:val="none" w:sz="0" w:space="0" w:color="auto"/>
            <w:left w:val="none" w:sz="0" w:space="0" w:color="auto"/>
            <w:bottom w:val="none" w:sz="0" w:space="0" w:color="auto"/>
            <w:right w:val="none" w:sz="0" w:space="0" w:color="auto"/>
          </w:divBdr>
        </w:div>
        <w:div w:id="1824393746">
          <w:marLeft w:val="0"/>
          <w:marRight w:val="0"/>
          <w:marTop w:val="0"/>
          <w:marBottom w:val="0"/>
          <w:divBdr>
            <w:top w:val="none" w:sz="0" w:space="0" w:color="auto"/>
            <w:left w:val="none" w:sz="0" w:space="0" w:color="auto"/>
            <w:bottom w:val="none" w:sz="0" w:space="0" w:color="auto"/>
            <w:right w:val="none" w:sz="0" w:space="0" w:color="auto"/>
          </w:divBdr>
        </w:div>
        <w:div w:id="1633830640">
          <w:marLeft w:val="0"/>
          <w:marRight w:val="0"/>
          <w:marTop w:val="0"/>
          <w:marBottom w:val="0"/>
          <w:divBdr>
            <w:top w:val="none" w:sz="0" w:space="0" w:color="auto"/>
            <w:left w:val="none" w:sz="0" w:space="0" w:color="auto"/>
            <w:bottom w:val="none" w:sz="0" w:space="0" w:color="auto"/>
            <w:right w:val="none" w:sz="0" w:space="0" w:color="auto"/>
          </w:divBdr>
        </w:div>
        <w:div w:id="2126071940">
          <w:marLeft w:val="0"/>
          <w:marRight w:val="0"/>
          <w:marTop w:val="0"/>
          <w:marBottom w:val="0"/>
          <w:divBdr>
            <w:top w:val="none" w:sz="0" w:space="0" w:color="auto"/>
            <w:left w:val="none" w:sz="0" w:space="0" w:color="auto"/>
            <w:bottom w:val="none" w:sz="0" w:space="0" w:color="auto"/>
            <w:right w:val="none" w:sz="0" w:space="0" w:color="auto"/>
          </w:divBdr>
        </w:div>
        <w:div w:id="3024306">
          <w:marLeft w:val="0"/>
          <w:marRight w:val="0"/>
          <w:marTop w:val="0"/>
          <w:marBottom w:val="0"/>
          <w:divBdr>
            <w:top w:val="none" w:sz="0" w:space="0" w:color="auto"/>
            <w:left w:val="none" w:sz="0" w:space="0" w:color="auto"/>
            <w:bottom w:val="none" w:sz="0" w:space="0" w:color="auto"/>
            <w:right w:val="none" w:sz="0" w:space="0" w:color="auto"/>
          </w:divBdr>
        </w:div>
        <w:div w:id="719325708">
          <w:marLeft w:val="0"/>
          <w:marRight w:val="0"/>
          <w:marTop w:val="0"/>
          <w:marBottom w:val="0"/>
          <w:divBdr>
            <w:top w:val="none" w:sz="0" w:space="0" w:color="auto"/>
            <w:left w:val="none" w:sz="0" w:space="0" w:color="auto"/>
            <w:bottom w:val="none" w:sz="0" w:space="0" w:color="auto"/>
            <w:right w:val="none" w:sz="0" w:space="0" w:color="auto"/>
          </w:divBdr>
        </w:div>
        <w:div w:id="1904873881">
          <w:marLeft w:val="0"/>
          <w:marRight w:val="0"/>
          <w:marTop w:val="0"/>
          <w:marBottom w:val="0"/>
          <w:divBdr>
            <w:top w:val="none" w:sz="0" w:space="0" w:color="auto"/>
            <w:left w:val="none" w:sz="0" w:space="0" w:color="auto"/>
            <w:bottom w:val="none" w:sz="0" w:space="0" w:color="auto"/>
            <w:right w:val="none" w:sz="0" w:space="0" w:color="auto"/>
          </w:divBdr>
        </w:div>
        <w:div w:id="897941077">
          <w:marLeft w:val="0"/>
          <w:marRight w:val="0"/>
          <w:marTop w:val="0"/>
          <w:marBottom w:val="0"/>
          <w:divBdr>
            <w:top w:val="none" w:sz="0" w:space="0" w:color="auto"/>
            <w:left w:val="none" w:sz="0" w:space="0" w:color="auto"/>
            <w:bottom w:val="none" w:sz="0" w:space="0" w:color="auto"/>
            <w:right w:val="none" w:sz="0" w:space="0" w:color="auto"/>
          </w:divBdr>
        </w:div>
        <w:div w:id="713697316">
          <w:marLeft w:val="0"/>
          <w:marRight w:val="0"/>
          <w:marTop w:val="0"/>
          <w:marBottom w:val="0"/>
          <w:divBdr>
            <w:top w:val="none" w:sz="0" w:space="0" w:color="auto"/>
            <w:left w:val="none" w:sz="0" w:space="0" w:color="auto"/>
            <w:bottom w:val="none" w:sz="0" w:space="0" w:color="auto"/>
            <w:right w:val="none" w:sz="0" w:space="0" w:color="auto"/>
          </w:divBdr>
        </w:div>
        <w:div w:id="1992564445">
          <w:marLeft w:val="0"/>
          <w:marRight w:val="0"/>
          <w:marTop w:val="0"/>
          <w:marBottom w:val="0"/>
          <w:divBdr>
            <w:top w:val="none" w:sz="0" w:space="0" w:color="auto"/>
            <w:left w:val="none" w:sz="0" w:space="0" w:color="auto"/>
            <w:bottom w:val="none" w:sz="0" w:space="0" w:color="auto"/>
            <w:right w:val="none" w:sz="0" w:space="0" w:color="auto"/>
          </w:divBdr>
        </w:div>
        <w:div w:id="114062122">
          <w:marLeft w:val="0"/>
          <w:marRight w:val="0"/>
          <w:marTop w:val="0"/>
          <w:marBottom w:val="0"/>
          <w:divBdr>
            <w:top w:val="none" w:sz="0" w:space="0" w:color="auto"/>
            <w:left w:val="none" w:sz="0" w:space="0" w:color="auto"/>
            <w:bottom w:val="none" w:sz="0" w:space="0" w:color="auto"/>
            <w:right w:val="none" w:sz="0" w:space="0" w:color="auto"/>
          </w:divBdr>
        </w:div>
        <w:div w:id="1233393432">
          <w:marLeft w:val="0"/>
          <w:marRight w:val="0"/>
          <w:marTop w:val="0"/>
          <w:marBottom w:val="0"/>
          <w:divBdr>
            <w:top w:val="none" w:sz="0" w:space="0" w:color="auto"/>
            <w:left w:val="none" w:sz="0" w:space="0" w:color="auto"/>
            <w:bottom w:val="none" w:sz="0" w:space="0" w:color="auto"/>
            <w:right w:val="none" w:sz="0" w:space="0" w:color="auto"/>
          </w:divBdr>
        </w:div>
        <w:div w:id="1965578637">
          <w:marLeft w:val="0"/>
          <w:marRight w:val="0"/>
          <w:marTop w:val="0"/>
          <w:marBottom w:val="0"/>
          <w:divBdr>
            <w:top w:val="none" w:sz="0" w:space="0" w:color="auto"/>
            <w:left w:val="none" w:sz="0" w:space="0" w:color="auto"/>
            <w:bottom w:val="none" w:sz="0" w:space="0" w:color="auto"/>
            <w:right w:val="none" w:sz="0" w:space="0" w:color="auto"/>
          </w:divBdr>
        </w:div>
      </w:divsChild>
    </w:div>
    <w:div w:id="1362124612">
      <w:marLeft w:val="0"/>
      <w:marRight w:val="0"/>
      <w:marTop w:val="0"/>
      <w:marBottom w:val="0"/>
      <w:divBdr>
        <w:top w:val="none" w:sz="0" w:space="0" w:color="auto"/>
        <w:left w:val="none" w:sz="0" w:space="0" w:color="auto"/>
        <w:bottom w:val="none" w:sz="0" w:space="0" w:color="auto"/>
        <w:right w:val="none" w:sz="0" w:space="0" w:color="auto"/>
      </w:divBdr>
    </w:div>
    <w:div w:id="1363894668">
      <w:marLeft w:val="0"/>
      <w:marRight w:val="0"/>
      <w:marTop w:val="0"/>
      <w:marBottom w:val="0"/>
      <w:divBdr>
        <w:top w:val="none" w:sz="0" w:space="0" w:color="auto"/>
        <w:left w:val="none" w:sz="0" w:space="0" w:color="auto"/>
        <w:bottom w:val="none" w:sz="0" w:space="0" w:color="auto"/>
        <w:right w:val="none" w:sz="0" w:space="0" w:color="auto"/>
      </w:divBdr>
    </w:div>
    <w:div w:id="1364330534">
      <w:marLeft w:val="0"/>
      <w:marRight w:val="0"/>
      <w:marTop w:val="0"/>
      <w:marBottom w:val="240"/>
      <w:divBdr>
        <w:top w:val="none" w:sz="0" w:space="0" w:color="auto"/>
        <w:left w:val="none" w:sz="0" w:space="0" w:color="auto"/>
        <w:bottom w:val="none" w:sz="0" w:space="0" w:color="auto"/>
        <w:right w:val="none" w:sz="0" w:space="0" w:color="auto"/>
      </w:divBdr>
    </w:div>
    <w:div w:id="1365013717">
      <w:marLeft w:val="0"/>
      <w:marRight w:val="0"/>
      <w:marTop w:val="0"/>
      <w:marBottom w:val="180"/>
      <w:divBdr>
        <w:top w:val="none" w:sz="0" w:space="0" w:color="auto"/>
        <w:left w:val="none" w:sz="0" w:space="0" w:color="auto"/>
        <w:bottom w:val="none" w:sz="0" w:space="0" w:color="auto"/>
        <w:right w:val="none" w:sz="0" w:space="0" w:color="auto"/>
      </w:divBdr>
    </w:div>
    <w:div w:id="1366297391">
      <w:marLeft w:val="0"/>
      <w:marRight w:val="0"/>
      <w:marTop w:val="0"/>
      <w:marBottom w:val="240"/>
      <w:divBdr>
        <w:top w:val="none" w:sz="0" w:space="0" w:color="auto"/>
        <w:left w:val="none" w:sz="0" w:space="0" w:color="auto"/>
        <w:bottom w:val="none" w:sz="0" w:space="0" w:color="auto"/>
        <w:right w:val="none" w:sz="0" w:space="0" w:color="auto"/>
      </w:divBdr>
    </w:div>
    <w:div w:id="1366521593">
      <w:marLeft w:val="0"/>
      <w:marRight w:val="0"/>
      <w:marTop w:val="0"/>
      <w:marBottom w:val="0"/>
      <w:divBdr>
        <w:top w:val="none" w:sz="0" w:space="0" w:color="auto"/>
        <w:left w:val="none" w:sz="0" w:space="0" w:color="auto"/>
        <w:bottom w:val="none" w:sz="0" w:space="0" w:color="auto"/>
        <w:right w:val="none" w:sz="0" w:space="0" w:color="auto"/>
      </w:divBdr>
      <w:divsChild>
        <w:div w:id="1359353066">
          <w:marLeft w:val="0"/>
          <w:marRight w:val="0"/>
          <w:marTop w:val="0"/>
          <w:marBottom w:val="0"/>
          <w:divBdr>
            <w:top w:val="none" w:sz="0" w:space="0" w:color="auto"/>
            <w:left w:val="none" w:sz="0" w:space="0" w:color="auto"/>
            <w:bottom w:val="none" w:sz="0" w:space="0" w:color="auto"/>
            <w:right w:val="none" w:sz="0" w:space="0" w:color="auto"/>
          </w:divBdr>
        </w:div>
      </w:divsChild>
    </w:div>
    <w:div w:id="1366758402">
      <w:marLeft w:val="0"/>
      <w:marRight w:val="0"/>
      <w:marTop w:val="100"/>
      <w:marBottom w:val="180"/>
      <w:divBdr>
        <w:top w:val="none" w:sz="0" w:space="0" w:color="auto"/>
        <w:left w:val="none" w:sz="0" w:space="0" w:color="auto"/>
        <w:bottom w:val="none" w:sz="0" w:space="0" w:color="auto"/>
        <w:right w:val="none" w:sz="0" w:space="0" w:color="auto"/>
      </w:divBdr>
    </w:div>
    <w:div w:id="1366901970">
      <w:marLeft w:val="0"/>
      <w:marRight w:val="0"/>
      <w:marTop w:val="120"/>
      <w:marBottom w:val="120"/>
      <w:divBdr>
        <w:top w:val="none" w:sz="0" w:space="0" w:color="auto"/>
        <w:left w:val="none" w:sz="0" w:space="0" w:color="auto"/>
        <w:bottom w:val="none" w:sz="0" w:space="0" w:color="auto"/>
        <w:right w:val="none" w:sz="0" w:space="0" w:color="auto"/>
      </w:divBdr>
    </w:div>
    <w:div w:id="1368337578">
      <w:marLeft w:val="0"/>
      <w:marRight w:val="0"/>
      <w:marTop w:val="0"/>
      <w:marBottom w:val="240"/>
      <w:divBdr>
        <w:top w:val="none" w:sz="0" w:space="0" w:color="auto"/>
        <w:left w:val="none" w:sz="0" w:space="0" w:color="auto"/>
        <w:bottom w:val="none" w:sz="0" w:space="0" w:color="auto"/>
        <w:right w:val="none" w:sz="0" w:space="0" w:color="auto"/>
      </w:divBdr>
    </w:div>
    <w:div w:id="1369643133">
      <w:marLeft w:val="0"/>
      <w:marRight w:val="0"/>
      <w:marTop w:val="180"/>
      <w:marBottom w:val="180"/>
      <w:divBdr>
        <w:top w:val="none" w:sz="0" w:space="0" w:color="auto"/>
        <w:left w:val="none" w:sz="0" w:space="0" w:color="auto"/>
        <w:bottom w:val="none" w:sz="0" w:space="0" w:color="auto"/>
        <w:right w:val="none" w:sz="0" w:space="0" w:color="auto"/>
      </w:divBdr>
    </w:div>
    <w:div w:id="1370495609">
      <w:marLeft w:val="0"/>
      <w:marRight w:val="0"/>
      <w:marTop w:val="0"/>
      <w:marBottom w:val="240"/>
      <w:divBdr>
        <w:top w:val="none" w:sz="0" w:space="0" w:color="auto"/>
        <w:left w:val="none" w:sz="0" w:space="0" w:color="auto"/>
        <w:bottom w:val="none" w:sz="0" w:space="0" w:color="auto"/>
        <w:right w:val="none" w:sz="0" w:space="0" w:color="auto"/>
      </w:divBdr>
    </w:div>
    <w:div w:id="1370570065">
      <w:marLeft w:val="0"/>
      <w:marRight w:val="0"/>
      <w:marTop w:val="0"/>
      <w:marBottom w:val="180"/>
      <w:divBdr>
        <w:top w:val="none" w:sz="0" w:space="0" w:color="auto"/>
        <w:left w:val="none" w:sz="0" w:space="0" w:color="auto"/>
        <w:bottom w:val="none" w:sz="0" w:space="0" w:color="auto"/>
        <w:right w:val="none" w:sz="0" w:space="0" w:color="auto"/>
      </w:divBdr>
    </w:div>
    <w:div w:id="1370686433">
      <w:marLeft w:val="0"/>
      <w:marRight w:val="0"/>
      <w:marTop w:val="0"/>
      <w:marBottom w:val="180"/>
      <w:divBdr>
        <w:top w:val="none" w:sz="0" w:space="0" w:color="auto"/>
        <w:left w:val="none" w:sz="0" w:space="0" w:color="auto"/>
        <w:bottom w:val="none" w:sz="0" w:space="0" w:color="auto"/>
        <w:right w:val="none" w:sz="0" w:space="0" w:color="auto"/>
      </w:divBdr>
    </w:div>
    <w:div w:id="1371691356">
      <w:marLeft w:val="0"/>
      <w:marRight w:val="0"/>
      <w:marTop w:val="0"/>
      <w:marBottom w:val="240"/>
      <w:divBdr>
        <w:top w:val="none" w:sz="0" w:space="0" w:color="auto"/>
        <w:left w:val="none" w:sz="0" w:space="0" w:color="auto"/>
        <w:bottom w:val="none" w:sz="0" w:space="0" w:color="auto"/>
        <w:right w:val="none" w:sz="0" w:space="0" w:color="auto"/>
      </w:divBdr>
    </w:div>
    <w:div w:id="1371808546">
      <w:marLeft w:val="0"/>
      <w:marRight w:val="0"/>
      <w:marTop w:val="100"/>
      <w:marBottom w:val="0"/>
      <w:divBdr>
        <w:top w:val="none" w:sz="0" w:space="0" w:color="auto"/>
        <w:left w:val="none" w:sz="0" w:space="0" w:color="auto"/>
        <w:bottom w:val="none" w:sz="0" w:space="0" w:color="auto"/>
        <w:right w:val="none" w:sz="0" w:space="0" w:color="auto"/>
      </w:divBdr>
    </w:div>
    <w:div w:id="1372606935">
      <w:marLeft w:val="0"/>
      <w:marRight w:val="0"/>
      <w:marTop w:val="0"/>
      <w:marBottom w:val="240"/>
      <w:divBdr>
        <w:top w:val="none" w:sz="0" w:space="0" w:color="auto"/>
        <w:left w:val="none" w:sz="0" w:space="0" w:color="auto"/>
        <w:bottom w:val="none" w:sz="0" w:space="0" w:color="auto"/>
        <w:right w:val="none" w:sz="0" w:space="0" w:color="auto"/>
      </w:divBdr>
    </w:div>
    <w:div w:id="1372922694">
      <w:marLeft w:val="0"/>
      <w:marRight w:val="0"/>
      <w:marTop w:val="180"/>
      <w:marBottom w:val="180"/>
      <w:divBdr>
        <w:top w:val="none" w:sz="0" w:space="0" w:color="auto"/>
        <w:left w:val="none" w:sz="0" w:space="0" w:color="auto"/>
        <w:bottom w:val="none" w:sz="0" w:space="0" w:color="auto"/>
        <w:right w:val="none" w:sz="0" w:space="0" w:color="auto"/>
      </w:divBdr>
    </w:div>
    <w:div w:id="1373386987">
      <w:marLeft w:val="0"/>
      <w:marRight w:val="0"/>
      <w:marTop w:val="0"/>
      <w:marBottom w:val="0"/>
      <w:divBdr>
        <w:top w:val="none" w:sz="0" w:space="0" w:color="auto"/>
        <w:left w:val="none" w:sz="0" w:space="0" w:color="auto"/>
        <w:bottom w:val="none" w:sz="0" w:space="0" w:color="auto"/>
        <w:right w:val="none" w:sz="0" w:space="0" w:color="auto"/>
      </w:divBdr>
    </w:div>
    <w:div w:id="1373463430">
      <w:marLeft w:val="0"/>
      <w:marRight w:val="0"/>
      <w:marTop w:val="0"/>
      <w:marBottom w:val="0"/>
      <w:divBdr>
        <w:top w:val="none" w:sz="0" w:space="0" w:color="auto"/>
        <w:left w:val="none" w:sz="0" w:space="0" w:color="auto"/>
        <w:bottom w:val="none" w:sz="0" w:space="0" w:color="auto"/>
        <w:right w:val="none" w:sz="0" w:space="0" w:color="auto"/>
      </w:divBdr>
      <w:divsChild>
        <w:div w:id="1399129694">
          <w:marLeft w:val="0"/>
          <w:marRight w:val="0"/>
          <w:marTop w:val="0"/>
          <w:marBottom w:val="0"/>
          <w:divBdr>
            <w:top w:val="none" w:sz="0" w:space="0" w:color="auto"/>
            <w:left w:val="none" w:sz="0" w:space="0" w:color="auto"/>
            <w:bottom w:val="none" w:sz="0" w:space="0" w:color="auto"/>
            <w:right w:val="none" w:sz="0" w:space="0" w:color="auto"/>
          </w:divBdr>
        </w:div>
      </w:divsChild>
    </w:div>
    <w:div w:id="1374422308">
      <w:marLeft w:val="0"/>
      <w:marRight w:val="0"/>
      <w:marTop w:val="0"/>
      <w:marBottom w:val="240"/>
      <w:divBdr>
        <w:top w:val="none" w:sz="0" w:space="0" w:color="auto"/>
        <w:left w:val="none" w:sz="0" w:space="0" w:color="auto"/>
        <w:bottom w:val="none" w:sz="0" w:space="0" w:color="auto"/>
        <w:right w:val="none" w:sz="0" w:space="0" w:color="auto"/>
      </w:divBdr>
    </w:div>
    <w:div w:id="1376351343">
      <w:marLeft w:val="0"/>
      <w:marRight w:val="0"/>
      <w:marTop w:val="180"/>
      <w:marBottom w:val="180"/>
      <w:divBdr>
        <w:top w:val="none" w:sz="0" w:space="0" w:color="auto"/>
        <w:left w:val="none" w:sz="0" w:space="0" w:color="auto"/>
        <w:bottom w:val="none" w:sz="0" w:space="0" w:color="auto"/>
        <w:right w:val="none" w:sz="0" w:space="0" w:color="auto"/>
      </w:divBdr>
    </w:div>
    <w:div w:id="1376930028">
      <w:marLeft w:val="0"/>
      <w:marRight w:val="0"/>
      <w:marTop w:val="180"/>
      <w:marBottom w:val="180"/>
      <w:divBdr>
        <w:top w:val="none" w:sz="0" w:space="0" w:color="auto"/>
        <w:left w:val="none" w:sz="0" w:space="0" w:color="auto"/>
        <w:bottom w:val="none" w:sz="0" w:space="0" w:color="auto"/>
        <w:right w:val="none" w:sz="0" w:space="0" w:color="auto"/>
      </w:divBdr>
    </w:div>
    <w:div w:id="1379040602">
      <w:marLeft w:val="0"/>
      <w:marRight w:val="0"/>
      <w:marTop w:val="180"/>
      <w:marBottom w:val="180"/>
      <w:divBdr>
        <w:top w:val="none" w:sz="0" w:space="0" w:color="auto"/>
        <w:left w:val="none" w:sz="0" w:space="0" w:color="auto"/>
        <w:bottom w:val="none" w:sz="0" w:space="0" w:color="auto"/>
        <w:right w:val="none" w:sz="0" w:space="0" w:color="auto"/>
      </w:divBdr>
    </w:div>
    <w:div w:id="1379551244">
      <w:marLeft w:val="0"/>
      <w:marRight w:val="0"/>
      <w:marTop w:val="180"/>
      <w:marBottom w:val="180"/>
      <w:divBdr>
        <w:top w:val="none" w:sz="0" w:space="0" w:color="auto"/>
        <w:left w:val="none" w:sz="0" w:space="0" w:color="auto"/>
        <w:bottom w:val="none" w:sz="0" w:space="0" w:color="auto"/>
        <w:right w:val="none" w:sz="0" w:space="0" w:color="auto"/>
      </w:divBdr>
    </w:div>
    <w:div w:id="1379817551">
      <w:marLeft w:val="0"/>
      <w:marRight w:val="0"/>
      <w:marTop w:val="0"/>
      <w:marBottom w:val="180"/>
      <w:divBdr>
        <w:top w:val="none" w:sz="0" w:space="0" w:color="auto"/>
        <w:left w:val="none" w:sz="0" w:space="0" w:color="auto"/>
        <w:bottom w:val="none" w:sz="0" w:space="0" w:color="auto"/>
        <w:right w:val="none" w:sz="0" w:space="0" w:color="auto"/>
      </w:divBdr>
    </w:div>
    <w:div w:id="1380666444">
      <w:marLeft w:val="0"/>
      <w:marRight w:val="0"/>
      <w:marTop w:val="0"/>
      <w:marBottom w:val="0"/>
      <w:divBdr>
        <w:top w:val="none" w:sz="0" w:space="0" w:color="auto"/>
        <w:left w:val="none" w:sz="0" w:space="0" w:color="auto"/>
        <w:bottom w:val="none" w:sz="0" w:space="0" w:color="auto"/>
        <w:right w:val="none" w:sz="0" w:space="0" w:color="auto"/>
      </w:divBdr>
    </w:div>
    <w:div w:id="1381131804">
      <w:marLeft w:val="0"/>
      <w:marRight w:val="0"/>
      <w:marTop w:val="0"/>
      <w:marBottom w:val="240"/>
      <w:divBdr>
        <w:top w:val="none" w:sz="0" w:space="0" w:color="auto"/>
        <w:left w:val="none" w:sz="0" w:space="0" w:color="auto"/>
        <w:bottom w:val="none" w:sz="0" w:space="0" w:color="auto"/>
        <w:right w:val="none" w:sz="0" w:space="0" w:color="auto"/>
      </w:divBdr>
    </w:div>
    <w:div w:id="1381243723">
      <w:marLeft w:val="0"/>
      <w:marRight w:val="0"/>
      <w:marTop w:val="0"/>
      <w:marBottom w:val="180"/>
      <w:divBdr>
        <w:top w:val="none" w:sz="0" w:space="0" w:color="auto"/>
        <w:left w:val="none" w:sz="0" w:space="0" w:color="auto"/>
        <w:bottom w:val="none" w:sz="0" w:space="0" w:color="auto"/>
        <w:right w:val="none" w:sz="0" w:space="0" w:color="auto"/>
      </w:divBdr>
    </w:div>
    <w:div w:id="1382166043">
      <w:marLeft w:val="0"/>
      <w:marRight w:val="0"/>
      <w:marTop w:val="0"/>
      <w:marBottom w:val="240"/>
      <w:divBdr>
        <w:top w:val="none" w:sz="0" w:space="0" w:color="auto"/>
        <w:left w:val="none" w:sz="0" w:space="0" w:color="auto"/>
        <w:bottom w:val="none" w:sz="0" w:space="0" w:color="auto"/>
        <w:right w:val="none" w:sz="0" w:space="0" w:color="auto"/>
      </w:divBdr>
    </w:div>
    <w:div w:id="1384137703">
      <w:marLeft w:val="0"/>
      <w:marRight w:val="0"/>
      <w:marTop w:val="0"/>
      <w:marBottom w:val="240"/>
      <w:divBdr>
        <w:top w:val="none" w:sz="0" w:space="0" w:color="auto"/>
        <w:left w:val="none" w:sz="0" w:space="0" w:color="auto"/>
        <w:bottom w:val="none" w:sz="0" w:space="0" w:color="auto"/>
        <w:right w:val="none" w:sz="0" w:space="0" w:color="auto"/>
      </w:divBdr>
    </w:div>
    <w:div w:id="1385330512">
      <w:marLeft w:val="0"/>
      <w:marRight w:val="0"/>
      <w:marTop w:val="180"/>
      <w:marBottom w:val="180"/>
      <w:divBdr>
        <w:top w:val="none" w:sz="0" w:space="0" w:color="auto"/>
        <w:left w:val="none" w:sz="0" w:space="0" w:color="auto"/>
        <w:bottom w:val="none" w:sz="0" w:space="0" w:color="auto"/>
        <w:right w:val="none" w:sz="0" w:space="0" w:color="auto"/>
      </w:divBdr>
    </w:div>
    <w:div w:id="1385833699">
      <w:marLeft w:val="0"/>
      <w:marRight w:val="0"/>
      <w:marTop w:val="100"/>
      <w:marBottom w:val="0"/>
      <w:divBdr>
        <w:top w:val="none" w:sz="0" w:space="0" w:color="auto"/>
        <w:left w:val="none" w:sz="0" w:space="0" w:color="auto"/>
        <w:bottom w:val="none" w:sz="0" w:space="0" w:color="auto"/>
        <w:right w:val="none" w:sz="0" w:space="0" w:color="auto"/>
      </w:divBdr>
    </w:div>
    <w:div w:id="1389911916">
      <w:marLeft w:val="0"/>
      <w:marRight w:val="0"/>
      <w:marTop w:val="0"/>
      <w:marBottom w:val="0"/>
      <w:divBdr>
        <w:top w:val="none" w:sz="0" w:space="0" w:color="auto"/>
        <w:left w:val="none" w:sz="0" w:space="0" w:color="auto"/>
        <w:bottom w:val="none" w:sz="0" w:space="0" w:color="auto"/>
        <w:right w:val="none" w:sz="0" w:space="0" w:color="auto"/>
      </w:divBdr>
    </w:div>
    <w:div w:id="1390112506">
      <w:marLeft w:val="0"/>
      <w:marRight w:val="0"/>
      <w:marTop w:val="0"/>
      <w:marBottom w:val="180"/>
      <w:divBdr>
        <w:top w:val="none" w:sz="0" w:space="0" w:color="auto"/>
        <w:left w:val="none" w:sz="0" w:space="0" w:color="auto"/>
        <w:bottom w:val="none" w:sz="0" w:space="0" w:color="auto"/>
        <w:right w:val="none" w:sz="0" w:space="0" w:color="auto"/>
      </w:divBdr>
    </w:div>
    <w:div w:id="1390305644">
      <w:marLeft w:val="0"/>
      <w:marRight w:val="0"/>
      <w:marTop w:val="0"/>
      <w:marBottom w:val="0"/>
      <w:divBdr>
        <w:top w:val="none" w:sz="0" w:space="0" w:color="auto"/>
        <w:left w:val="none" w:sz="0" w:space="0" w:color="auto"/>
        <w:bottom w:val="none" w:sz="0" w:space="0" w:color="auto"/>
        <w:right w:val="none" w:sz="0" w:space="0" w:color="auto"/>
      </w:divBdr>
    </w:div>
    <w:div w:id="1390574405">
      <w:marLeft w:val="0"/>
      <w:marRight w:val="0"/>
      <w:marTop w:val="0"/>
      <w:marBottom w:val="240"/>
      <w:divBdr>
        <w:top w:val="none" w:sz="0" w:space="0" w:color="auto"/>
        <w:left w:val="none" w:sz="0" w:space="0" w:color="auto"/>
        <w:bottom w:val="none" w:sz="0" w:space="0" w:color="auto"/>
        <w:right w:val="none" w:sz="0" w:space="0" w:color="auto"/>
      </w:divBdr>
    </w:div>
    <w:div w:id="1390690514">
      <w:marLeft w:val="0"/>
      <w:marRight w:val="0"/>
      <w:marTop w:val="180"/>
      <w:marBottom w:val="180"/>
      <w:divBdr>
        <w:top w:val="none" w:sz="0" w:space="0" w:color="auto"/>
        <w:left w:val="none" w:sz="0" w:space="0" w:color="auto"/>
        <w:bottom w:val="none" w:sz="0" w:space="0" w:color="auto"/>
        <w:right w:val="none" w:sz="0" w:space="0" w:color="auto"/>
      </w:divBdr>
    </w:div>
    <w:div w:id="1391004478">
      <w:marLeft w:val="0"/>
      <w:marRight w:val="0"/>
      <w:marTop w:val="0"/>
      <w:marBottom w:val="180"/>
      <w:divBdr>
        <w:top w:val="none" w:sz="0" w:space="0" w:color="auto"/>
        <w:left w:val="none" w:sz="0" w:space="0" w:color="auto"/>
        <w:bottom w:val="none" w:sz="0" w:space="0" w:color="auto"/>
        <w:right w:val="none" w:sz="0" w:space="0" w:color="auto"/>
      </w:divBdr>
    </w:div>
    <w:div w:id="1391733457">
      <w:marLeft w:val="0"/>
      <w:marRight w:val="0"/>
      <w:marTop w:val="120"/>
      <w:marBottom w:val="60"/>
      <w:divBdr>
        <w:top w:val="none" w:sz="0" w:space="0" w:color="auto"/>
        <w:left w:val="none" w:sz="0" w:space="0" w:color="auto"/>
        <w:bottom w:val="none" w:sz="0" w:space="0" w:color="auto"/>
        <w:right w:val="none" w:sz="0" w:space="0" w:color="auto"/>
      </w:divBdr>
    </w:div>
    <w:div w:id="1392995824">
      <w:marLeft w:val="0"/>
      <w:marRight w:val="0"/>
      <w:marTop w:val="0"/>
      <w:marBottom w:val="0"/>
      <w:divBdr>
        <w:top w:val="none" w:sz="0" w:space="0" w:color="auto"/>
        <w:left w:val="none" w:sz="0" w:space="0" w:color="auto"/>
        <w:bottom w:val="none" w:sz="0" w:space="0" w:color="auto"/>
        <w:right w:val="none" w:sz="0" w:space="0" w:color="auto"/>
      </w:divBdr>
    </w:div>
    <w:div w:id="1393046122">
      <w:marLeft w:val="0"/>
      <w:marRight w:val="0"/>
      <w:marTop w:val="0"/>
      <w:marBottom w:val="240"/>
      <w:divBdr>
        <w:top w:val="none" w:sz="0" w:space="0" w:color="auto"/>
        <w:left w:val="none" w:sz="0" w:space="0" w:color="auto"/>
        <w:bottom w:val="none" w:sz="0" w:space="0" w:color="auto"/>
        <w:right w:val="none" w:sz="0" w:space="0" w:color="auto"/>
      </w:divBdr>
    </w:div>
    <w:div w:id="1393117627">
      <w:marLeft w:val="0"/>
      <w:marRight w:val="0"/>
      <w:marTop w:val="180"/>
      <w:marBottom w:val="180"/>
      <w:divBdr>
        <w:top w:val="none" w:sz="0" w:space="0" w:color="auto"/>
        <w:left w:val="none" w:sz="0" w:space="0" w:color="auto"/>
        <w:bottom w:val="none" w:sz="0" w:space="0" w:color="auto"/>
        <w:right w:val="none" w:sz="0" w:space="0" w:color="auto"/>
      </w:divBdr>
    </w:div>
    <w:div w:id="1393433106">
      <w:marLeft w:val="0"/>
      <w:marRight w:val="0"/>
      <w:marTop w:val="120"/>
      <w:marBottom w:val="140"/>
      <w:divBdr>
        <w:top w:val="none" w:sz="0" w:space="0" w:color="auto"/>
        <w:left w:val="none" w:sz="0" w:space="0" w:color="auto"/>
        <w:bottom w:val="none" w:sz="0" w:space="0" w:color="auto"/>
        <w:right w:val="none" w:sz="0" w:space="0" w:color="auto"/>
      </w:divBdr>
    </w:div>
    <w:div w:id="1393776777">
      <w:marLeft w:val="0"/>
      <w:marRight w:val="0"/>
      <w:marTop w:val="0"/>
      <w:marBottom w:val="0"/>
      <w:divBdr>
        <w:top w:val="none" w:sz="0" w:space="0" w:color="auto"/>
        <w:left w:val="none" w:sz="0" w:space="0" w:color="auto"/>
        <w:bottom w:val="none" w:sz="0" w:space="0" w:color="auto"/>
        <w:right w:val="none" w:sz="0" w:space="0" w:color="auto"/>
      </w:divBdr>
    </w:div>
    <w:div w:id="1394428668">
      <w:marLeft w:val="0"/>
      <w:marRight w:val="0"/>
      <w:marTop w:val="0"/>
      <w:marBottom w:val="0"/>
      <w:divBdr>
        <w:top w:val="none" w:sz="0" w:space="0" w:color="auto"/>
        <w:left w:val="none" w:sz="0" w:space="0" w:color="auto"/>
        <w:bottom w:val="none" w:sz="0" w:space="0" w:color="auto"/>
        <w:right w:val="none" w:sz="0" w:space="0" w:color="auto"/>
      </w:divBdr>
      <w:divsChild>
        <w:div w:id="1949309082">
          <w:marLeft w:val="0"/>
          <w:marRight w:val="0"/>
          <w:marTop w:val="0"/>
          <w:marBottom w:val="0"/>
          <w:divBdr>
            <w:top w:val="none" w:sz="0" w:space="0" w:color="auto"/>
            <w:left w:val="none" w:sz="0" w:space="0" w:color="auto"/>
            <w:bottom w:val="none" w:sz="0" w:space="0" w:color="auto"/>
            <w:right w:val="none" w:sz="0" w:space="0" w:color="auto"/>
          </w:divBdr>
        </w:div>
      </w:divsChild>
    </w:div>
    <w:div w:id="1396391243">
      <w:marLeft w:val="0"/>
      <w:marRight w:val="0"/>
      <w:marTop w:val="180"/>
      <w:marBottom w:val="180"/>
      <w:divBdr>
        <w:top w:val="none" w:sz="0" w:space="0" w:color="auto"/>
        <w:left w:val="none" w:sz="0" w:space="0" w:color="auto"/>
        <w:bottom w:val="none" w:sz="0" w:space="0" w:color="auto"/>
        <w:right w:val="none" w:sz="0" w:space="0" w:color="auto"/>
      </w:divBdr>
    </w:div>
    <w:div w:id="1397892728">
      <w:marLeft w:val="0"/>
      <w:marRight w:val="0"/>
      <w:marTop w:val="0"/>
      <w:marBottom w:val="0"/>
      <w:divBdr>
        <w:top w:val="none" w:sz="0" w:space="0" w:color="auto"/>
        <w:left w:val="none" w:sz="0" w:space="0" w:color="auto"/>
        <w:bottom w:val="none" w:sz="0" w:space="0" w:color="auto"/>
        <w:right w:val="none" w:sz="0" w:space="0" w:color="auto"/>
      </w:divBdr>
    </w:div>
    <w:div w:id="1399016816">
      <w:marLeft w:val="0"/>
      <w:marRight w:val="0"/>
      <w:marTop w:val="0"/>
      <w:marBottom w:val="180"/>
      <w:divBdr>
        <w:top w:val="none" w:sz="0" w:space="0" w:color="auto"/>
        <w:left w:val="none" w:sz="0" w:space="0" w:color="auto"/>
        <w:bottom w:val="none" w:sz="0" w:space="0" w:color="auto"/>
        <w:right w:val="none" w:sz="0" w:space="0" w:color="auto"/>
      </w:divBdr>
    </w:div>
    <w:div w:id="1399941177">
      <w:marLeft w:val="0"/>
      <w:marRight w:val="0"/>
      <w:marTop w:val="0"/>
      <w:marBottom w:val="180"/>
      <w:divBdr>
        <w:top w:val="none" w:sz="0" w:space="0" w:color="auto"/>
        <w:left w:val="none" w:sz="0" w:space="0" w:color="auto"/>
        <w:bottom w:val="none" w:sz="0" w:space="0" w:color="auto"/>
        <w:right w:val="none" w:sz="0" w:space="0" w:color="auto"/>
      </w:divBdr>
    </w:div>
    <w:div w:id="1402871979">
      <w:marLeft w:val="0"/>
      <w:marRight w:val="0"/>
      <w:marTop w:val="0"/>
      <w:marBottom w:val="0"/>
      <w:divBdr>
        <w:top w:val="none" w:sz="0" w:space="0" w:color="auto"/>
        <w:left w:val="none" w:sz="0" w:space="0" w:color="auto"/>
        <w:bottom w:val="none" w:sz="0" w:space="0" w:color="auto"/>
        <w:right w:val="none" w:sz="0" w:space="0" w:color="auto"/>
      </w:divBdr>
      <w:divsChild>
        <w:div w:id="1051419634">
          <w:marLeft w:val="0"/>
          <w:marRight w:val="0"/>
          <w:marTop w:val="0"/>
          <w:marBottom w:val="0"/>
          <w:divBdr>
            <w:top w:val="none" w:sz="0" w:space="0" w:color="auto"/>
            <w:left w:val="none" w:sz="0" w:space="0" w:color="auto"/>
            <w:bottom w:val="none" w:sz="0" w:space="0" w:color="auto"/>
            <w:right w:val="none" w:sz="0" w:space="0" w:color="auto"/>
          </w:divBdr>
        </w:div>
      </w:divsChild>
    </w:div>
    <w:div w:id="1403019864">
      <w:marLeft w:val="0"/>
      <w:marRight w:val="0"/>
      <w:marTop w:val="180"/>
      <w:marBottom w:val="180"/>
      <w:divBdr>
        <w:top w:val="none" w:sz="0" w:space="0" w:color="auto"/>
        <w:left w:val="none" w:sz="0" w:space="0" w:color="auto"/>
        <w:bottom w:val="none" w:sz="0" w:space="0" w:color="auto"/>
        <w:right w:val="none" w:sz="0" w:space="0" w:color="auto"/>
      </w:divBdr>
    </w:div>
    <w:div w:id="1405253720">
      <w:marLeft w:val="0"/>
      <w:marRight w:val="0"/>
      <w:marTop w:val="120"/>
      <w:marBottom w:val="120"/>
      <w:divBdr>
        <w:top w:val="none" w:sz="0" w:space="0" w:color="auto"/>
        <w:left w:val="none" w:sz="0" w:space="0" w:color="auto"/>
        <w:bottom w:val="none" w:sz="0" w:space="0" w:color="auto"/>
        <w:right w:val="none" w:sz="0" w:space="0" w:color="auto"/>
      </w:divBdr>
    </w:div>
    <w:div w:id="1406756484">
      <w:marLeft w:val="0"/>
      <w:marRight w:val="0"/>
      <w:marTop w:val="0"/>
      <w:marBottom w:val="0"/>
      <w:divBdr>
        <w:top w:val="none" w:sz="0" w:space="0" w:color="auto"/>
        <w:left w:val="none" w:sz="0" w:space="0" w:color="auto"/>
        <w:bottom w:val="none" w:sz="0" w:space="0" w:color="auto"/>
        <w:right w:val="none" w:sz="0" w:space="0" w:color="auto"/>
      </w:divBdr>
    </w:div>
    <w:div w:id="1407679939">
      <w:marLeft w:val="0"/>
      <w:marRight w:val="0"/>
      <w:marTop w:val="0"/>
      <w:marBottom w:val="0"/>
      <w:divBdr>
        <w:top w:val="none" w:sz="0" w:space="0" w:color="auto"/>
        <w:left w:val="none" w:sz="0" w:space="0" w:color="auto"/>
        <w:bottom w:val="none" w:sz="0" w:space="0" w:color="auto"/>
        <w:right w:val="none" w:sz="0" w:space="0" w:color="auto"/>
      </w:divBdr>
    </w:div>
    <w:div w:id="1407800796">
      <w:marLeft w:val="0"/>
      <w:marRight w:val="0"/>
      <w:marTop w:val="0"/>
      <w:marBottom w:val="180"/>
      <w:divBdr>
        <w:top w:val="none" w:sz="0" w:space="0" w:color="auto"/>
        <w:left w:val="none" w:sz="0" w:space="0" w:color="auto"/>
        <w:bottom w:val="none" w:sz="0" w:space="0" w:color="auto"/>
        <w:right w:val="none" w:sz="0" w:space="0" w:color="auto"/>
      </w:divBdr>
    </w:div>
    <w:div w:id="1408188770">
      <w:marLeft w:val="0"/>
      <w:marRight w:val="0"/>
      <w:marTop w:val="0"/>
      <w:marBottom w:val="240"/>
      <w:divBdr>
        <w:top w:val="none" w:sz="0" w:space="0" w:color="auto"/>
        <w:left w:val="none" w:sz="0" w:space="0" w:color="auto"/>
        <w:bottom w:val="none" w:sz="0" w:space="0" w:color="auto"/>
        <w:right w:val="none" w:sz="0" w:space="0" w:color="auto"/>
      </w:divBdr>
    </w:div>
    <w:div w:id="1409155232">
      <w:marLeft w:val="0"/>
      <w:marRight w:val="0"/>
      <w:marTop w:val="0"/>
      <w:marBottom w:val="0"/>
      <w:divBdr>
        <w:top w:val="none" w:sz="0" w:space="0" w:color="auto"/>
        <w:left w:val="none" w:sz="0" w:space="0" w:color="auto"/>
        <w:bottom w:val="none" w:sz="0" w:space="0" w:color="auto"/>
        <w:right w:val="none" w:sz="0" w:space="0" w:color="auto"/>
      </w:divBdr>
      <w:divsChild>
        <w:div w:id="1011640937">
          <w:marLeft w:val="0"/>
          <w:marRight w:val="0"/>
          <w:marTop w:val="0"/>
          <w:marBottom w:val="0"/>
          <w:divBdr>
            <w:top w:val="none" w:sz="0" w:space="0" w:color="auto"/>
            <w:left w:val="none" w:sz="0" w:space="0" w:color="auto"/>
            <w:bottom w:val="none" w:sz="0" w:space="0" w:color="auto"/>
            <w:right w:val="none" w:sz="0" w:space="0" w:color="auto"/>
          </w:divBdr>
        </w:div>
      </w:divsChild>
    </w:div>
    <w:div w:id="1410275032">
      <w:marLeft w:val="0"/>
      <w:marRight w:val="0"/>
      <w:marTop w:val="0"/>
      <w:marBottom w:val="180"/>
      <w:divBdr>
        <w:top w:val="none" w:sz="0" w:space="0" w:color="auto"/>
        <w:left w:val="none" w:sz="0" w:space="0" w:color="auto"/>
        <w:bottom w:val="none" w:sz="0" w:space="0" w:color="auto"/>
        <w:right w:val="none" w:sz="0" w:space="0" w:color="auto"/>
      </w:divBdr>
    </w:div>
    <w:div w:id="1410344794">
      <w:marLeft w:val="0"/>
      <w:marRight w:val="0"/>
      <w:marTop w:val="0"/>
      <w:marBottom w:val="180"/>
      <w:divBdr>
        <w:top w:val="none" w:sz="0" w:space="0" w:color="auto"/>
        <w:left w:val="none" w:sz="0" w:space="0" w:color="auto"/>
        <w:bottom w:val="none" w:sz="0" w:space="0" w:color="auto"/>
        <w:right w:val="none" w:sz="0" w:space="0" w:color="auto"/>
      </w:divBdr>
    </w:div>
    <w:div w:id="1411732282">
      <w:marLeft w:val="0"/>
      <w:marRight w:val="0"/>
      <w:marTop w:val="180"/>
      <w:marBottom w:val="180"/>
      <w:divBdr>
        <w:top w:val="none" w:sz="0" w:space="0" w:color="auto"/>
        <w:left w:val="none" w:sz="0" w:space="0" w:color="auto"/>
        <w:bottom w:val="none" w:sz="0" w:space="0" w:color="auto"/>
        <w:right w:val="none" w:sz="0" w:space="0" w:color="auto"/>
      </w:divBdr>
    </w:div>
    <w:div w:id="1412312720">
      <w:marLeft w:val="0"/>
      <w:marRight w:val="0"/>
      <w:marTop w:val="180"/>
      <w:marBottom w:val="180"/>
      <w:divBdr>
        <w:top w:val="none" w:sz="0" w:space="0" w:color="auto"/>
        <w:left w:val="none" w:sz="0" w:space="0" w:color="auto"/>
        <w:bottom w:val="none" w:sz="0" w:space="0" w:color="auto"/>
        <w:right w:val="none" w:sz="0" w:space="0" w:color="auto"/>
      </w:divBdr>
    </w:div>
    <w:div w:id="1412387590">
      <w:marLeft w:val="0"/>
      <w:marRight w:val="0"/>
      <w:marTop w:val="0"/>
      <w:marBottom w:val="180"/>
      <w:divBdr>
        <w:top w:val="none" w:sz="0" w:space="0" w:color="auto"/>
        <w:left w:val="none" w:sz="0" w:space="0" w:color="auto"/>
        <w:bottom w:val="none" w:sz="0" w:space="0" w:color="auto"/>
        <w:right w:val="none" w:sz="0" w:space="0" w:color="auto"/>
      </w:divBdr>
    </w:div>
    <w:div w:id="1412502349">
      <w:marLeft w:val="0"/>
      <w:marRight w:val="0"/>
      <w:marTop w:val="100"/>
      <w:marBottom w:val="220"/>
      <w:divBdr>
        <w:top w:val="none" w:sz="0" w:space="0" w:color="auto"/>
        <w:left w:val="none" w:sz="0" w:space="0" w:color="auto"/>
        <w:bottom w:val="none" w:sz="0" w:space="0" w:color="auto"/>
        <w:right w:val="none" w:sz="0" w:space="0" w:color="auto"/>
      </w:divBdr>
      <w:divsChild>
        <w:div w:id="1204440390">
          <w:marLeft w:val="0"/>
          <w:marRight w:val="0"/>
          <w:marTop w:val="0"/>
          <w:marBottom w:val="0"/>
          <w:divBdr>
            <w:top w:val="none" w:sz="0" w:space="0" w:color="auto"/>
            <w:left w:val="none" w:sz="0" w:space="0" w:color="auto"/>
            <w:bottom w:val="none" w:sz="0" w:space="0" w:color="auto"/>
            <w:right w:val="none" w:sz="0" w:space="0" w:color="auto"/>
          </w:divBdr>
        </w:div>
        <w:div w:id="139662310">
          <w:marLeft w:val="0"/>
          <w:marRight w:val="0"/>
          <w:marTop w:val="0"/>
          <w:marBottom w:val="0"/>
          <w:divBdr>
            <w:top w:val="none" w:sz="0" w:space="0" w:color="auto"/>
            <w:left w:val="none" w:sz="0" w:space="0" w:color="auto"/>
            <w:bottom w:val="none" w:sz="0" w:space="0" w:color="auto"/>
            <w:right w:val="none" w:sz="0" w:space="0" w:color="auto"/>
          </w:divBdr>
        </w:div>
        <w:div w:id="2120490566">
          <w:marLeft w:val="0"/>
          <w:marRight w:val="0"/>
          <w:marTop w:val="0"/>
          <w:marBottom w:val="0"/>
          <w:divBdr>
            <w:top w:val="none" w:sz="0" w:space="0" w:color="auto"/>
            <w:left w:val="none" w:sz="0" w:space="0" w:color="auto"/>
            <w:bottom w:val="none" w:sz="0" w:space="0" w:color="auto"/>
            <w:right w:val="none" w:sz="0" w:space="0" w:color="auto"/>
          </w:divBdr>
        </w:div>
      </w:divsChild>
    </w:div>
    <w:div w:id="1413046314">
      <w:marLeft w:val="0"/>
      <w:marRight w:val="0"/>
      <w:marTop w:val="0"/>
      <w:marBottom w:val="180"/>
      <w:divBdr>
        <w:top w:val="none" w:sz="0" w:space="0" w:color="auto"/>
        <w:left w:val="none" w:sz="0" w:space="0" w:color="auto"/>
        <w:bottom w:val="none" w:sz="0" w:space="0" w:color="auto"/>
        <w:right w:val="none" w:sz="0" w:space="0" w:color="auto"/>
      </w:divBdr>
    </w:div>
    <w:div w:id="1413159752">
      <w:marLeft w:val="0"/>
      <w:marRight w:val="0"/>
      <w:marTop w:val="0"/>
      <w:marBottom w:val="180"/>
      <w:divBdr>
        <w:top w:val="none" w:sz="0" w:space="0" w:color="auto"/>
        <w:left w:val="none" w:sz="0" w:space="0" w:color="auto"/>
        <w:bottom w:val="none" w:sz="0" w:space="0" w:color="auto"/>
        <w:right w:val="none" w:sz="0" w:space="0" w:color="auto"/>
      </w:divBdr>
    </w:div>
    <w:div w:id="1415010572">
      <w:marLeft w:val="0"/>
      <w:marRight w:val="0"/>
      <w:marTop w:val="180"/>
      <w:marBottom w:val="180"/>
      <w:divBdr>
        <w:top w:val="none" w:sz="0" w:space="0" w:color="auto"/>
        <w:left w:val="none" w:sz="0" w:space="0" w:color="auto"/>
        <w:bottom w:val="none" w:sz="0" w:space="0" w:color="auto"/>
        <w:right w:val="none" w:sz="0" w:space="0" w:color="auto"/>
      </w:divBdr>
    </w:div>
    <w:div w:id="1415475523">
      <w:marLeft w:val="0"/>
      <w:marRight w:val="0"/>
      <w:marTop w:val="0"/>
      <w:marBottom w:val="180"/>
      <w:divBdr>
        <w:top w:val="none" w:sz="0" w:space="0" w:color="auto"/>
        <w:left w:val="none" w:sz="0" w:space="0" w:color="auto"/>
        <w:bottom w:val="none" w:sz="0" w:space="0" w:color="auto"/>
        <w:right w:val="none" w:sz="0" w:space="0" w:color="auto"/>
      </w:divBdr>
    </w:div>
    <w:div w:id="1416517502">
      <w:marLeft w:val="0"/>
      <w:marRight w:val="0"/>
      <w:marTop w:val="0"/>
      <w:marBottom w:val="240"/>
      <w:divBdr>
        <w:top w:val="none" w:sz="0" w:space="0" w:color="auto"/>
        <w:left w:val="none" w:sz="0" w:space="0" w:color="auto"/>
        <w:bottom w:val="none" w:sz="0" w:space="0" w:color="auto"/>
        <w:right w:val="none" w:sz="0" w:space="0" w:color="auto"/>
      </w:divBdr>
    </w:div>
    <w:div w:id="1416827806">
      <w:marLeft w:val="0"/>
      <w:marRight w:val="0"/>
      <w:marTop w:val="180"/>
      <w:marBottom w:val="180"/>
      <w:divBdr>
        <w:top w:val="none" w:sz="0" w:space="0" w:color="auto"/>
        <w:left w:val="none" w:sz="0" w:space="0" w:color="auto"/>
        <w:bottom w:val="none" w:sz="0" w:space="0" w:color="auto"/>
        <w:right w:val="none" w:sz="0" w:space="0" w:color="auto"/>
      </w:divBdr>
    </w:div>
    <w:div w:id="1417022567">
      <w:marLeft w:val="0"/>
      <w:marRight w:val="0"/>
      <w:marTop w:val="120"/>
      <w:marBottom w:val="240"/>
      <w:divBdr>
        <w:top w:val="none" w:sz="0" w:space="0" w:color="auto"/>
        <w:left w:val="none" w:sz="0" w:space="0" w:color="auto"/>
        <w:bottom w:val="none" w:sz="0" w:space="0" w:color="auto"/>
        <w:right w:val="none" w:sz="0" w:space="0" w:color="auto"/>
      </w:divBdr>
    </w:div>
    <w:div w:id="1418093318">
      <w:marLeft w:val="0"/>
      <w:marRight w:val="0"/>
      <w:marTop w:val="0"/>
      <w:marBottom w:val="0"/>
      <w:divBdr>
        <w:top w:val="none" w:sz="0" w:space="0" w:color="auto"/>
        <w:left w:val="none" w:sz="0" w:space="0" w:color="auto"/>
        <w:bottom w:val="none" w:sz="0" w:space="0" w:color="auto"/>
        <w:right w:val="none" w:sz="0" w:space="0" w:color="auto"/>
      </w:divBdr>
      <w:divsChild>
        <w:div w:id="1369068122">
          <w:marLeft w:val="0"/>
          <w:marRight w:val="0"/>
          <w:marTop w:val="0"/>
          <w:marBottom w:val="0"/>
          <w:divBdr>
            <w:top w:val="none" w:sz="0" w:space="0" w:color="auto"/>
            <w:left w:val="none" w:sz="0" w:space="0" w:color="auto"/>
            <w:bottom w:val="none" w:sz="0" w:space="0" w:color="auto"/>
            <w:right w:val="none" w:sz="0" w:space="0" w:color="auto"/>
          </w:divBdr>
        </w:div>
      </w:divsChild>
    </w:div>
    <w:div w:id="1418937645">
      <w:marLeft w:val="0"/>
      <w:marRight w:val="0"/>
      <w:marTop w:val="180"/>
      <w:marBottom w:val="180"/>
      <w:divBdr>
        <w:top w:val="none" w:sz="0" w:space="0" w:color="auto"/>
        <w:left w:val="none" w:sz="0" w:space="0" w:color="auto"/>
        <w:bottom w:val="none" w:sz="0" w:space="0" w:color="auto"/>
        <w:right w:val="none" w:sz="0" w:space="0" w:color="auto"/>
      </w:divBdr>
    </w:div>
    <w:div w:id="1418987707">
      <w:marLeft w:val="0"/>
      <w:marRight w:val="0"/>
      <w:marTop w:val="0"/>
      <w:marBottom w:val="0"/>
      <w:divBdr>
        <w:top w:val="none" w:sz="0" w:space="0" w:color="auto"/>
        <w:left w:val="none" w:sz="0" w:space="0" w:color="auto"/>
        <w:bottom w:val="none" w:sz="0" w:space="0" w:color="auto"/>
        <w:right w:val="none" w:sz="0" w:space="0" w:color="auto"/>
      </w:divBdr>
      <w:divsChild>
        <w:div w:id="368995211">
          <w:marLeft w:val="0"/>
          <w:marRight w:val="0"/>
          <w:marTop w:val="0"/>
          <w:marBottom w:val="0"/>
          <w:divBdr>
            <w:top w:val="none" w:sz="0" w:space="0" w:color="auto"/>
            <w:left w:val="none" w:sz="0" w:space="0" w:color="auto"/>
            <w:bottom w:val="none" w:sz="0" w:space="0" w:color="auto"/>
            <w:right w:val="none" w:sz="0" w:space="0" w:color="auto"/>
          </w:divBdr>
        </w:div>
      </w:divsChild>
    </w:div>
    <w:div w:id="1420250780">
      <w:marLeft w:val="0"/>
      <w:marRight w:val="0"/>
      <w:marTop w:val="0"/>
      <w:marBottom w:val="0"/>
      <w:divBdr>
        <w:top w:val="none" w:sz="0" w:space="0" w:color="auto"/>
        <w:left w:val="none" w:sz="0" w:space="0" w:color="auto"/>
        <w:bottom w:val="none" w:sz="0" w:space="0" w:color="auto"/>
        <w:right w:val="none" w:sz="0" w:space="0" w:color="auto"/>
      </w:divBdr>
      <w:divsChild>
        <w:div w:id="1963685071">
          <w:marLeft w:val="0"/>
          <w:marRight w:val="0"/>
          <w:marTop w:val="0"/>
          <w:marBottom w:val="0"/>
          <w:divBdr>
            <w:top w:val="none" w:sz="0" w:space="0" w:color="auto"/>
            <w:left w:val="none" w:sz="0" w:space="0" w:color="auto"/>
            <w:bottom w:val="none" w:sz="0" w:space="0" w:color="auto"/>
            <w:right w:val="none" w:sz="0" w:space="0" w:color="auto"/>
          </w:divBdr>
        </w:div>
      </w:divsChild>
    </w:div>
    <w:div w:id="1421099850">
      <w:marLeft w:val="0"/>
      <w:marRight w:val="0"/>
      <w:marTop w:val="0"/>
      <w:marBottom w:val="0"/>
      <w:divBdr>
        <w:top w:val="none" w:sz="0" w:space="0" w:color="auto"/>
        <w:left w:val="none" w:sz="0" w:space="0" w:color="auto"/>
        <w:bottom w:val="none" w:sz="0" w:space="0" w:color="auto"/>
        <w:right w:val="none" w:sz="0" w:space="0" w:color="auto"/>
      </w:divBdr>
      <w:divsChild>
        <w:div w:id="614562737">
          <w:marLeft w:val="0"/>
          <w:marRight w:val="0"/>
          <w:marTop w:val="0"/>
          <w:marBottom w:val="0"/>
          <w:divBdr>
            <w:top w:val="none" w:sz="0" w:space="0" w:color="auto"/>
            <w:left w:val="none" w:sz="0" w:space="0" w:color="auto"/>
            <w:bottom w:val="none" w:sz="0" w:space="0" w:color="auto"/>
            <w:right w:val="none" w:sz="0" w:space="0" w:color="auto"/>
          </w:divBdr>
        </w:div>
      </w:divsChild>
    </w:div>
    <w:div w:id="1421871171">
      <w:marLeft w:val="0"/>
      <w:marRight w:val="0"/>
      <w:marTop w:val="0"/>
      <w:marBottom w:val="180"/>
      <w:divBdr>
        <w:top w:val="none" w:sz="0" w:space="0" w:color="auto"/>
        <w:left w:val="none" w:sz="0" w:space="0" w:color="auto"/>
        <w:bottom w:val="none" w:sz="0" w:space="0" w:color="auto"/>
        <w:right w:val="none" w:sz="0" w:space="0" w:color="auto"/>
      </w:divBdr>
    </w:div>
    <w:div w:id="1422485728">
      <w:marLeft w:val="0"/>
      <w:marRight w:val="0"/>
      <w:marTop w:val="180"/>
      <w:marBottom w:val="180"/>
      <w:divBdr>
        <w:top w:val="none" w:sz="0" w:space="0" w:color="auto"/>
        <w:left w:val="none" w:sz="0" w:space="0" w:color="auto"/>
        <w:bottom w:val="none" w:sz="0" w:space="0" w:color="auto"/>
        <w:right w:val="none" w:sz="0" w:space="0" w:color="auto"/>
      </w:divBdr>
    </w:div>
    <w:div w:id="1422607144">
      <w:marLeft w:val="0"/>
      <w:marRight w:val="0"/>
      <w:marTop w:val="0"/>
      <w:marBottom w:val="0"/>
      <w:divBdr>
        <w:top w:val="none" w:sz="0" w:space="0" w:color="auto"/>
        <w:left w:val="none" w:sz="0" w:space="0" w:color="auto"/>
        <w:bottom w:val="none" w:sz="0" w:space="0" w:color="auto"/>
        <w:right w:val="none" w:sz="0" w:space="0" w:color="auto"/>
      </w:divBdr>
    </w:div>
    <w:div w:id="1423258604">
      <w:marLeft w:val="0"/>
      <w:marRight w:val="0"/>
      <w:marTop w:val="0"/>
      <w:marBottom w:val="240"/>
      <w:divBdr>
        <w:top w:val="none" w:sz="0" w:space="0" w:color="auto"/>
        <w:left w:val="none" w:sz="0" w:space="0" w:color="auto"/>
        <w:bottom w:val="none" w:sz="0" w:space="0" w:color="auto"/>
        <w:right w:val="none" w:sz="0" w:space="0" w:color="auto"/>
      </w:divBdr>
    </w:div>
    <w:div w:id="1424060739">
      <w:marLeft w:val="0"/>
      <w:marRight w:val="0"/>
      <w:marTop w:val="180"/>
      <w:marBottom w:val="180"/>
      <w:divBdr>
        <w:top w:val="none" w:sz="0" w:space="0" w:color="auto"/>
        <w:left w:val="none" w:sz="0" w:space="0" w:color="auto"/>
        <w:bottom w:val="none" w:sz="0" w:space="0" w:color="auto"/>
        <w:right w:val="none" w:sz="0" w:space="0" w:color="auto"/>
      </w:divBdr>
    </w:div>
    <w:div w:id="1425302122">
      <w:marLeft w:val="0"/>
      <w:marRight w:val="0"/>
      <w:marTop w:val="0"/>
      <w:marBottom w:val="180"/>
      <w:divBdr>
        <w:top w:val="none" w:sz="0" w:space="0" w:color="auto"/>
        <w:left w:val="none" w:sz="0" w:space="0" w:color="auto"/>
        <w:bottom w:val="none" w:sz="0" w:space="0" w:color="auto"/>
        <w:right w:val="none" w:sz="0" w:space="0" w:color="auto"/>
      </w:divBdr>
    </w:div>
    <w:div w:id="1425423154">
      <w:marLeft w:val="0"/>
      <w:marRight w:val="0"/>
      <w:marTop w:val="100"/>
      <w:marBottom w:val="120"/>
      <w:divBdr>
        <w:top w:val="none" w:sz="0" w:space="0" w:color="auto"/>
        <w:left w:val="none" w:sz="0" w:space="0" w:color="auto"/>
        <w:bottom w:val="none" w:sz="0" w:space="0" w:color="auto"/>
        <w:right w:val="none" w:sz="0" w:space="0" w:color="auto"/>
      </w:divBdr>
    </w:div>
    <w:div w:id="1425493893">
      <w:marLeft w:val="0"/>
      <w:marRight w:val="0"/>
      <w:marTop w:val="100"/>
      <w:marBottom w:val="0"/>
      <w:divBdr>
        <w:top w:val="none" w:sz="0" w:space="0" w:color="auto"/>
        <w:left w:val="none" w:sz="0" w:space="0" w:color="auto"/>
        <w:bottom w:val="none" w:sz="0" w:space="0" w:color="auto"/>
        <w:right w:val="none" w:sz="0" w:space="0" w:color="auto"/>
      </w:divBdr>
      <w:divsChild>
        <w:div w:id="325783981">
          <w:marLeft w:val="0"/>
          <w:marRight w:val="0"/>
          <w:marTop w:val="0"/>
          <w:marBottom w:val="0"/>
          <w:divBdr>
            <w:top w:val="none" w:sz="0" w:space="0" w:color="auto"/>
            <w:left w:val="none" w:sz="0" w:space="0" w:color="auto"/>
            <w:bottom w:val="none" w:sz="0" w:space="0" w:color="auto"/>
            <w:right w:val="none" w:sz="0" w:space="0" w:color="auto"/>
          </w:divBdr>
        </w:div>
      </w:divsChild>
    </w:div>
    <w:div w:id="1425882713">
      <w:marLeft w:val="0"/>
      <w:marRight w:val="0"/>
      <w:marTop w:val="0"/>
      <w:marBottom w:val="240"/>
      <w:divBdr>
        <w:top w:val="none" w:sz="0" w:space="0" w:color="auto"/>
        <w:left w:val="none" w:sz="0" w:space="0" w:color="auto"/>
        <w:bottom w:val="none" w:sz="0" w:space="0" w:color="auto"/>
        <w:right w:val="none" w:sz="0" w:space="0" w:color="auto"/>
      </w:divBdr>
    </w:div>
    <w:div w:id="1426338121">
      <w:marLeft w:val="0"/>
      <w:marRight w:val="0"/>
      <w:marTop w:val="0"/>
      <w:marBottom w:val="180"/>
      <w:divBdr>
        <w:top w:val="none" w:sz="0" w:space="0" w:color="auto"/>
        <w:left w:val="none" w:sz="0" w:space="0" w:color="auto"/>
        <w:bottom w:val="none" w:sz="0" w:space="0" w:color="auto"/>
        <w:right w:val="none" w:sz="0" w:space="0" w:color="auto"/>
      </w:divBdr>
    </w:div>
    <w:div w:id="1426611513">
      <w:marLeft w:val="0"/>
      <w:marRight w:val="0"/>
      <w:marTop w:val="0"/>
      <w:marBottom w:val="0"/>
      <w:divBdr>
        <w:top w:val="none" w:sz="0" w:space="0" w:color="auto"/>
        <w:left w:val="none" w:sz="0" w:space="0" w:color="auto"/>
        <w:bottom w:val="none" w:sz="0" w:space="0" w:color="auto"/>
        <w:right w:val="none" w:sz="0" w:space="0" w:color="auto"/>
      </w:divBdr>
    </w:div>
    <w:div w:id="1427312086">
      <w:marLeft w:val="0"/>
      <w:marRight w:val="0"/>
      <w:marTop w:val="180"/>
      <w:marBottom w:val="180"/>
      <w:divBdr>
        <w:top w:val="none" w:sz="0" w:space="0" w:color="auto"/>
        <w:left w:val="none" w:sz="0" w:space="0" w:color="auto"/>
        <w:bottom w:val="none" w:sz="0" w:space="0" w:color="auto"/>
        <w:right w:val="none" w:sz="0" w:space="0" w:color="auto"/>
      </w:divBdr>
    </w:div>
    <w:div w:id="1427767515">
      <w:marLeft w:val="0"/>
      <w:marRight w:val="0"/>
      <w:marTop w:val="180"/>
      <w:marBottom w:val="180"/>
      <w:divBdr>
        <w:top w:val="none" w:sz="0" w:space="0" w:color="auto"/>
        <w:left w:val="none" w:sz="0" w:space="0" w:color="auto"/>
        <w:bottom w:val="none" w:sz="0" w:space="0" w:color="auto"/>
        <w:right w:val="none" w:sz="0" w:space="0" w:color="auto"/>
      </w:divBdr>
    </w:div>
    <w:div w:id="1428430450">
      <w:marLeft w:val="0"/>
      <w:marRight w:val="0"/>
      <w:marTop w:val="0"/>
      <w:marBottom w:val="0"/>
      <w:divBdr>
        <w:top w:val="none" w:sz="0" w:space="0" w:color="auto"/>
        <w:left w:val="none" w:sz="0" w:space="0" w:color="auto"/>
        <w:bottom w:val="none" w:sz="0" w:space="0" w:color="auto"/>
        <w:right w:val="none" w:sz="0" w:space="0" w:color="auto"/>
      </w:divBdr>
    </w:div>
    <w:div w:id="1429623688">
      <w:marLeft w:val="0"/>
      <w:marRight w:val="0"/>
      <w:marTop w:val="0"/>
      <w:marBottom w:val="180"/>
      <w:divBdr>
        <w:top w:val="none" w:sz="0" w:space="0" w:color="auto"/>
        <w:left w:val="none" w:sz="0" w:space="0" w:color="auto"/>
        <w:bottom w:val="none" w:sz="0" w:space="0" w:color="auto"/>
        <w:right w:val="none" w:sz="0" w:space="0" w:color="auto"/>
      </w:divBdr>
    </w:div>
    <w:div w:id="1429813159">
      <w:marLeft w:val="0"/>
      <w:marRight w:val="0"/>
      <w:marTop w:val="120"/>
      <w:marBottom w:val="120"/>
      <w:divBdr>
        <w:top w:val="none" w:sz="0" w:space="0" w:color="auto"/>
        <w:left w:val="none" w:sz="0" w:space="0" w:color="auto"/>
        <w:bottom w:val="none" w:sz="0" w:space="0" w:color="auto"/>
        <w:right w:val="none" w:sz="0" w:space="0" w:color="auto"/>
      </w:divBdr>
    </w:div>
    <w:div w:id="1430740158">
      <w:marLeft w:val="0"/>
      <w:marRight w:val="0"/>
      <w:marTop w:val="0"/>
      <w:marBottom w:val="0"/>
      <w:divBdr>
        <w:top w:val="none" w:sz="0" w:space="0" w:color="auto"/>
        <w:left w:val="none" w:sz="0" w:space="0" w:color="auto"/>
        <w:bottom w:val="none" w:sz="0" w:space="0" w:color="auto"/>
        <w:right w:val="none" w:sz="0" w:space="0" w:color="auto"/>
      </w:divBdr>
    </w:div>
    <w:div w:id="1431049895">
      <w:marLeft w:val="0"/>
      <w:marRight w:val="0"/>
      <w:marTop w:val="0"/>
      <w:marBottom w:val="240"/>
      <w:divBdr>
        <w:top w:val="none" w:sz="0" w:space="0" w:color="auto"/>
        <w:left w:val="none" w:sz="0" w:space="0" w:color="auto"/>
        <w:bottom w:val="none" w:sz="0" w:space="0" w:color="auto"/>
        <w:right w:val="none" w:sz="0" w:space="0" w:color="auto"/>
      </w:divBdr>
    </w:div>
    <w:div w:id="1431707340">
      <w:marLeft w:val="0"/>
      <w:marRight w:val="0"/>
      <w:marTop w:val="0"/>
      <w:marBottom w:val="240"/>
      <w:divBdr>
        <w:top w:val="none" w:sz="0" w:space="0" w:color="auto"/>
        <w:left w:val="none" w:sz="0" w:space="0" w:color="auto"/>
        <w:bottom w:val="none" w:sz="0" w:space="0" w:color="auto"/>
        <w:right w:val="none" w:sz="0" w:space="0" w:color="auto"/>
      </w:divBdr>
    </w:div>
    <w:div w:id="1431773881">
      <w:marLeft w:val="0"/>
      <w:marRight w:val="0"/>
      <w:marTop w:val="260"/>
      <w:marBottom w:val="240"/>
      <w:divBdr>
        <w:top w:val="none" w:sz="0" w:space="0" w:color="auto"/>
        <w:left w:val="none" w:sz="0" w:space="0" w:color="auto"/>
        <w:bottom w:val="none" w:sz="0" w:space="0" w:color="auto"/>
        <w:right w:val="none" w:sz="0" w:space="0" w:color="auto"/>
      </w:divBdr>
    </w:div>
    <w:div w:id="1431856708">
      <w:marLeft w:val="0"/>
      <w:marRight w:val="0"/>
      <w:marTop w:val="0"/>
      <w:marBottom w:val="180"/>
      <w:divBdr>
        <w:top w:val="none" w:sz="0" w:space="0" w:color="auto"/>
        <w:left w:val="none" w:sz="0" w:space="0" w:color="auto"/>
        <w:bottom w:val="none" w:sz="0" w:space="0" w:color="auto"/>
        <w:right w:val="none" w:sz="0" w:space="0" w:color="auto"/>
      </w:divBdr>
    </w:div>
    <w:div w:id="1432358249">
      <w:marLeft w:val="0"/>
      <w:marRight w:val="0"/>
      <w:marTop w:val="0"/>
      <w:marBottom w:val="0"/>
      <w:divBdr>
        <w:top w:val="none" w:sz="0" w:space="0" w:color="auto"/>
        <w:left w:val="none" w:sz="0" w:space="0" w:color="auto"/>
        <w:bottom w:val="none" w:sz="0" w:space="0" w:color="auto"/>
        <w:right w:val="none" w:sz="0" w:space="0" w:color="auto"/>
      </w:divBdr>
      <w:divsChild>
        <w:div w:id="663432137">
          <w:marLeft w:val="0"/>
          <w:marRight w:val="0"/>
          <w:marTop w:val="0"/>
          <w:marBottom w:val="0"/>
          <w:divBdr>
            <w:top w:val="none" w:sz="0" w:space="0" w:color="auto"/>
            <w:left w:val="none" w:sz="0" w:space="0" w:color="auto"/>
            <w:bottom w:val="none" w:sz="0" w:space="0" w:color="auto"/>
            <w:right w:val="none" w:sz="0" w:space="0" w:color="auto"/>
          </w:divBdr>
        </w:div>
      </w:divsChild>
    </w:div>
    <w:div w:id="1432506311">
      <w:marLeft w:val="0"/>
      <w:marRight w:val="0"/>
      <w:marTop w:val="0"/>
      <w:marBottom w:val="0"/>
      <w:divBdr>
        <w:top w:val="none" w:sz="0" w:space="0" w:color="auto"/>
        <w:left w:val="none" w:sz="0" w:space="0" w:color="auto"/>
        <w:bottom w:val="none" w:sz="0" w:space="0" w:color="auto"/>
        <w:right w:val="none" w:sz="0" w:space="0" w:color="auto"/>
      </w:divBdr>
      <w:divsChild>
        <w:div w:id="317003309">
          <w:marLeft w:val="0"/>
          <w:marRight w:val="0"/>
          <w:marTop w:val="0"/>
          <w:marBottom w:val="0"/>
          <w:divBdr>
            <w:top w:val="none" w:sz="0" w:space="0" w:color="auto"/>
            <w:left w:val="none" w:sz="0" w:space="0" w:color="auto"/>
            <w:bottom w:val="none" w:sz="0" w:space="0" w:color="auto"/>
            <w:right w:val="none" w:sz="0" w:space="0" w:color="auto"/>
          </w:divBdr>
        </w:div>
      </w:divsChild>
    </w:div>
    <w:div w:id="1432895566">
      <w:marLeft w:val="0"/>
      <w:marRight w:val="0"/>
      <w:marTop w:val="0"/>
      <w:marBottom w:val="240"/>
      <w:divBdr>
        <w:top w:val="none" w:sz="0" w:space="0" w:color="auto"/>
        <w:left w:val="none" w:sz="0" w:space="0" w:color="auto"/>
        <w:bottom w:val="none" w:sz="0" w:space="0" w:color="auto"/>
        <w:right w:val="none" w:sz="0" w:space="0" w:color="auto"/>
      </w:divBdr>
    </w:div>
    <w:div w:id="1433432268">
      <w:marLeft w:val="0"/>
      <w:marRight w:val="0"/>
      <w:marTop w:val="0"/>
      <w:marBottom w:val="0"/>
      <w:divBdr>
        <w:top w:val="none" w:sz="0" w:space="0" w:color="auto"/>
        <w:left w:val="none" w:sz="0" w:space="0" w:color="auto"/>
        <w:bottom w:val="none" w:sz="0" w:space="0" w:color="auto"/>
        <w:right w:val="none" w:sz="0" w:space="0" w:color="auto"/>
      </w:divBdr>
    </w:div>
    <w:div w:id="1433630511">
      <w:marLeft w:val="0"/>
      <w:marRight w:val="0"/>
      <w:marTop w:val="0"/>
      <w:marBottom w:val="180"/>
      <w:divBdr>
        <w:top w:val="none" w:sz="0" w:space="0" w:color="auto"/>
        <w:left w:val="none" w:sz="0" w:space="0" w:color="auto"/>
        <w:bottom w:val="none" w:sz="0" w:space="0" w:color="auto"/>
        <w:right w:val="none" w:sz="0" w:space="0" w:color="auto"/>
      </w:divBdr>
    </w:div>
    <w:div w:id="1434133472">
      <w:marLeft w:val="0"/>
      <w:marRight w:val="0"/>
      <w:marTop w:val="0"/>
      <w:marBottom w:val="0"/>
      <w:divBdr>
        <w:top w:val="none" w:sz="0" w:space="0" w:color="auto"/>
        <w:left w:val="none" w:sz="0" w:space="0" w:color="auto"/>
        <w:bottom w:val="none" w:sz="0" w:space="0" w:color="auto"/>
        <w:right w:val="none" w:sz="0" w:space="0" w:color="auto"/>
      </w:divBdr>
    </w:div>
    <w:div w:id="1434284008">
      <w:marLeft w:val="0"/>
      <w:marRight w:val="0"/>
      <w:marTop w:val="0"/>
      <w:marBottom w:val="0"/>
      <w:divBdr>
        <w:top w:val="none" w:sz="0" w:space="0" w:color="auto"/>
        <w:left w:val="none" w:sz="0" w:space="0" w:color="auto"/>
        <w:bottom w:val="none" w:sz="0" w:space="0" w:color="auto"/>
        <w:right w:val="none" w:sz="0" w:space="0" w:color="auto"/>
      </w:divBdr>
    </w:div>
    <w:div w:id="1434932592">
      <w:marLeft w:val="0"/>
      <w:marRight w:val="0"/>
      <w:marTop w:val="0"/>
      <w:marBottom w:val="0"/>
      <w:divBdr>
        <w:top w:val="none" w:sz="0" w:space="0" w:color="auto"/>
        <w:left w:val="none" w:sz="0" w:space="0" w:color="auto"/>
        <w:bottom w:val="none" w:sz="0" w:space="0" w:color="auto"/>
        <w:right w:val="none" w:sz="0" w:space="0" w:color="auto"/>
      </w:divBdr>
    </w:div>
    <w:div w:id="1435513347">
      <w:marLeft w:val="0"/>
      <w:marRight w:val="0"/>
      <w:marTop w:val="0"/>
      <w:marBottom w:val="180"/>
      <w:divBdr>
        <w:top w:val="none" w:sz="0" w:space="0" w:color="auto"/>
        <w:left w:val="none" w:sz="0" w:space="0" w:color="auto"/>
        <w:bottom w:val="none" w:sz="0" w:space="0" w:color="auto"/>
        <w:right w:val="none" w:sz="0" w:space="0" w:color="auto"/>
      </w:divBdr>
    </w:div>
    <w:div w:id="1435708636">
      <w:marLeft w:val="0"/>
      <w:marRight w:val="0"/>
      <w:marTop w:val="0"/>
      <w:marBottom w:val="180"/>
      <w:divBdr>
        <w:top w:val="none" w:sz="0" w:space="0" w:color="auto"/>
        <w:left w:val="none" w:sz="0" w:space="0" w:color="auto"/>
        <w:bottom w:val="none" w:sz="0" w:space="0" w:color="auto"/>
        <w:right w:val="none" w:sz="0" w:space="0" w:color="auto"/>
      </w:divBdr>
    </w:div>
    <w:div w:id="1435900441">
      <w:marLeft w:val="0"/>
      <w:marRight w:val="0"/>
      <w:marTop w:val="0"/>
      <w:marBottom w:val="180"/>
      <w:divBdr>
        <w:top w:val="none" w:sz="0" w:space="0" w:color="auto"/>
        <w:left w:val="none" w:sz="0" w:space="0" w:color="auto"/>
        <w:bottom w:val="none" w:sz="0" w:space="0" w:color="auto"/>
        <w:right w:val="none" w:sz="0" w:space="0" w:color="auto"/>
      </w:divBdr>
    </w:div>
    <w:div w:id="1436365561">
      <w:marLeft w:val="0"/>
      <w:marRight w:val="0"/>
      <w:marTop w:val="0"/>
      <w:marBottom w:val="0"/>
      <w:divBdr>
        <w:top w:val="none" w:sz="0" w:space="0" w:color="auto"/>
        <w:left w:val="none" w:sz="0" w:space="0" w:color="auto"/>
        <w:bottom w:val="none" w:sz="0" w:space="0" w:color="auto"/>
        <w:right w:val="none" w:sz="0" w:space="0" w:color="auto"/>
      </w:divBdr>
      <w:divsChild>
        <w:div w:id="848061075">
          <w:marLeft w:val="0"/>
          <w:marRight w:val="0"/>
          <w:marTop w:val="0"/>
          <w:marBottom w:val="0"/>
          <w:divBdr>
            <w:top w:val="none" w:sz="0" w:space="0" w:color="auto"/>
            <w:left w:val="none" w:sz="0" w:space="0" w:color="auto"/>
            <w:bottom w:val="none" w:sz="0" w:space="0" w:color="auto"/>
            <w:right w:val="none" w:sz="0" w:space="0" w:color="auto"/>
          </w:divBdr>
        </w:div>
      </w:divsChild>
    </w:div>
    <w:div w:id="1438526542">
      <w:marLeft w:val="0"/>
      <w:marRight w:val="0"/>
      <w:marTop w:val="0"/>
      <w:marBottom w:val="0"/>
      <w:divBdr>
        <w:top w:val="none" w:sz="0" w:space="0" w:color="auto"/>
        <w:left w:val="none" w:sz="0" w:space="0" w:color="auto"/>
        <w:bottom w:val="none" w:sz="0" w:space="0" w:color="auto"/>
        <w:right w:val="none" w:sz="0" w:space="0" w:color="auto"/>
      </w:divBdr>
    </w:div>
    <w:div w:id="1439327964">
      <w:marLeft w:val="0"/>
      <w:marRight w:val="0"/>
      <w:marTop w:val="180"/>
      <w:marBottom w:val="180"/>
      <w:divBdr>
        <w:top w:val="none" w:sz="0" w:space="0" w:color="auto"/>
        <w:left w:val="none" w:sz="0" w:space="0" w:color="auto"/>
        <w:bottom w:val="none" w:sz="0" w:space="0" w:color="auto"/>
        <w:right w:val="none" w:sz="0" w:space="0" w:color="auto"/>
      </w:divBdr>
    </w:div>
    <w:div w:id="1439912757">
      <w:marLeft w:val="0"/>
      <w:marRight w:val="0"/>
      <w:marTop w:val="0"/>
      <w:marBottom w:val="0"/>
      <w:divBdr>
        <w:top w:val="none" w:sz="0" w:space="0" w:color="auto"/>
        <w:left w:val="none" w:sz="0" w:space="0" w:color="auto"/>
        <w:bottom w:val="none" w:sz="0" w:space="0" w:color="auto"/>
        <w:right w:val="none" w:sz="0" w:space="0" w:color="auto"/>
      </w:divBdr>
      <w:divsChild>
        <w:div w:id="1863586920">
          <w:marLeft w:val="0"/>
          <w:marRight w:val="0"/>
          <w:marTop w:val="0"/>
          <w:marBottom w:val="0"/>
          <w:divBdr>
            <w:top w:val="none" w:sz="0" w:space="0" w:color="auto"/>
            <w:left w:val="none" w:sz="0" w:space="0" w:color="auto"/>
            <w:bottom w:val="none" w:sz="0" w:space="0" w:color="auto"/>
            <w:right w:val="none" w:sz="0" w:space="0" w:color="auto"/>
          </w:divBdr>
        </w:div>
      </w:divsChild>
    </w:div>
    <w:div w:id="1444107729">
      <w:marLeft w:val="0"/>
      <w:marRight w:val="0"/>
      <w:marTop w:val="120"/>
      <w:marBottom w:val="180"/>
      <w:divBdr>
        <w:top w:val="none" w:sz="0" w:space="0" w:color="auto"/>
        <w:left w:val="none" w:sz="0" w:space="0" w:color="auto"/>
        <w:bottom w:val="none" w:sz="0" w:space="0" w:color="auto"/>
        <w:right w:val="none" w:sz="0" w:space="0" w:color="auto"/>
      </w:divBdr>
    </w:div>
    <w:div w:id="1444885326">
      <w:marLeft w:val="0"/>
      <w:marRight w:val="0"/>
      <w:marTop w:val="0"/>
      <w:marBottom w:val="0"/>
      <w:divBdr>
        <w:top w:val="none" w:sz="0" w:space="0" w:color="auto"/>
        <w:left w:val="none" w:sz="0" w:space="0" w:color="auto"/>
        <w:bottom w:val="none" w:sz="0" w:space="0" w:color="auto"/>
        <w:right w:val="none" w:sz="0" w:space="0" w:color="auto"/>
      </w:divBdr>
      <w:divsChild>
        <w:div w:id="1119028980">
          <w:marLeft w:val="0"/>
          <w:marRight w:val="0"/>
          <w:marTop w:val="0"/>
          <w:marBottom w:val="0"/>
          <w:divBdr>
            <w:top w:val="none" w:sz="0" w:space="0" w:color="auto"/>
            <w:left w:val="none" w:sz="0" w:space="0" w:color="auto"/>
            <w:bottom w:val="none" w:sz="0" w:space="0" w:color="auto"/>
            <w:right w:val="none" w:sz="0" w:space="0" w:color="auto"/>
          </w:divBdr>
        </w:div>
      </w:divsChild>
    </w:div>
    <w:div w:id="1445155152">
      <w:marLeft w:val="0"/>
      <w:marRight w:val="0"/>
      <w:marTop w:val="0"/>
      <w:marBottom w:val="60"/>
      <w:divBdr>
        <w:top w:val="none" w:sz="0" w:space="0" w:color="auto"/>
        <w:left w:val="none" w:sz="0" w:space="0" w:color="auto"/>
        <w:bottom w:val="none" w:sz="0" w:space="0" w:color="auto"/>
        <w:right w:val="none" w:sz="0" w:space="0" w:color="auto"/>
      </w:divBdr>
    </w:div>
    <w:div w:id="1446391363">
      <w:marLeft w:val="0"/>
      <w:marRight w:val="0"/>
      <w:marTop w:val="180"/>
      <w:marBottom w:val="180"/>
      <w:divBdr>
        <w:top w:val="none" w:sz="0" w:space="0" w:color="auto"/>
        <w:left w:val="none" w:sz="0" w:space="0" w:color="auto"/>
        <w:bottom w:val="none" w:sz="0" w:space="0" w:color="auto"/>
        <w:right w:val="none" w:sz="0" w:space="0" w:color="auto"/>
      </w:divBdr>
    </w:div>
    <w:div w:id="1448743468">
      <w:marLeft w:val="0"/>
      <w:marRight w:val="0"/>
      <w:marTop w:val="100"/>
      <w:marBottom w:val="0"/>
      <w:divBdr>
        <w:top w:val="none" w:sz="0" w:space="0" w:color="auto"/>
        <w:left w:val="none" w:sz="0" w:space="0" w:color="auto"/>
        <w:bottom w:val="none" w:sz="0" w:space="0" w:color="auto"/>
        <w:right w:val="none" w:sz="0" w:space="0" w:color="auto"/>
      </w:divBdr>
      <w:divsChild>
        <w:div w:id="355664678">
          <w:marLeft w:val="0"/>
          <w:marRight w:val="0"/>
          <w:marTop w:val="0"/>
          <w:marBottom w:val="0"/>
          <w:divBdr>
            <w:top w:val="none" w:sz="0" w:space="0" w:color="auto"/>
            <w:left w:val="none" w:sz="0" w:space="0" w:color="auto"/>
            <w:bottom w:val="none" w:sz="0" w:space="0" w:color="auto"/>
            <w:right w:val="none" w:sz="0" w:space="0" w:color="auto"/>
          </w:divBdr>
        </w:div>
        <w:div w:id="1643852823">
          <w:marLeft w:val="0"/>
          <w:marRight w:val="0"/>
          <w:marTop w:val="0"/>
          <w:marBottom w:val="0"/>
          <w:divBdr>
            <w:top w:val="none" w:sz="0" w:space="0" w:color="auto"/>
            <w:left w:val="none" w:sz="0" w:space="0" w:color="auto"/>
            <w:bottom w:val="none" w:sz="0" w:space="0" w:color="auto"/>
            <w:right w:val="none" w:sz="0" w:space="0" w:color="auto"/>
          </w:divBdr>
        </w:div>
        <w:div w:id="1830292556">
          <w:marLeft w:val="0"/>
          <w:marRight w:val="0"/>
          <w:marTop w:val="0"/>
          <w:marBottom w:val="0"/>
          <w:divBdr>
            <w:top w:val="none" w:sz="0" w:space="0" w:color="auto"/>
            <w:left w:val="none" w:sz="0" w:space="0" w:color="auto"/>
            <w:bottom w:val="none" w:sz="0" w:space="0" w:color="auto"/>
            <w:right w:val="none" w:sz="0" w:space="0" w:color="auto"/>
          </w:divBdr>
        </w:div>
        <w:div w:id="1040664344">
          <w:marLeft w:val="0"/>
          <w:marRight w:val="0"/>
          <w:marTop w:val="0"/>
          <w:marBottom w:val="0"/>
          <w:divBdr>
            <w:top w:val="none" w:sz="0" w:space="0" w:color="auto"/>
            <w:left w:val="none" w:sz="0" w:space="0" w:color="auto"/>
            <w:bottom w:val="none" w:sz="0" w:space="0" w:color="auto"/>
            <w:right w:val="none" w:sz="0" w:space="0" w:color="auto"/>
          </w:divBdr>
        </w:div>
      </w:divsChild>
    </w:div>
    <w:div w:id="1449742140">
      <w:marLeft w:val="0"/>
      <w:marRight w:val="0"/>
      <w:marTop w:val="180"/>
      <w:marBottom w:val="180"/>
      <w:divBdr>
        <w:top w:val="none" w:sz="0" w:space="0" w:color="auto"/>
        <w:left w:val="none" w:sz="0" w:space="0" w:color="auto"/>
        <w:bottom w:val="none" w:sz="0" w:space="0" w:color="auto"/>
        <w:right w:val="none" w:sz="0" w:space="0" w:color="auto"/>
      </w:divBdr>
    </w:div>
    <w:div w:id="1450775826">
      <w:marLeft w:val="0"/>
      <w:marRight w:val="0"/>
      <w:marTop w:val="0"/>
      <w:marBottom w:val="180"/>
      <w:divBdr>
        <w:top w:val="none" w:sz="0" w:space="0" w:color="auto"/>
        <w:left w:val="none" w:sz="0" w:space="0" w:color="auto"/>
        <w:bottom w:val="none" w:sz="0" w:space="0" w:color="auto"/>
        <w:right w:val="none" w:sz="0" w:space="0" w:color="auto"/>
      </w:divBdr>
    </w:div>
    <w:div w:id="1450858152">
      <w:marLeft w:val="0"/>
      <w:marRight w:val="0"/>
      <w:marTop w:val="180"/>
      <w:marBottom w:val="180"/>
      <w:divBdr>
        <w:top w:val="none" w:sz="0" w:space="0" w:color="auto"/>
        <w:left w:val="none" w:sz="0" w:space="0" w:color="auto"/>
        <w:bottom w:val="none" w:sz="0" w:space="0" w:color="auto"/>
        <w:right w:val="none" w:sz="0" w:space="0" w:color="auto"/>
      </w:divBdr>
    </w:div>
    <w:div w:id="1451245800">
      <w:marLeft w:val="0"/>
      <w:marRight w:val="0"/>
      <w:marTop w:val="120"/>
      <w:marBottom w:val="240"/>
      <w:divBdr>
        <w:top w:val="none" w:sz="0" w:space="0" w:color="auto"/>
        <w:left w:val="none" w:sz="0" w:space="0" w:color="auto"/>
        <w:bottom w:val="none" w:sz="0" w:space="0" w:color="auto"/>
        <w:right w:val="none" w:sz="0" w:space="0" w:color="auto"/>
      </w:divBdr>
    </w:div>
    <w:div w:id="1451777941">
      <w:marLeft w:val="0"/>
      <w:marRight w:val="0"/>
      <w:marTop w:val="0"/>
      <w:marBottom w:val="0"/>
      <w:divBdr>
        <w:top w:val="none" w:sz="0" w:space="0" w:color="auto"/>
        <w:left w:val="none" w:sz="0" w:space="0" w:color="auto"/>
        <w:bottom w:val="none" w:sz="0" w:space="0" w:color="auto"/>
        <w:right w:val="none" w:sz="0" w:space="0" w:color="auto"/>
      </w:divBdr>
      <w:divsChild>
        <w:div w:id="655063231">
          <w:marLeft w:val="0"/>
          <w:marRight w:val="0"/>
          <w:marTop w:val="0"/>
          <w:marBottom w:val="0"/>
          <w:divBdr>
            <w:top w:val="none" w:sz="0" w:space="0" w:color="auto"/>
            <w:left w:val="none" w:sz="0" w:space="0" w:color="auto"/>
            <w:bottom w:val="none" w:sz="0" w:space="0" w:color="auto"/>
            <w:right w:val="none" w:sz="0" w:space="0" w:color="auto"/>
          </w:divBdr>
        </w:div>
      </w:divsChild>
    </w:div>
    <w:div w:id="1452437600">
      <w:marLeft w:val="0"/>
      <w:marRight w:val="0"/>
      <w:marTop w:val="0"/>
      <w:marBottom w:val="0"/>
      <w:divBdr>
        <w:top w:val="none" w:sz="0" w:space="0" w:color="auto"/>
        <w:left w:val="none" w:sz="0" w:space="0" w:color="auto"/>
        <w:bottom w:val="none" w:sz="0" w:space="0" w:color="auto"/>
        <w:right w:val="none" w:sz="0" w:space="0" w:color="auto"/>
      </w:divBdr>
    </w:div>
    <w:div w:id="1452744622">
      <w:marLeft w:val="0"/>
      <w:marRight w:val="0"/>
      <w:marTop w:val="0"/>
      <w:marBottom w:val="0"/>
      <w:divBdr>
        <w:top w:val="none" w:sz="0" w:space="0" w:color="auto"/>
        <w:left w:val="none" w:sz="0" w:space="0" w:color="auto"/>
        <w:bottom w:val="none" w:sz="0" w:space="0" w:color="auto"/>
        <w:right w:val="none" w:sz="0" w:space="0" w:color="auto"/>
      </w:divBdr>
    </w:div>
    <w:div w:id="1452745727">
      <w:marLeft w:val="0"/>
      <w:marRight w:val="0"/>
      <w:marTop w:val="0"/>
      <w:marBottom w:val="240"/>
      <w:divBdr>
        <w:top w:val="none" w:sz="0" w:space="0" w:color="auto"/>
        <w:left w:val="none" w:sz="0" w:space="0" w:color="auto"/>
        <w:bottom w:val="none" w:sz="0" w:space="0" w:color="auto"/>
        <w:right w:val="none" w:sz="0" w:space="0" w:color="auto"/>
      </w:divBdr>
    </w:div>
    <w:div w:id="1453478479">
      <w:marLeft w:val="0"/>
      <w:marRight w:val="0"/>
      <w:marTop w:val="0"/>
      <w:marBottom w:val="0"/>
      <w:divBdr>
        <w:top w:val="none" w:sz="0" w:space="0" w:color="auto"/>
        <w:left w:val="none" w:sz="0" w:space="0" w:color="auto"/>
        <w:bottom w:val="none" w:sz="0" w:space="0" w:color="auto"/>
        <w:right w:val="none" w:sz="0" w:space="0" w:color="auto"/>
      </w:divBdr>
    </w:div>
    <w:div w:id="1454665949">
      <w:marLeft w:val="0"/>
      <w:marRight w:val="0"/>
      <w:marTop w:val="0"/>
      <w:marBottom w:val="180"/>
      <w:divBdr>
        <w:top w:val="none" w:sz="0" w:space="0" w:color="auto"/>
        <w:left w:val="none" w:sz="0" w:space="0" w:color="auto"/>
        <w:bottom w:val="none" w:sz="0" w:space="0" w:color="auto"/>
        <w:right w:val="none" w:sz="0" w:space="0" w:color="auto"/>
      </w:divBdr>
    </w:div>
    <w:div w:id="1455103477">
      <w:marLeft w:val="0"/>
      <w:marRight w:val="0"/>
      <w:marTop w:val="0"/>
      <w:marBottom w:val="0"/>
      <w:divBdr>
        <w:top w:val="none" w:sz="0" w:space="0" w:color="auto"/>
        <w:left w:val="none" w:sz="0" w:space="0" w:color="auto"/>
        <w:bottom w:val="none" w:sz="0" w:space="0" w:color="auto"/>
        <w:right w:val="none" w:sz="0" w:space="0" w:color="auto"/>
      </w:divBdr>
    </w:div>
    <w:div w:id="1456414318">
      <w:marLeft w:val="0"/>
      <w:marRight w:val="0"/>
      <w:marTop w:val="0"/>
      <w:marBottom w:val="0"/>
      <w:divBdr>
        <w:top w:val="none" w:sz="0" w:space="0" w:color="auto"/>
        <w:left w:val="none" w:sz="0" w:space="0" w:color="auto"/>
        <w:bottom w:val="none" w:sz="0" w:space="0" w:color="auto"/>
        <w:right w:val="none" w:sz="0" w:space="0" w:color="auto"/>
      </w:divBdr>
    </w:div>
    <w:div w:id="1456680958">
      <w:marLeft w:val="0"/>
      <w:marRight w:val="0"/>
      <w:marTop w:val="180"/>
      <w:marBottom w:val="180"/>
      <w:divBdr>
        <w:top w:val="none" w:sz="0" w:space="0" w:color="auto"/>
        <w:left w:val="none" w:sz="0" w:space="0" w:color="auto"/>
        <w:bottom w:val="none" w:sz="0" w:space="0" w:color="auto"/>
        <w:right w:val="none" w:sz="0" w:space="0" w:color="auto"/>
      </w:divBdr>
    </w:div>
    <w:div w:id="1457213854">
      <w:marLeft w:val="0"/>
      <w:marRight w:val="0"/>
      <w:marTop w:val="0"/>
      <w:marBottom w:val="0"/>
      <w:divBdr>
        <w:top w:val="none" w:sz="0" w:space="0" w:color="auto"/>
        <w:left w:val="none" w:sz="0" w:space="0" w:color="auto"/>
        <w:bottom w:val="none" w:sz="0" w:space="0" w:color="auto"/>
        <w:right w:val="none" w:sz="0" w:space="0" w:color="auto"/>
      </w:divBdr>
      <w:divsChild>
        <w:div w:id="1421759146">
          <w:marLeft w:val="0"/>
          <w:marRight w:val="0"/>
          <w:marTop w:val="0"/>
          <w:marBottom w:val="0"/>
          <w:divBdr>
            <w:top w:val="none" w:sz="0" w:space="0" w:color="auto"/>
            <w:left w:val="none" w:sz="0" w:space="0" w:color="auto"/>
            <w:bottom w:val="none" w:sz="0" w:space="0" w:color="auto"/>
            <w:right w:val="none" w:sz="0" w:space="0" w:color="auto"/>
          </w:divBdr>
        </w:div>
      </w:divsChild>
    </w:div>
    <w:div w:id="1457330328">
      <w:marLeft w:val="0"/>
      <w:marRight w:val="0"/>
      <w:marTop w:val="0"/>
      <w:marBottom w:val="180"/>
      <w:divBdr>
        <w:top w:val="none" w:sz="0" w:space="0" w:color="auto"/>
        <w:left w:val="none" w:sz="0" w:space="0" w:color="auto"/>
        <w:bottom w:val="none" w:sz="0" w:space="0" w:color="auto"/>
        <w:right w:val="none" w:sz="0" w:space="0" w:color="auto"/>
      </w:divBdr>
    </w:div>
    <w:div w:id="1457529789">
      <w:marLeft w:val="0"/>
      <w:marRight w:val="0"/>
      <w:marTop w:val="120"/>
      <w:marBottom w:val="120"/>
      <w:divBdr>
        <w:top w:val="none" w:sz="0" w:space="0" w:color="auto"/>
        <w:left w:val="none" w:sz="0" w:space="0" w:color="auto"/>
        <w:bottom w:val="none" w:sz="0" w:space="0" w:color="auto"/>
        <w:right w:val="none" w:sz="0" w:space="0" w:color="auto"/>
      </w:divBdr>
    </w:div>
    <w:div w:id="1458333347">
      <w:marLeft w:val="0"/>
      <w:marRight w:val="0"/>
      <w:marTop w:val="120"/>
      <w:marBottom w:val="120"/>
      <w:divBdr>
        <w:top w:val="none" w:sz="0" w:space="0" w:color="auto"/>
        <w:left w:val="none" w:sz="0" w:space="0" w:color="auto"/>
        <w:bottom w:val="none" w:sz="0" w:space="0" w:color="auto"/>
        <w:right w:val="none" w:sz="0" w:space="0" w:color="auto"/>
      </w:divBdr>
    </w:div>
    <w:div w:id="1458646354">
      <w:marLeft w:val="0"/>
      <w:marRight w:val="0"/>
      <w:marTop w:val="120"/>
      <w:marBottom w:val="180"/>
      <w:divBdr>
        <w:top w:val="none" w:sz="0" w:space="0" w:color="auto"/>
        <w:left w:val="none" w:sz="0" w:space="0" w:color="auto"/>
        <w:bottom w:val="none" w:sz="0" w:space="0" w:color="auto"/>
        <w:right w:val="none" w:sz="0" w:space="0" w:color="auto"/>
      </w:divBdr>
    </w:div>
    <w:div w:id="1458721695">
      <w:marLeft w:val="0"/>
      <w:marRight w:val="0"/>
      <w:marTop w:val="0"/>
      <w:marBottom w:val="0"/>
      <w:divBdr>
        <w:top w:val="none" w:sz="0" w:space="0" w:color="auto"/>
        <w:left w:val="none" w:sz="0" w:space="0" w:color="auto"/>
        <w:bottom w:val="none" w:sz="0" w:space="0" w:color="auto"/>
        <w:right w:val="none" w:sz="0" w:space="0" w:color="auto"/>
      </w:divBdr>
    </w:div>
    <w:div w:id="1459294959">
      <w:marLeft w:val="0"/>
      <w:marRight w:val="0"/>
      <w:marTop w:val="0"/>
      <w:marBottom w:val="240"/>
      <w:divBdr>
        <w:top w:val="none" w:sz="0" w:space="0" w:color="auto"/>
        <w:left w:val="none" w:sz="0" w:space="0" w:color="auto"/>
        <w:bottom w:val="none" w:sz="0" w:space="0" w:color="auto"/>
        <w:right w:val="none" w:sz="0" w:space="0" w:color="auto"/>
      </w:divBdr>
    </w:div>
    <w:div w:id="1459688974">
      <w:marLeft w:val="0"/>
      <w:marRight w:val="0"/>
      <w:marTop w:val="0"/>
      <w:marBottom w:val="0"/>
      <w:divBdr>
        <w:top w:val="none" w:sz="0" w:space="0" w:color="auto"/>
        <w:left w:val="none" w:sz="0" w:space="0" w:color="auto"/>
        <w:bottom w:val="none" w:sz="0" w:space="0" w:color="auto"/>
        <w:right w:val="none" w:sz="0" w:space="0" w:color="auto"/>
      </w:divBdr>
    </w:div>
    <w:div w:id="1461387721">
      <w:marLeft w:val="0"/>
      <w:marRight w:val="0"/>
      <w:marTop w:val="0"/>
      <w:marBottom w:val="240"/>
      <w:divBdr>
        <w:top w:val="none" w:sz="0" w:space="0" w:color="auto"/>
        <w:left w:val="none" w:sz="0" w:space="0" w:color="auto"/>
        <w:bottom w:val="none" w:sz="0" w:space="0" w:color="auto"/>
        <w:right w:val="none" w:sz="0" w:space="0" w:color="auto"/>
      </w:divBdr>
    </w:div>
    <w:div w:id="1461414810">
      <w:marLeft w:val="0"/>
      <w:marRight w:val="0"/>
      <w:marTop w:val="0"/>
      <w:marBottom w:val="240"/>
      <w:divBdr>
        <w:top w:val="none" w:sz="0" w:space="0" w:color="auto"/>
        <w:left w:val="none" w:sz="0" w:space="0" w:color="auto"/>
        <w:bottom w:val="none" w:sz="0" w:space="0" w:color="auto"/>
        <w:right w:val="none" w:sz="0" w:space="0" w:color="auto"/>
      </w:divBdr>
    </w:div>
    <w:div w:id="1461461846">
      <w:marLeft w:val="0"/>
      <w:marRight w:val="0"/>
      <w:marTop w:val="0"/>
      <w:marBottom w:val="0"/>
      <w:divBdr>
        <w:top w:val="none" w:sz="0" w:space="0" w:color="auto"/>
        <w:left w:val="none" w:sz="0" w:space="0" w:color="auto"/>
        <w:bottom w:val="none" w:sz="0" w:space="0" w:color="auto"/>
        <w:right w:val="none" w:sz="0" w:space="0" w:color="auto"/>
      </w:divBdr>
    </w:div>
    <w:div w:id="1461654382">
      <w:marLeft w:val="0"/>
      <w:marRight w:val="0"/>
      <w:marTop w:val="0"/>
      <w:marBottom w:val="0"/>
      <w:divBdr>
        <w:top w:val="none" w:sz="0" w:space="0" w:color="auto"/>
        <w:left w:val="none" w:sz="0" w:space="0" w:color="auto"/>
        <w:bottom w:val="none" w:sz="0" w:space="0" w:color="auto"/>
        <w:right w:val="none" w:sz="0" w:space="0" w:color="auto"/>
      </w:divBdr>
      <w:divsChild>
        <w:div w:id="743797106">
          <w:marLeft w:val="0"/>
          <w:marRight w:val="0"/>
          <w:marTop w:val="0"/>
          <w:marBottom w:val="0"/>
          <w:divBdr>
            <w:top w:val="none" w:sz="0" w:space="0" w:color="auto"/>
            <w:left w:val="none" w:sz="0" w:space="0" w:color="auto"/>
            <w:bottom w:val="none" w:sz="0" w:space="0" w:color="auto"/>
            <w:right w:val="none" w:sz="0" w:space="0" w:color="auto"/>
          </w:divBdr>
        </w:div>
      </w:divsChild>
    </w:div>
    <w:div w:id="1462192629">
      <w:marLeft w:val="0"/>
      <w:marRight w:val="0"/>
      <w:marTop w:val="0"/>
      <w:marBottom w:val="0"/>
      <w:divBdr>
        <w:top w:val="none" w:sz="0" w:space="0" w:color="auto"/>
        <w:left w:val="none" w:sz="0" w:space="0" w:color="auto"/>
        <w:bottom w:val="none" w:sz="0" w:space="0" w:color="auto"/>
        <w:right w:val="none" w:sz="0" w:space="0" w:color="auto"/>
      </w:divBdr>
    </w:div>
    <w:div w:id="1462724860">
      <w:marLeft w:val="0"/>
      <w:marRight w:val="0"/>
      <w:marTop w:val="180"/>
      <w:marBottom w:val="180"/>
      <w:divBdr>
        <w:top w:val="none" w:sz="0" w:space="0" w:color="auto"/>
        <w:left w:val="none" w:sz="0" w:space="0" w:color="auto"/>
        <w:bottom w:val="none" w:sz="0" w:space="0" w:color="auto"/>
        <w:right w:val="none" w:sz="0" w:space="0" w:color="auto"/>
      </w:divBdr>
    </w:div>
    <w:div w:id="1462960938">
      <w:marLeft w:val="0"/>
      <w:marRight w:val="0"/>
      <w:marTop w:val="0"/>
      <w:marBottom w:val="240"/>
      <w:divBdr>
        <w:top w:val="none" w:sz="0" w:space="0" w:color="auto"/>
        <w:left w:val="none" w:sz="0" w:space="0" w:color="auto"/>
        <w:bottom w:val="none" w:sz="0" w:space="0" w:color="auto"/>
        <w:right w:val="none" w:sz="0" w:space="0" w:color="auto"/>
      </w:divBdr>
    </w:div>
    <w:div w:id="1463186485">
      <w:marLeft w:val="0"/>
      <w:marRight w:val="0"/>
      <w:marTop w:val="180"/>
      <w:marBottom w:val="180"/>
      <w:divBdr>
        <w:top w:val="none" w:sz="0" w:space="0" w:color="auto"/>
        <w:left w:val="none" w:sz="0" w:space="0" w:color="auto"/>
        <w:bottom w:val="none" w:sz="0" w:space="0" w:color="auto"/>
        <w:right w:val="none" w:sz="0" w:space="0" w:color="auto"/>
      </w:divBdr>
    </w:div>
    <w:div w:id="1464496861">
      <w:marLeft w:val="0"/>
      <w:marRight w:val="0"/>
      <w:marTop w:val="0"/>
      <w:marBottom w:val="240"/>
      <w:divBdr>
        <w:top w:val="none" w:sz="0" w:space="0" w:color="auto"/>
        <w:left w:val="none" w:sz="0" w:space="0" w:color="auto"/>
        <w:bottom w:val="none" w:sz="0" w:space="0" w:color="auto"/>
        <w:right w:val="none" w:sz="0" w:space="0" w:color="auto"/>
      </w:divBdr>
    </w:div>
    <w:div w:id="1464889210">
      <w:marLeft w:val="0"/>
      <w:marRight w:val="0"/>
      <w:marTop w:val="0"/>
      <w:marBottom w:val="240"/>
      <w:divBdr>
        <w:top w:val="none" w:sz="0" w:space="0" w:color="auto"/>
        <w:left w:val="none" w:sz="0" w:space="0" w:color="auto"/>
        <w:bottom w:val="none" w:sz="0" w:space="0" w:color="auto"/>
        <w:right w:val="none" w:sz="0" w:space="0" w:color="auto"/>
      </w:divBdr>
    </w:div>
    <w:div w:id="1465274180">
      <w:marLeft w:val="0"/>
      <w:marRight w:val="0"/>
      <w:marTop w:val="180"/>
      <w:marBottom w:val="180"/>
      <w:divBdr>
        <w:top w:val="none" w:sz="0" w:space="0" w:color="auto"/>
        <w:left w:val="none" w:sz="0" w:space="0" w:color="auto"/>
        <w:bottom w:val="none" w:sz="0" w:space="0" w:color="auto"/>
        <w:right w:val="none" w:sz="0" w:space="0" w:color="auto"/>
      </w:divBdr>
    </w:div>
    <w:div w:id="1465461393">
      <w:marLeft w:val="0"/>
      <w:marRight w:val="0"/>
      <w:marTop w:val="0"/>
      <w:marBottom w:val="240"/>
      <w:divBdr>
        <w:top w:val="none" w:sz="0" w:space="0" w:color="auto"/>
        <w:left w:val="none" w:sz="0" w:space="0" w:color="auto"/>
        <w:bottom w:val="none" w:sz="0" w:space="0" w:color="auto"/>
        <w:right w:val="none" w:sz="0" w:space="0" w:color="auto"/>
      </w:divBdr>
    </w:div>
    <w:div w:id="1466047826">
      <w:marLeft w:val="0"/>
      <w:marRight w:val="0"/>
      <w:marTop w:val="0"/>
      <w:marBottom w:val="120"/>
      <w:divBdr>
        <w:top w:val="none" w:sz="0" w:space="0" w:color="auto"/>
        <w:left w:val="none" w:sz="0" w:space="0" w:color="auto"/>
        <w:bottom w:val="none" w:sz="0" w:space="0" w:color="auto"/>
        <w:right w:val="none" w:sz="0" w:space="0" w:color="auto"/>
      </w:divBdr>
    </w:div>
    <w:div w:id="1467820413">
      <w:marLeft w:val="0"/>
      <w:marRight w:val="0"/>
      <w:marTop w:val="0"/>
      <w:marBottom w:val="0"/>
      <w:divBdr>
        <w:top w:val="none" w:sz="0" w:space="0" w:color="auto"/>
        <w:left w:val="none" w:sz="0" w:space="0" w:color="auto"/>
        <w:bottom w:val="none" w:sz="0" w:space="0" w:color="auto"/>
        <w:right w:val="none" w:sz="0" w:space="0" w:color="auto"/>
      </w:divBdr>
    </w:div>
    <w:div w:id="1468158613">
      <w:marLeft w:val="0"/>
      <w:marRight w:val="0"/>
      <w:marTop w:val="100"/>
      <w:marBottom w:val="240"/>
      <w:divBdr>
        <w:top w:val="none" w:sz="0" w:space="0" w:color="auto"/>
        <w:left w:val="none" w:sz="0" w:space="0" w:color="auto"/>
        <w:bottom w:val="none" w:sz="0" w:space="0" w:color="auto"/>
        <w:right w:val="none" w:sz="0" w:space="0" w:color="auto"/>
      </w:divBdr>
    </w:div>
    <w:div w:id="1468401100">
      <w:marLeft w:val="0"/>
      <w:marRight w:val="0"/>
      <w:marTop w:val="0"/>
      <w:marBottom w:val="180"/>
      <w:divBdr>
        <w:top w:val="none" w:sz="0" w:space="0" w:color="auto"/>
        <w:left w:val="none" w:sz="0" w:space="0" w:color="auto"/>
        <w:bottom w:val="none" w:sz="0" w:space="0" w:color="auto"/>
        <w:right w:val="none" w:sz="0" w:space="0" w:color="auto"/>
      </w:divBdr>
    </w:div>
    <w:div w:id="1468666152">
      <w:marLeft w:val="0"/>
      <w:marRight w:val="0"/>
      <w:marTop w:val="0"/>
      <w:marBottom w:val="240"/>
      <w:divBdr>
        <w:top w:val="none" w:sz="0" w:space="0" w:color="auto"/>
        <w:left w:val="none" w:sz="0" w:space="0" w:color="auto"/>
        <w:bottom w:val="none" w:sz="0" w:space="0" w:color="auto"/>
        <w:right w:val="none" w:sz="0" w:space="0" w:color="auto"/>
      </w:divBdr>
    </w:div>
    <w:div w:id="1468859440">
      <w:marLeft w:val="0"/>
      <w:marRight w:val="0"/>
      <w:marTop w:val="0"/>
      <w:marBottom w:val="0"/>
      <w:divBdr>
        <w:top w:val="none" w:sz="0" w:space="0" w:color="auto"/>
        <w:left w:val="none" w:sz="0" w:space="0" w:color="auto"/>
        <w:bottom w:val="none" w:sz="0" w:space="0" w:color="auto"/>
        <w:right w:val="none" w:sz="0" w:space="0" w:color="auto"/>
      </w:divBdr>
    </w:div>
    <w:div w:id="1469126591">
      <w:marLeft w:val="0"/>
      <w:marRight w:val="0"/>
      <w:marTop w:val="0"/>
      <w:marBottom w:val="180"/>
      <w:divBdr>
        <w:top w:val="none" w:sz="0" w:space="0" w:color="auto"/>
        <w:left w:val="none" w:sz="0" w:space="0" w:color="auto"/>
        <w:bottom w:val="none" w:sz="0" w:space="0" w:color="auto"/>
        <w:right w:val="none" w:sz="0" w:space="0" w:color="auto"/>
      </w:divBdr>
    </w:div>
    <w:div w:id="1470129877">
      <w:marLeft w:val="0"/>
      <w:marRight w:val="0"/>
      <w:marTop w:val="0"/>
      <w:marBottom w:val="180"/>
      <w:divBdr>
        <w:top w:val="none" w:sz="0" w:space="0" w:color="auto"/>
        <w:left w:val="none" w:sz="0" w:space="0" w:color="auto"/>
        <w:bottom w:val="none" w:sz="0" w:space="0" w:color="auto"/>
        <w:right w:val="none" w:sz="0" w:space="0" w:color="auto"/>
      </w:divBdr>
    </w:div>
    <w:div w:id="1471706509">
      <w:marLeft w:val="0"/>
      <w:marRight w:val="0"/>
      <w:marTop w:val="0"/>
      <w:marBottom w:val="240"/>
      <w:divBdr>
        <w:top w:val="none" w:sz="0" w:space="0" w:color="auto"/>
        <w:left w:val="none" w:sz="0" w:space="0" w:color="auto"/>
        <w:bottom w:val="none" w:sz="0" w:space="0" w:color="auto"/>
        <w:right w:val="none" w:sz="0" w:space="0" w:color="auto"/>
      </w:divBdr>
    </w:div>
    <w:div w:id="1471899270">
      <w:marLeft w:val="0"/>
      <w:marRight w:val="0"/>
      <w:marTop w:val="0"/>
      <w:marBottom w:val="0"/>
      <w:divBdr>
        <w:top w:val="none" w:sz="0" w:space="0" w:color="auto"/>
        <w:left w:val="none" w:sz="0" w:space="0" w:color="auto"/>
        <w:bottom w:val="none" w:sz="0" w:space="0" w:color="auto"/>
        <w:right w:val="none" w:sz="0" w:space="0" w:color="auto"/>
      </w:divBdr>
      <w:divsChild>
        <w:div w:id="238683489">
          <w:marLeft w:val="0"/>
          <w:marRight w:val="0"/>
          <w:marTop w:val="0"/>
          <w:marBottom w:val="0"/>
          <w:divBdr>
            <w:top w:val="none" w:sz="0" w:space="0" w:color="auto"/>
            <w:left w:val="none" w:sz="0" w:space="0" w:color="auto"/>
            <w:bottom w:val="none" w:sz="0" w:space="0" w:color="auto"/>
            <w:right w:val="none" w:sz="0" w:space="0" w:color="auto"/>
          </w:divBdr>
        </w:div>
      </w:divsChild>
    </w:div>
    <w:div w:id="1473208566">
      <w:marLeft w:val="0"/>
      <w:marRight w:val="0"/>
      <w:marTop w:val="120"/>
      <w:marBottom w:val="120"/>
      <w:divBdr>
        <w:top w:val="none" w:sz="0" w:space="0" w:color="auto"/>
        <w:left w:val="none" w:sz="0" w:space="0" w:color="auto"/>
        <w:bottom w:val="none" w:sz="0" w:space="0" w:color="auto"/>
        <w:right w:val="none" w:sz="0" w:space="0" w:color="auto"/>
      </w:divBdr>
    </w:div>
    <w:div w:id="1473257972">
      <w:marLeft w:val="0"/>
      <w:marRight w:val="0"/>
      <w:marTop w:val="0"/>
      <w:marBottom w:val="240"/>
      <w:divBdr>
        <w:top w:val="none" w:sz="0" w:space="0" w:color="auto"/>
        <w:left w:val="none" w:sz="0" w:space="0" w:color="auto"/>
        <w:bottom w:val="none" w:sz="0" w:space="0" w:color="auto"/>
        <w:right w:val="none" w:sz="0" w:space="0" w:color="auto"/>
      </w:divBdr>
    </w:div>
    <w:div w:id="1473324658">
      <w:marLeft w:val="0"/>
      <w:marRight w:val="0"/>
      <w:marTop w:val="0"/>
      <w:marBottom w:val="240"/>
      <w:divBdr>
        <w:top w:val="none" w:sz="0" w:space="0" w:color="auto"/>
        <w:left w:val="none" w:sz="0" w:space="0" w:color="auto"/>
        <w:bottom w:val="none" w:sz="0" w:space="0" w:color="auto"/>
        <w:right w:val="none" w:sz="0" w:space="0" w:color="auto"/>
      </w:divBdr>
    </w:div>
    <w:div w:id="1473785978">
      <w:marLeft w:val="0"/>
      <w:marRight w:val="0"/>
      <w:marTop w:val="0"/>
      <w:marBottom w:val="180"/>
      <w:divBdr>
        <w:top w:val="none" w:sz="0" w:space="0" w:color="auto"/>
        <w:left w:val="none" w:sz="0" w:space="0" w:color="auto"/>
        <w:bottom w:val="none" w:sz="0" w:space="0" w:color="auto"/>
        <w:right w:val="none" w:sz="0" w:space="0" w:color="auto"/>
      </w:divBdr>
    </w:div>
    <w:div w:id="1473791608">
      <w:marLeft w:val="0"/>
      <w:marRight w:val="0"/>
      <w:marTop w:val="0"/>
      <w:marBottom w:val="0"/>
      <w:divBdr>
        <w:top w:val="none" w:sz="0" w:space="0" w:color="auto"/>
        <w:left w:val="none" w:sz="0" w:space="0" w:color="auto"/>
        <w:bottom w:val="none" w:sz="0" w:space="0" w:color="auto"/>
        <w:right w:val="none" w:sz="0" w:space="0" w:color="auto"/>
      </w:divBdr>
      <w:divsChild>
        <w:div w:id="1454131074">
          <w:marLeft w:val="0"/>
          <w:marRight w:val="0"/>
          <w:marTop w:val="0"/>
          <w:marBottom w:val="0"/>
          <w:divBdr>
            <w:top w:val="none" w:sz="0" w:space="0" w:color="auto"/>
            <w:left w:val="none" w:sz="0" w:space="0" w:color="auto"/>
            <w:bottom w:val="none" w:sz="0" w:space="0" w:color="auto"/>
            <w:right w:val="none" w:sz="0" w:space="0" w:color="auto"/>
          </w:divBdr>
        </w:div>
      </w:divsChild>
    </w:div>
    <w:div w:id="1474329534">
      <w:marLeft w:val="0"/>
      <w:marRight w:val="0"/>
      <w:marTop w:val="0"/>
      <w:marBottom w:val="240"/>
      <w:divBdr>
        <w:top w:val="none" w:sz="0" w:space="0" w:color="auto"/>
        <w:left w:val="none" w:sz="0" w:space="0" w:color="auto"/>
        <w:bottom w:val="none" w:sz="0" w:space="0" w:color="auto"/>
        <w:right w:val="none" w:sz="0" w:space="0" w:color="auto"/>
      </w:divBdr>
    </w:div>
    <w:div w:id="1474525866">
      <w:marLeft w:val="0"/>
      <w:marRight w:val="0"/>
      <w:marTop w:val="0"/>
      <w:marBottom w:val="0"/>
      <w:divBdr>
        <w:top w:val="none" w:sz="0" w:space="0" w:color="auto"/>
        <w:left w:val="none" w:sz="0" w:space="0" w:color="auto"/>
        <w:bottom w:val="none" w:sz="0" w:space="0" w:color="auto"/>
        <w:right w:val="none" w:sz="0" w:space="0" w:color="auto"/>
      </w:divBdr>
    </w:div>
    <w:div w:id="1474710901">
      <w:marLeft w:val="0"/>
      <w:marRight w:val="0"/>
      <w:marTop w:val="180"/>
      <w:marBottom w:val="180"/>
      <w:divBdr>
        <w:top w:val="none" w:sz="0" w:space="0" w:color="auto"/>
        <w:left w:val="none" w:sz="0" w:space="0" w:color="auto"/>
        <w:bottom w:val="none" w:sz="0" w:space="0" w:color="auto"/>
        <w:right w:val="none" w:sz="0" w:space="0" w:color="auto"/>
      </w:divBdr>
    </w:div>
    <w:div w:id="1477212834">
      <w:marLeft w:val="0"/>
      <w:marRight w:val="0"/>
      <w:marTop w:val="0"/>
      <w:marBottom w:val="180"/>
      <w:divBdr>
        <w:top w:val="none" w:sz="0" w:space="0" w:color="auto"/>
        <w:left w:val="none" w:sz="0" w:space="0" w:color="auto"/>
        <w:bottom w:val="none" w:sz="0" w:space="0" w:color="auto"/>
        <w:right w:val="none" w:sz="0" w:space="0" w:color="auto"/>
      </w:divBdr>
    </w:div>
    <w:div w:id="1477802302">
      <w:marLeft w:val="0"/>
      <w:marRight w:val="0"/>
      <w:marTop w:val="0"/>
      <w:marBottom w:val="180"/>
      <w:divBdr>
        <w:top w:val="none" w:sz="0" w:space="0" w:color="auto"/>
        <w:left w:val="none" w:sz="0" w:space="0" w:color="auto"/>
        <w:bottom w:val="none" w:sz="0" w:space="0" w:color="auto"/>
        <w:right w:val="none" w:sz="0" w:space="0" w:color="auto"/>
      </w:divBdr>
    </w:div>
    <w:div w:id="1477990118">
      <w:marLeft w:val="0"/>
      <w:marRight w:val="0"/>
      <w:marTop w:val="0"/>
      <w:marBottom w:val="180"/>
      <w:divBdr>
        <w:top w:val="none" w:sz="0" w:space="0" w:color="auto"/>
        <w:left w:val="none" w:sz="0" w:space="0" w:color="auto"/>
        <w:bottom w:val="none" w:sz="0" w:space="0" w:color="auto"/>
        <w:right w:val="none" w:sz="0" w:space="0" w:color="auto"/>
      </w:divBdr>
    </w:div>
    <w:div w:id="1478188504">
      <w:marLeft w:val="0"/>
      <w:marRight w:val="0"/>
      <w:marTop w:val="0"/>
      <w:marBottom w:val="240"/>
      <w:divBdr>
        <w:top w:val="none" w:sz="0" w:space="0" w:color="auto"/>
        <w:left w:val="none" w:sz="0" w:space="0" w:color="auto"/>
        <w:bottom w:val="none" w:sz="0" w:space="0" w:color="auto"/>
        <w:right w:val="none" w:sz="0" w:space="0" w:color="auto"/>
      </w:divBdr>
    </w:div>
    <w:div w:id="1478642945">
      <w:marLeft w:val="0"/>
      <w:marRight w:val="0"/>
      <w:marTop w:val="0"/>
      <w:marBottom w:val="240"/>
      <w:divBdr>
        <w:top w:val="none" w:sz="0" w:space="0" w:color="auto"/>
        <w:left w:val="none" w:sz="0" w:space="0" w:color="auto"/>
        <w:bottom w:val="none" w:sz="0" w:space="0" w:color="auto"/>
        <w:right w:val="none" w:sz="0" w:space="0" w:color="auto"/>
      </w:divBdr>
    </w:div>
    <w:div w:id="1479608729">
      <w:marLeft w:val="0"/>
      <w:marRight w:val="0"/>
      <w:marTop w:val="0"/>
      <w:marBottom w:val="180"/>
      <w:divBdr>
        <w:top w:val="none" w:sz="0" w:space="0" w:color="auto"/>
        <w:left w:val="none" w:sz="0" w:space="0" w:color="auto"/>
        <w:bottom w:val="none" w:sz="0" w:space="0" w:color="auto"/>
        <w:right w:val="none" w:sz="0" w:space="0" w:color="auto"/>
      </w:divBdr>
    </w:div>
    <w:div w:id="1479803555">
      <w:marLeft w:val="0"/>
      <w:marRight w:val="0"/>
      <w:marTop w:val="0"/>
      <w:marBottom w:val="0"/>
      <w:divBdr>
        <w:top w:val="none" w:sz="0" w:space="0" w:color="auto"/>
        <w:left w:val="none" w:sz="0" w:space="0" w:color="auto"/>
        <w:bottom w:val="none" w:sz="0" w:space="0" w:color="auto"/>
        <w:right w:val="none" w:sz="0" w:space="0" w:color="auto"/>
      </w:divBdr>
      <w:divsChild>
        <w:div w:id="1524394794">
          <w:marLeft w:val="0"/>
          <w:marRight w:val="0"/>
          <w:marTop w:val="0"/>
          <w:marBottom w:val="0"/>
          <w:divBdr>
            <w:top w:val="none" w:sz="0" w:space="0" w:color="auto"/>
            <w:left w:val="none" w:sz="0" w:space="0" w:color="auto"/>
            <w:bottom w:val="none" w:sz="0" w:space="0" w:color="auto"/>
            <w:right w:val="none" w:sz="0" w:space="0" w:color="auto"/>
          </w:divBdr>
          <w:divsChild>
            <w:div w:id="15342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68939">
      <w:marLeft w:val="0"/>
      <w:marRight w:val="0"/>
      <w:marTop w:val="0"/>
      <w:marBottom w:val="240"/>
      <w:divBdr>
        <w:top w:val="none" w:sz="0" w:space="0" w:color="auto"/>
        <w:left w:val="none" w:sz="0" w:space="0" w:color="auto"/>
        <w:bottom w:val="none" w:sz="0" w:space="0" w:color="auto"/>
        <w:right w:val="none" w:sz="0" w:space="0" w:color="auto"/>
      </w:divBdr>
    </w:div>
    <w:div w:id="1480879151">
      <w:marLeft w:val="0"/>
      <w:marRight w:val="0"/>
      <w:marTop w:val="0"/>
      <w:marBottom w:val="240"/>
      <w:divBdr>
        <w:top w:val="none" w:sz="0" w:space="0" w:color="auto"/>
        <w:left w:val="none" w:sz="0" w:space="0" w:color="auto"/>
        <w:bottom w:val="none" w:sz="0" w:space="0" w:color="auto"/>
        <w:right w:val="none" w:sz="0" w:space="0" w:color="auto"/>
      </w:divBdr>
    </w:div>
    <w:div w:id="1480995256">
      <w:marLeft w:val="0"/>
      <w:marRight w:val="0"/>
      <w:marTop w:val="120"/>
      <w:marBottom w:val="180"/>
      <w:divBdr>
        <w:top w:val="none" w:sz="0" w:space="0" w:color="auto"/>
        <w:left w:val="none" w:sz="0" w:space="0" w:color="auto"/>
        <w:bottom w:val="none" w:sz="0" w:space="0" w:color="auto"/>
        <w:right w:val="none" w:sz="0" w:space="0" w:color="auto"/>
      </w:divBdr>
    </w:div>
    <w:div w:id="1480996339">
      <w:marLeft w:val="0"/>
      <w:marRight w:val="0"/>
      <w:marTop w:val="0"/>
      <w:marBottom w:val="0"/>
      <w:divBdr>
        <w:top w:val="none" w:sz="0" w:space="0" w:color="auto"/>
        <w:left w:val="none" w:sz="0" w:space="0" w:color="auto"/>
        <w:bottom w:val="none" w:sz="0" w:space="0" w:color="auto"/>
        <w:right w:val="none" w:sz="0" w:space="0" w:color="auto"/>
      </w:divBdr>
    </w:div>
    <w:div w:id="1482308253">
      <w:marLeft w:val="0"/>
      <w:marRight w:val="0"/>
      <w:marTop w:val="0"/>
      <w:marBottom w:val="0"/>
      <w:divBdr>
        <w:top w:val="none" w:sz="0" w:space="0" w:color="auto"/>
        <w:left w:val="none" w:sz="0" w:space="0" w:color="auto"/>
        <w:bottom w:val="none" w:sz="0" w:space="0" w:color="auto"/>
        <w:right w:val="none" w:sz="0" w:space="0" w:color="auto"/>
      </w:divBdr>
    </w:div>
    <w:div w:id="1482575895">
      <w:marLeft w:val="0"/>
      <w:marRight w:val="0"/>
      <w:marTop w:val="0"/>
      <w:marBottom w:val="0"/>
      <w:divBdr>
        <w:top w:val="none" w:sz="0" w:space="0" w:color="auto"/>
        <w:left w:val="none" w:sz="0" w:space="0" w:color="auto"/>
        <w:bottom w:val="none" w:sz="0" w:space="0" w:color="auto"/>
        <w:right w:val="none" w:sz="0" w:space="0" w:color="auto"/>
      </w:divBdr>
    </w:div>
    <w:div w:id="1482845437">
      <w:marLeft w:val="0"/>
      <w:marRight w:val="0"/>
      <w:marTop w:val="0"/>
      <w:marBottom w:val="0"/>
      <w:divBdr>
        <w:top w:val="none" w:sz="0" w:space="0" w:color="auto"/>
        <w:left w:val="none" w:sz="0" w:space="0" w:color="auto"/>
        <w:bottom w:val="none" w:sz="0" w:space="0" w:color="auto"/>
        <w:right w:val="none" w:sz="0" w:space="0" w:color="auto"/>
      </w:divBdr>
      <w:divsChild>
        <w:div w:id="1511292118">
          <w:marLeft w:val="0"/>
          <w:marRight w:val="0"/>
          <w:marTop w:val="0"/>
          <w:marBottom w:val="0"/>
          <w:divBdr>
            <w:top w:val="none" w:sz="0" w:space="0" w:color="auto"/>
            <w:left w:val="none" w:sz="0" w:space="0" w:color="auto"/>
            <w:bottom w:val="none" w:sz="0" w:space="0" w:color="auto"/>
            <w:right w:val="none" w:sz="0" w:space="0" w:color="auto"/>
          </w:divBdr>
        </w:div>
      </w:divsChild>
    </w:div>
    <w:div w:id="1483085886">
      <w:marLeft w:val="0"/>
      <w:marRight w:val="0"/>
      <w:marTop w:val="0"/>
      <w:marBottom w:val="240"/>
      <w:divBdr>
        <w:top w:val="none" w:sz="0" w:space="0" w:color="auto"/>
        <w:left w:val="none" w:sz="0" w:space="0" w:color="auto"/>
        <w:bottom w:val="none" w:sz="0" w:space="0" w:color="auto"/>
        <w:right w:val="none" w:sz="0" w:space="0" w:color="auto"/>
      </w:divBdr>
    </w:div>
    <w:div w:id="1483229208">
      <w:marLeft w:val="0"/>
      <w:marRight w:val="0"/>
      <w:marTop w:val="120"/>
      <w:marBottom w:val="180"/>
      <w:divBdr>
        <w:top w:val="none" w:sz="0" w:space="0" w:color="auto"/>
        <w:left w:val="none" w:sz="0" w:space="0" w:color="auto"/>
        <w:bottom w:val="none" w:sz="0" w:space="0" w:color="auto"/>
        <w:right w:val="none" w:sz="0" w:space="0" w:color="auto"/>
      </w:divBdr>
    </w:div>
    <w:div w:id="1484396357">
      <w:marLeft w:val="0"/>
      <w:marRight w:val="0"/>
      <w:marTop w:val="180"/>
      <w:marBottom w:val="180"/>
      <w:divBdr>
        <w:top w:val="none" w:sz="0" w:space="0" w:color="auto"/>
        <w:left w:val="none" w:sz="0" w:space="0" w:color="auto"/>
        <w:bottom w:val="none" w:sz="0" w:space="0" w:color="auto"/>
        <w:right w:val="none" w:sz="0" w:space="0" w:color="auto"/>
      </w:divBdr>
    </w:div>
    <w:div w:id="1485661724">
      <w:marLeft w:val="0"/>
      <w:marRight w:val="0"/>
      <w:marTop w:val="180"/>
      <w:marBottom w:val="180"/>
      <w:divBdr>
        <w:top w:val="none" w:sz="0" w:space="0" w:color="auto"/>
        <w:left w:val="none" w:sz="0" w:space="0" w:color="auto"/>
        <w:bottom w:val="none" w:sz="0" w:space="0" w:color="auto"/>
        <w:right w:val="none" w:sz="0" w:space="0" w:color="auto"/>
      </w:divBdr>
    </w:div>
    <w:div w:id="1485731213">
      <w:marLeft w:val="0"/>
      <w:marRight w:val="0"/>
      <w:marTop w:val="0"/>
      <w:marBottom w:val="0"/>
      <w:divBdr>
        <w:top w:val="none" w:sz="0" w:space="0" w:color="auto"/>
        <w:left w:val="none" w:sz="0" w:space="0" w:color="auto"/>
        <w:bottom w:val="none" w:sz="0" w:space="0" w:color="auto"/>
        <w:right w:val="none" w:sz="0" w:space="0" w:color="auto"/>
      </w:divBdr>
    </w:div>
    <w:div w:id="1486581992">
      <w:marLeft w:val="0"/>
      <w:marRight w:val="0"/>
      <w:marTop w:val="0"/>
      <w:marBottom w:val="0"/>
      <w:divBdr>
        <w:top w:val="none" w:sz="0" w:space="0" w:color="auto"/>
        <w:left w:val="none" w:sz="0" w:space="0" w:color="auto"/>
        <w:bottom w:val="none" w:sz="0" w:space="0" w:color="auto"/>
        <w:right w:val="none" w:sz="0" w:space="0" w:color="auto"/>
      </w:divBdr>
      <w:divsChild>
        <w:div w:id="841241281">
          <w:marLeft w:val="0"/>
          <w:marRight w:val="0"/>
          <w:marTop w:val="0"/>
          <w:marBottom w:val="0"/>
          <w:divBdr>
            <w:top w:val="none" w:sz="0" w:space="0" w:color="auto"/>
            <w:left w:val="none" w:sz="0" w:space="0" w:color="auto"/>
            <w:bottom w:val="none" w:sz="0" w:space="0" w:color="auto"/>
            <w:right w:val="none" w:sz="0" w:space="0" w:color="auto"/>
          </w:divBdr>
        </w:div>
      </w:divsChild>
    </w:div>
    <w:div w:id="1488130174">
      <w:marLeft w:val="0"/>
      <w:marRight w:val="0"/>
      <w:marTop w:val="0"/>
      <w:marBottom w:val="0"/>
      <w:divBdr>
        <w:top w:val="none" w:sz="0" w:space="0" w:color="auto"/>
        <w:left w:val="none" w:sz="0" w:space="0" w:color="auto"/>
        <w:bottom w:val="none" w:sz="0" w:space="0" w:color="auto"/>
        <w:right w:val="none" w:sz="0" w:space="0" w:color="auto"/>
      </w:divBdr>
      <w:divsChild>
        <w:div w:id="1298343087">
          <w:marLeft w:val="0"/>
          <w:marRight w:val="0"/>
          <w:marTop w:val="0"/>
          <w:marBottom w:val="0"/>
          <w:divBdr>
            <w:top w:val="none" w:sz="0" w:space="0" w:color="auto"/>
            <w:left w:val="none" w:sz="0" w:space="0" w:color="auto"/>
            <w:bottom w:val="none" w:sz="0" w:space="0" w:color="auto"/>
            <w:right w:val="none" w:sz="0" w:space="0" w:color="auto"/>
          </w:divBdr>
        </w:div>
      </w:divsChild>
    </w:div>
    <w:div w:id="1489206661">
      <w:marLeft w:val="0"/>
      <w:marRight w:val="0"/>
      <w:marTop w:val="0"/>
      <w:marBottom w:val="0"/>
      <w:divBdr>
        <w:top w:val="none" w:sz="0" w:space="0" w:color="auto"/>
        <w:left w:val="none" w:sz="0" w:space="0" w:color="auto"/>
        <w:bottom w:val="none" w:sz="0" w:space="0" w:color="auto"/>
        <w:right w:val="none" w:sz="0" w:space="0" w:color="auto"/>
      </w:divBdr>
      <w:divsChild>
        <w:div w:id="799541201">
          <w:marLeft w:val="0"/>
          <w:marRight w:val="0"/>
          <w:marTop w:val="0"/>
          <w:marBottom w:val="180"/>
          <w:divBdr>
            <w:top w:val="none" w:sz="0" w:space="0" w:color="auto"/>
            <w:left w:val="none" w:sz="0" w:space="0" w:color="auto"/>
            <w:bottom w:val="none" w:sz="0" w:space="0" w:color="auto"/>
            <w:right w:val="none" w:sz="0" w:space="0" w:color="auto"/>
          </w:divBdr>
        </w:div>
      </w:divsChild>
    </w:div>
    <w:div w:id="1489436773">
      <w:marLeft w:val="0"/>
      <w:marRight w:val="0"/>
      <w:marTop w:val="120"/>
      <w:marBottom w:val="120"/>
      <w:divBdr>
        <w:top w:val="none" w:sz="0" w:space="0" w:color="auto"/>
        <w:left w:val="none" w:sz="0" w:space="0" w:color="auto"/>
        <w:bottom w:val="none" w:sz="0" w:space="0" w:color="auto"/>
        <w:right w:val="none" w:sz="0" w:space="0" w:color="auto"/>
      </w:divBdr>
    </w:div>
    <w:div w:id="1490637734">
      <w:marLeft w:val="0"/>
      <w:marRight w:val="0"/>
      <w:marTop w:val="100"/>
      <w:marBottom w:val="240"/>
      <w:divBdr>
        <w:top w:val="none" w:sz="0" w:space="0" w:color="auto"/>
        <w:left w:val="none" w:sz="0" w:space="0" w:color="auto"/>
        <w:bottom w:val="none" w:sz="0" w:space="0" w:color="auto"/>
        <w:right w:val="none" w:sz="0" w:space="0" w:color="auto"/>
      </w:divBdr>
    </w:div>
    <w:div w:id="1493906858">
      <w:marLeft w:val="0"/>
      <w:marRight w:val="0"/>
      <w:marTop w:val="0"/>
      <w:marBottom w:val="0"/>
      <w:divBdr>
        <w:top w:val="none" w:sz="0" w:space="0" w:color="auto"/>
        <w:left w:val="none" w:sz="0" w:space="0" w:color="auto"/>
        <w:bottom w:val="none" w:sz="0" w:space="0" w:color="auto"/>
        <w:right w:val="none" w:sz="0" w:space="0" w:color="auto"/>
      </w:divBdr>
      <w:divsChild>
        <w:div w:id="1757358909">
          <w:marLeft w:val="0"/>
          <w:marRight w:val="0"/>
          <w:marTop w:val="0"/>
          <w:marBottom w:val="0"/>
          <w:divBdr>
            <w:top w:val="none" w:sz="0" w:space="0" w:color="auto"/>
            <w:left w:val="none" w:sz="0" w:space="0" w:color="auto"/>
            <w:bottom w:val="none" w:sz="0" w:space="0" w:color="auto"/>
            <w:right w:val="none" w:sz="0" w:space="0" w:color="auto"/>
          </w:divBdr>
        </w:div>
      </w:divsChild>
    </w:div>
    <w:div w:id="1494417899">
      <w:marLeft w:val="0"/>
      <w:marRight w:val="0"/>
      <w:marTop w:val="0"/>
      <w:marBottom w:val="240"/>
      <w:divBdr>
        <w:top w:val="none" w:sz="0" w:space="0" w:color="auto"/>
        <w:left w:val="none" w:sz="0" w:space="0" w:color="auto"/>
        <w:bottom w:val="none" w:sz="0" w:space="0" w:color="auto"/>
        <w:right w:val="none" w:sz="0" w:space="0" w:color="auto"/>
      </w:divBdr>
    </w:div>
    <w:div w:id="1494491709">
      <w:marLeft w:val="0"/>
      <w:marRight w:val="0"/>
      <w:marTop w:val="0"/>
      <w:marBottom w:val="240"/>
      <w:divBdr>
        <w:top w:val="none" w:sz="0" w:space="0" w:color="auto"/>
        <w:left w:val="none" w:sz="0" w:space="0" w:color="auto"/>
        <w:bottom w:val="none" w:sz="0" w:space="0" w:color="auto"/>
        <w:right w:val="none" w:sz="0" w:space="0" w:color="auto"/>
      </w:divBdr>
    </w:div>
    <w:div w:id="1494638475">
      <w:marLeft w:val="0"/>
      <w:marRight w:val="0"/>
      <w:marTop w:val="0"/>
      <w:marBottom w:val="180"/>
      <w:divBdr>
        <w:top w:val="none" w:sz="0" w:space="0" w:color="auto"/>
        <w:left w:val="none" w:sz="0" w:space="0" w:color="auto"/>
        <w:bottom w:val="none" w:sz="0" w:space="0" w:color="auto"/>
        <w:right w:val="none" w:sz="0" w:space="0" w:color="auto"/>
      </w:divBdr>
    </w:div>
    <w:div w:id="1495102455">
      <w:marLeft w:val="0"/>
      <w:marRight w:val="0"/>
      <w:marTop w:val="0"/>
      <w:marBottom w:val="0"/>
      <w:divBdr>
        <w:top w:val="none" w:sz="0" w:space="0" w:color="auto"/>
        <w:left w:val="none" w:sz="0" w:space="0" w:color="auto"/>
        <w:bottom w:val="none" w:sz="0" w:space="0" w:color="auto"/>
        <w:right w:val="none" w:sz="0" w:space="0" w:color="auto"/>
      </w:divBdr>
    </w:div>
    <w:div w:id="1495609259">
      <w:marLeft w:val="0"/>
      <w:marRight w:val="0"/>
      <w:marTop w:val="0"/>
      <w:marBottom w:val="0"/>
      <w:divBdr>
        <w:top w:val="none" w:sz="0" w:space="0" w:color="auto"/>
        <w:left w:val="none" w:sz="0" w:space="0" w:color="auto"/>
        <w:bottom w:val="none" w:sz="0" w:space="0" w:color="auto"/>
        <w:right w:val="none" w:sz="0" w:space="0" w:color="auto"/>
      </w:divBdr>
    </w:div>
    <w:div w:id="1495681925">
      <w:marLeft w:val="0"/>
      <w:marRight w:val="0"/>
      <w:marTop w:val="0"/>
      <w:marBottom w:val="180"/>
      <w:divBdr>
        <w:top w:val="none" w:sz="0" w:space="0" w:color="auto"/>
        <w:left w:val="none" w:sz="0" w:space="0" w:color="auto"/>
        <w:bottom w:val="none" w:sz="0" w:space="0" w:color="auto"/>
        <w:right w:val="none" w:sz="0" w:space="0" w:color="auto"/>
      </w:divBdr>
    </w:div>
    <w:div w:id="1496649987">
      <w:marLeft w:val="0"/>
      <w:marRight w:val="0"/>
      <w:marTop w:val="0"/>
      <w:marBottom w:val="180"/>
      <w:divBdr>
        <w:top w:val="none" w:sz="0" w:space="0" w:color="auto"/>
        <w:left w:val="none" w:sz="0" w:space="0" w:color="auto"/>
        <w:bottom w:val="none" w:sz="0" w:space="0" w:color="auto"/>
        <w:right w:val="none" w:sz="0" w:space="0" w:color="auto"/>
      </w:divBdr>
    </w:div>
    <w:div w:id="1498226064">
      <w:marLeft w:val="0"/>
      <w:marRight w:val="0"/>
      <w:marTop w:val="0"/>
      <w:marBottom w:val="0"/>
      <w:divBdr>
        <w:top w:val="none" w:sz="0" w:space="0" w:color="auto"/>
        <w:left w:val="none" w:sz="0" w:space="0" w:color="auto"/>
        <w:bottom w:val="none" w:sz="0" w:space="0" w:color="auto"/>
        <w:right w:val="none" w:sz="0" w:space="0" w:color="auto"/>
      </w:divBdr>
    </w:div>
    <w:div w:id="1499072981">
      <w:marLeft w:val="0"/>
      <w:marRight w:val="0"/>
      <w:marTop w:val="0"/>
      <w:marBottom w:val="0"/>
      <w:divBdr>
        <w:top w:val="none" w:sz="0" w:space="0" w:color="auto"/>
        <w:left w:val="none" w:sz="0" w:space="0" w:color="auto"/>
        <w:bottom w:val="none" w:sz="0" w:space="0" w:color="auto"/>
        <w:right w:val="none" w:sz="0" w:space="0" w:color="auto"/>
      </w:divBdr>
    </w:div>
    <w:div w:id="1499230669">
      <w:marLeft w:val="0"/>
      <w:marRight w:val="0"/>
      <w:marTop w:val="0"/>
      <w:marBottom w:val="240"/>
      <w:divBdr>
        <w:top w:val="none" w:sz="0" w:space="0" w:color="auto"/>
        <w:left w:val="none" w:sz="0" w:space="0" w:color="auto"/>
        <w:bottom w:val="none" w:sz="0" w:space="0" w:color="auto"/>
        <w:right w:val="none" w:sz="0" w:space="0" w:color="auto"/>
      </w:divBdr>
    </w:div>
    <w:div w:id="1500344825">
      <w:marLeft w:val="0"/>
      <w:marRight w:val="0"/>
      <w:marTop w:val="0"/>
      <w:marBottom w:val="0"/>
      <w:divBdr>
        <w:top w:val="none" w:sz="0" w:space="0" w:color="auto"/>
        <w:left w:val="none" w:sz="0" w:space="0" w:color="auto"/>
        <w:bottom w:val="none" w:sz="0" w:space="0" w:color="auto"/>
        <w:right w:val="none" w:sz="0" w:space="0" w:color="auto"/>
      </w:divBdr>
    </w:div>
    <w:div w:id="1501311131">
      <w:marLeft w:val="0"/>
      <w:marRight w:val="0"/>
      <w:marTop w:val="0"/>
      <w:marBottom w:val="180"/>
      <w:divBdr>
        <w:top w:val="none" w:sz="0" w:space="0" w:color="auto"/>
        <w:left w:val="none" w:sz="0" w:space="0" w:color="auto"/>
        <w:bottom w:val="none" w:sz="0" w:space="0" w:color="auto"/>
        <w:right w:val="none" w:sz="0" w:space="0" w:color="auto"/>
      </w:divBdr>
    </w:div>
    <w:div w:id="1501969128">
      <w:marLeft w:val="0"/>
      <w:marRight w:val="0"/>
      <w:marTop w:val="0"/>
      <w:marBottom w:val="180"/>
      <w:divBdr>
        <w:top w:val="none" w:sz="0" w:space="0" w:color="auto"/>
        <w:left w:val="none" w:sz="0" w:space="0" w:color="auto"/>
        <w:bottom w:val="none" w:sz="0" w:space="0" w:color="auto"/>
        <w:right w:val="none" w:sz="0" w:space="0" w:color="auto"/>
      </w:divBdr>
    </w:div>
    <w:div w:id="1503161593">
      <w:marLeft w:val="0"/>
      <w:marRight w:val="0"/>
      <w:marTop w:val="180"/>
      <w:marBottom w:val="180"/>
      <w:divBdr>
        <w:top w:val="none" w:sz="0" w:space="0" w:color="auto"/>
        <w:left w:val="none" w:sz="0" w:space="0" w:color="auto"/>
        <w:bottom w:val="none" w:sz="0" w:space="0" w:color="auto"/>
        <w:right w:val="none" w:sz="0" w:space="0" w:color="auto"/>
      </w:divBdr>
    </w:div>
    <w:div w:id="1503272899">
      <w:marLeft w:val="0"/>
      <w:marRight w:val="0"/>
      <w:marTop w:val="120"/>
      <w:marBottom w:val="120"/>
      <w:divBdr>
        <w:top w:val="none" w:sz="0" w:space="0" w:color="auto"/>
        <w:left w:val="none" w:sz="0" w:space="0" w:color="auto"/>
        <w:bottom w:val="none" w:sz="0" w:space="0" w:color="auto"/>
        <w:right w:val="none" w:sz="0" w:space="0" w:color="auto"/>
      </w:divBdr>
    </w:div>
    <w:div w:id="1504200495">
      <w:marLeft w:val="0"/>
      <w:marRight w:val="0"/>
      <w:marTop w:val="0"/>
      <w:marBottom w:val="0"/>
      <w:divBdr>
        <w:top w:val="none" w:sz="0" w:space="0" w:color="auto"/>
        <w:left w:val="none" w:sz="0" w:space="0" w:color="auto"/>
        <w:bottom w:val="none" w:sz="0" w:space="0" w:color="auto"/>
        <w:right w:val="none" w:sz="0" w:space="0" w:color="auto"/>
      </w:divBdr>
    </w:div>
    <w:div w:id="1504471279">
      <w:marLeft w:val="0"/>
      <w:marRight w:val="0"/>
      <w:marTop w:val="0"/>
      <w:marBottom w:val="240"/>
      <w:divBdr>
        <w:top w:val="none" w:sz="0" w:space="0" w:color="auto"/>
        <w:left w:val="none" w:sz="0" w:space="0" w:color="auto"/>
        <w:bottom w:val="none" w:sz="0" w:space="0" w:color="auto"/>
        <w:right w:val="none" w:sz="0" w:space="0" w:color="auto"/>
      </w:divBdr>
    </w:div>
    <w:div w:id="1507749652">
      <w:marLeft w:val="0"/>
      <w:marRight w:val="0"/>
      <w:marTop w:val="0"/>
      <w:marBottom w:val="180"/>
      <w:divBdr>
        <w:top w:val="none" w:sz="0" w:space="0" w:color="auto"/>
        <w:left w:val="none" w:sz="0" w:space="0" w:color="auto"/>
        <w:bottom w:val="none" w:sz="0" w:space="0" w:color="auto"/>
        <w:right w:val="none" w:sz="0" w:space="0" w:color="auto"/>
      </w:divBdr>
    </w:div>
    <w:div w:id="1508246695">
      <w:marLeft w:val="0"/>
      <w:marRight w:val="0"/>
      <w:marTop w:val="180"/>
      <w:marBottom w:val="180"/>
      <w:divBdr>
        <w:top w:val="none" w:sz="0" w:space="0" w:color="auto"/>
        <w:left w:val="none" w:sz="0" w:space="0" w:color="auto"/>
        <w:bottom w:val="none" w:sz="0" w:space="0" w:color="auto"/>
        <w:right w:val="none" w:sz="0" w:space="0" w:color="auto"/>
      </w:divBdr>
    </w:div>
    <w:div w:id="1508323401">
      <w:marLeft w:val="0"/>
      <w:marRight w:val="0"/>
      <w:marTop w:val="0"/>
      <w:marBottom w:val="0"/>
      <w:divBdr>
        <w:top w:val="none" w:sz="0" w:space="0" w:color="auto"/>
        <w:left w:val="none" w:sz="0" w:space="0" w:color="auto"/>
        <w:bottom w:val="none" w:sz="0" w:space="0" w:color="auto"/>
        <w:right w:val="none" w:sz="0" w:space="0" w:color="auto"/>
      </w:divBdr>
    </w:div>
    <w:div w:id="1510175744">
      <w:marLeft w:val="0"/>
      <w:marRight w:val="0"/>
      <w:marTop w:val="0"/>
      <w:marBottom w:val="240"/>
      <w:divBdr>
        <w:top w:val="none" w:sz="0" w:space="0" w:color="auto"/>
        <w:left w:val="none" w:sz="0" w:space="0" w:color="auto"/>
        <w:bottom w:val="none" w:sz="0" w:space="0" w:color="auto"/>
        <w:right w:val="none" w:sz="0" w:space="0" w:color="auto"/>
      </w:divBdr>
    </w:div>
    <w:div w:id="1511488998">
      <w:marLeft w:val="0"/>
      <w:marRight w:val="0"/>
      <w:marTop w:val="0"/>
      <w:marBottom w:val="0"/>
      <w:divBdr>
        <w:top w:val="none" w:sz="0" w:space="0" w:color="auto"/>
        <w:left w:val="none" w:sz="0" w:space="0" w:color="auto"/>
        <w:bottom w:val="none" w:sz="0" w:space="0" w:color="auto"/>
        <w:right w:val="none" w:sz="0" w:space="0" w:color="auto"/>
      </w:divBdr>
    </w:div>
    <w:div w:id="1512644299">
      <w:marLeft w:val="0"/>
      <w:marRight w:val="0"/>
      <w:marTop w:val="0"/>
      <w:marBottom w:val="240"/>
      <w:divBdr>
        <w:top w:val="none" w:sz="0" w:space="0" w:color="auto"/>
        <w:left w:val="none" w:sz="0" w:space="0" w:color="auto"/>
        <w:bottom w:val="none" w:sz="0" w:space="0" w:color="auto"/>
        <w:right w:val="none" w:sz="0" w:space="0" w:color="auto"/>
      </w:divBdr>
    </w:div>
    <w:div w:id="1512718159">
      <w:marLeft w:val="0"/>
      <w:marRight w:val="0"/>
      <w:marTop w:val="0"/>
      <w:marBottom w:val="180"/>
      <w:divBdr>
        <w:top w:val="none" w:sz="0" w:space="0" w:color="auto"/>
        <w:left w:val="none" w:sz="0" w:space="0" w:color="auto"/>
        <w:bottom w:val="none" w:sz="0" w:space="0" w:color="auto"/>
        <w:right w:val="none" w:sz="0" w:space="0" w:color="auto"/>
      </w:divBdr>
    </w:div>
    <w:div w:id="1513447312">
      <w:marLeft w:val="0"/>
      <w:marRight w:val="0"/>
      <w:marTop w:val="0"/>
      <w:marBottom w:val="0"/>
      <w:divBdr>
        <w:top w:val="none" w:sz="0" w:space="0" w:color="auto"/>
        <w:left w:val="none" w:sz="0" w:space="0" w:color="auto"/>
        <w:bottom w:val="none" w:sz="0" w:space="0" w:color="auto"/>
        <w:right w:val="none" w:sz="0" w:space="0" w:color="auto"/>
      </w:divBdr>
    </w:div>
    <w:div w:id="1513493173">
      <w:marLeft w:val="0"/>
      <w:marRight w:val="0"/>
      <w:marTop w:val="0"/>
      <w:marBottom w:val="0"/>
      <w:divBdr>
        <w:top w:val="none" w:sz="0" w:space="0" w:color="auto"/>
        <w:left w:val="none" w:sz="0" w:space="0" w:color="auto"/>
        <w:bottom w:val="none" w:sz="0" w:space="0" w:color="auto"/>
        <w:right w:val="none" w:sz="0" w:space="0" w:color="auto"/>
      </w:divBdr>
    </w:div>
    <w:div w:id="1513571154">
      <w:marLeft w:val="0"/>
      <w:marRight w:val="0"/>
      <w:marTop w:val="0"/>
      <w:marBottom w:val="0"/>
      <w:divBdr>
        <w:top w:val="none" w:sz="0" w:space="0" w:color="auto"/>
        <w:left w:val="none" w:sz="0" w:space="0" w:color="auto"/>
        <w:bottom w:val="none" w:sz="0" w:space="0" w:color="auto"/>
        <w:right w:val="none" w:sz="0" w:space="0" w:color="auto"/>
      </w:divBdr>
    </w:div>
    <w:div w:id="1513690694">
      <w:marLeft w:val="0"/>
      <w:marRight w:val="0"/>
      <w:marTop w:val="0"/>
      <w:marBottom w:val="180"/>
      <w:divBdr>
        <w:top w:val="none" w:sz="0" w:space="0" w:color="auto"/>
        <w:left w:val="none" w:sz="0" w:space="0" w:color="auto"/>
        <w:bottom w:val="none" w:sz="0" w:space="0" w:color="auto"/>
        <w:right w:val="none" w:sz="0" w:space="0" w:color="auto"/>
      </w:divBdr>
    </w:div>
    <w:div w:id="1513837165">
      <w:marLeft w:val="0"/>
      <w:marRight w:val="0"/>
      <w:marTop w:val="0"/>
      <w:marBottom w:val="180"/>
      <w:divBdr>
        <w:top w:val="none" w:sz="0" w:space="0" w:color="auto"/>
        <w:left w:val="none" w:sz="0" w:space="0" w:color="auto"/>
        <w:bottom w:val="none" w:sz="0" w:space="0" w:color="auto"/>
        <w:right w:val="none" w:sz="0" w:space="0" w:color="auto"/>
      </w:divBdr>
    </w:div>
    <w:div w:id="1514145995">
      <w:marLeft w:val="0"/>
      <w:marRight w:val="0"/>
      <w:marTop w:val="0"/>
      <w:marBottom w:val="180"/>
      <w:divBdr>
        <w:top w:val="none" w:sz="0" w:space="0" w:color="auto"/>
        <w:left w:val="none" w:sz="0" w:space="0" w:color="auto"/>
        <w:bottom w:val="none" w:sz="0" w:space="0" w:color="auto"/>
        <w:right w:val="none" w:sz="0" w:space="0" w:color="auto"/>
      </w:divBdr>
    </w:div>
    <w:div w:id="1515848528">
      <w:marLeft w:val="0"/>
      <w:marRight w:val="0"/>
      <w:marTop w:val="0"/>
      <w:marBottom w:val="240"/>
      <w:divBdr>
        <w:top w:val="none" w:sz="0" w:space="0" w:color="auto"/>
        <w:left w:val="none" w:sz="0" w:space="0" w:color="auto"/>
        <w:bottom w:val="none" w:sz="0" w:space="0" w:color="auto"/>
        <w:right w:val="none" w:sz="0" w:space="0" w:color="auto"/>
      </w:divBdr>
    </w:div>
    <w:div w:id="1516184962">
      <w:marLeft w:val="0"/>
      <w:marRight w:val="0"/>
      <w:marTop w:val="0"/>
      <w:marBottom w:val="0"/>
      <w:divBdr>
        <w:top w:val="none" w:sz="0" w:space="0" w:color="auto"/>
        <w:left w:val="none" w:sz="0" w:space="0" w:color="auto"/>
        <w:bottom w:val="none" w:sz="0" w:space="0" w:color="auto"/>
        <w:right w:val="none" w:sz="0" w:space="0" w:color="auto"/>
      </w:divBdr>
    </w:div>
    <w:div w:id="1516380176">
      <w:marLeft w:val="0"/>
      <w:marRight w:val="0"/>
      <w:marTop w:val="0"/>
      <w:marBottom w:val="0"/>
      <w:divBdr>
        <w:top w:val="none" w:sz="0" w:space="0" w:color="auto"/>
        <w:left w:val="none" w:sz="0" w:space="0" w:color="auto"/>
        <w:bottom w:val="none" w:sz="0" w:space="0" w:color="auto"/>
        <w:right w:val="none" w:sz="0" w:space="0" w:color="auto"/>
      </w:divBdr>
    </w:div>
    <w:div w:id="1516458092">
      <w:marLeft w:val="0"/>
      <w:marRight w:val="0"/>
      <w:marTop w:val="0"/>
      <w:marBottom w:val="180"/>
      <w:divBdr>
        <w:top w:val="none" w:sz="0" w:space="0" w:color="auto"/>
        <w:left w:val="none" w:sz="0" w:space="0" w:color="auto"/>
        <w:bottom w:val="none" w:sz="0" w:space="0" w:color="auto"/>
        <w:right w:val="none" w:sz="0" w:space="0" w:color="auto"/>
      </w:divBdr>
    </w:div>
    <w:div w:id="1517035312">
      <w:marLeft w:val="0"/>
      <w:marRight w:val="0"/>
      <w:marTop w:val="120"/>
      <w:marBottom w:val="240"/>
      <w:divBdr>
        <w:top w:val="none" w:sz="0" w:space="0" w:color="auto"/>
        <w:left w:val="none" w:sz="0" w:space="0" w:color="auto"/>
        <w:bottom w:val="none" w:sz="0" w:space="0" w:color="auto"/>
        <w:right w:val="none" w:sz="0" w:space="0" w:color="auto"/>
      </w:divBdr>
    </w:div>
    <w:div w:id="1518423463">
      <w:marLeft w:val="0"/>
      <w:marRight w:val="0"/>
      <w:marTop w:val="180"/>
      <w:marBottom w:val="180"/>
      <w:divBdr>
        <w:top w:val="none" w:sz="0" w:space="0" w:color="auto"/>
        <w:left w:val="none" w:sz="0" w:space="0" w:color="auto"/>
        <w:bottom w:val="none" w:sz="0" w:space="0" w:color="auto"/>
        <w:right w:val="none" w:sz="0" w:space="0" w:color="auto"/>
      </w:divBdr>
    </w:div>
    <w:div w:id="1518614423">
      <w:marLeft w:val="0"/>
      <w:marRight w:val="0"/>
      <w:marTop w:val="0"/>
      <w:marBottom w:val="180"/>
      <w:divBdr>
        <w:top w:val="none" w:sz="0" w:space="0" w:color="auto"/>
        <w:left w:val="none" w:sz="0" w:space="0" w:color="auto"/>
        <w:bottom w:val="none" w:sz="0" w:space="0" w:color="auto"/>
        <w:right w:val="none" w:sz="0" w:space="0" w:color="auto"/>
      </w:divBdr>
    </w:div>
    <w:div w:id="1519003776">
      <w:marLeft w:val="0"/>
      <w:marRight w:val="0"/>
      <w:marTop w:val="0"/>
      <w:marBottom w:val="0"/>
      <w:divBdr>
        <w:top w:val="none" w:sz="0" w:space="0" w:color="auto"/>
        <w:left w:val="none" w:sz="0" w:space="0" w:color="auto"/>
        <w:bottom w:val="none" w:sz="0" w:space="0" w:color="auto"/>
        <w:right w:val="none" w:sz="0" w:space="0" w:color="auto"/>
      </w:divBdr>
    </w:div>
    <w:div w:id="1519853794">
      <w:marLeft w:val="0"/>
      <w:marRight w:val="0"/>
      <w:marTop w:val="0"/>
      <w:marBottom w:val="0"/>
      <w:divBdr>
        <w:top w:val="none" w:sz="0" w:space="0" w:color="auto"/>
        <w:left w:val="none" w:sz="0" w:space="0" w:color="auto"/>
        <w:bottom w:val="none" w:sz="0" w:space="0" w:color="auto"/>
        <w:right w:val="none" w:sz="0" w:space="0" w:color="auto"/>
      </w:divBdr>
      <w:divsChild>
        <w:div w:id="1072855348">
          <w:marLeft w:val="0"/>
          <w:marRight w:val="0"/>
          <w:marTop w:val="0"/>
          <w:marBottom w:val="0"/>
          <w:divBdr>
            <w:top w:val="none" w:sz="0" w:space="0" w:color="auto"/>
            <w:left w:val="none" w:sz="0" w:space="0" w:color="auto"/>
            <w:bottom w:val="none" w:sz="0" w:space="0" w:color="auto"/>
            <w:right w:val="none" w:sz="0" w:space="0" w:color="auto"/>
          </w:divBdr>
        </w:div>
      </w:divsChild>
    </w:div>
    <w:div w:id="1520048637">
      <w:marLeft w:val="0"/>
      <w:marRight w:val="0"/>
      <w:marTop w:val="0"/>
      <w:marBottom w:val="180"/>
      <w:divBdr>
        <w:top w:val="none" w:sz="0" w:space="0" w:color="auto"/>
        <w:left w:val="none" w:sz="0" w:space="0" w:color="auto"/>
        <w:bottom w:val="none" w:sz="0" w:space="0" w:color="auto"/>
        <w:right w:val="none" w:sz="0" w:space="0" w:color="auto"/>
      </w:divBdr>
    </w:div>
    <w:div w:id="1520659984">
      <w:marLeft w:val="0"/>
      <w:marRight w:val="0"/>
      <w:marTop w:val="0"/>
      <w:marBottom w:val="0"/>
      <w:divBdr>
        <w:top w:val="none" w:sz="0" w:space="0" w:color="auto"/>
        <w:left w:val="none" w:sz="0" w:space="0" w:color="auto"/>
        <w:bottom w:val="none" w:sz="0" w:space="0" w:color="auto"/>
        <w:right w:val="none" w:sz="0" w:space="0" w:color="auto"/>
      </w:divBdr>
      <w:divsChild>
        <w:div w:id="1109591366">
          <w:marLeft w:val="0"/>
          <w:marRight w:val="0"/>
          <w:marTop w:val="180"/>
          <w:marBottom w:val="0"/>
          <w:divBdr>
            <w:top w:val="none" w:sz="0" w:space="0" w:color="auto"/>
            <w:left w:val="none" w:sz="0" w:space="0" w:color="auto"/>
            <w:bottom w:val="none" w:sz="0" w:space="0" w:color="auto"/>
            <w:right w:val="none" w:sz="0" w:space="0" w:color="auto"/>
          </w:divBdr>
        </w:div>
        <w:div w:id="1490561529">
          <w:marLeft w:val="0"/>
          <w:marRight w:val="0"/>
          <w:marTop w:val="180"/>
          <w:marBottom w:val="0"/>
          <w:divBdr>
            <w:top w:val="none" w:sz="0" w:space="0" w:color="auto"/>
            <w:left w:val="none" w:sz="0" w:space="0" w:color="auto"/>
            <w:bottom w:val="none" w:sz="0" w:space="0" w:color="auto"/>
            <w:right w:val="none" w:sz="0" w:space="0" w:color="auto"/>
          </w:divBdr>
        </w:div>
      </w:divsChild>
    </w:div>
    <w:div w:id="1522206789">
      <w:marLeft w:val="0"/>
      <w:marRight w:val="0"/>
      <w:marTop w:val="0"/>
      <w:marBottom w:val="240"/>
      <w:divBdr>
        <w:top w:val="none" w:sz="0" w:space="0" w:color="auto"/>
        <w:left w:val="none" w:sz="0" w:space="0" w:color="auto"/>
        <w:bottom w:val="none" w:sz="0" w:space="0" w:color="auto"/>
        <w:right w:val="none" w:sz="0" w:space="0" w:color="auto"/>
      </w:divBdr>
    </w:div>
    <w:div w:id="1525361213">
      <w:marLeft w:val="0"/>
      <w:marRight w:val="0"/>
      <w:marTop w:val="180"/>
      <w:marBottom w:val="180"/>
      <w:divBdr>
        <w:top w:val="none" w:sz="0" w:space="0" w:color="auto"/>
        <w:left w:val="none" w:sz="0" w:space="0" w:color="auto"/>
        <w:bottom w:val="none" w:sz="0" w:space="0" w:color="auto"/>
        <w:right w:val="none" w:sz="0" w:space="0" w:color="auto"/>
      </w:divBdr>
    </w:div>
    <w:div w:id="1525482176">
      <w:marLeft w:val="0"/>
      <w:marRight w:val="0"/>
      <w:marTop w:val="0"/>
      <w:marBottom w:val="0"/>
      <w:divBdr>
        <w:top w:val="none" w:sz="0" w:space="0" w:color="auto"/>
        <w:left w:val="none" w:sz="0" w:space="0" w:color="auto"/>
        <w:bottom w:val="none" w:sz="0" w:space="0" w:color="auto"/>
        <w:right w:val="none" w:sz="0" w:space="0" w:color="auto"/>
      </w:divBdr>
    </w:div>
    <w:div w:id="1525486228">
      <w:marLeft w:val="0"/>
      <w:marRight w:val="0"/>
      <w:marTop w:val="0"/>
      <w:marBottom w:val="180"/>
      <w:divBdr>
        <w:top w:val="none" w:sz="0" w:space="0" w:color="auto"/>
        <w:left w:val="none" w:sz="0" w:space="0" w:color="auto"/>
        <w:bottom w:val="none" w:sz="0" w:space="0" w:color="auto"/>
        <w:right w:val="none" w:sz="0" w:space="0" w:color="auto"/>
      </w:divBdr>
    </w:div>
    <w:div w:id="1526138068">
      <w:marLeft w:val="0"/>
      <w:marRight w:val="0"/>
      <w:marTop w:val="180"/>
      <w:marBottom w:val="180"/>
      <w:divBdr>
        <w:top w:val="none" w:sz="0" w:space="0" w:color="auto"/>
        <w:left w:val="none" w:sz="0" w:space="0" w:color="auto"/>
        <w:bottom w:val="none" w:sz="0" w:space="0" w:color="auto"/>
        <w:right w:val="none" w:sz="0" w:space="0" w:color="auto"/>
      </w:divBdr>
    </w:div>
    <w:div w:id="1526793666">
      <w:marLeft w:val="0"/>
      <w:marRight w:val="0"/>
      <w:marTop w:val="0"/>
      <w:marBottom w:val="0"/>
      <w:divBdr>
        <w:top w:val="none" w:sz="0" w:space="0" w:color="auto"/>
        <w:left w:val="none" w:sz="0" w:space="0" w:color="auto"/>
        <w:bottom w:val="none" w:sz="0" w:space="0" w:color="auto"/>
        <w:right w:val="none" w:sz="0" w:space="0" w:color="auto"/>
      </w:divBdr>
    </w:div>
    <w:div w:id="1527719399">
      <w:marLeft w:val="0"/>
      <w:marRight w:val="0"/>
      <w:marTop w:val="100"/>
      <w:marBottom w:val="240"/>
      <w:divBdr>
        <w:top w:val="none" w:sz="0" w:space="0" w:color="auto"/>
        <w:left w:val="none" w:sz="0" w:space="0" w:color="auto"/>
        <w:bottom w:val="none" w:sz="0" w:space="0" w:color="auto"/>
        <w:right w:val="none" w:sz="0" w:space="0" w:color="auto"/>
      </w:divBdr>
    </w:div>
    <w:div w:id="1528103195">
      <w:marLeft w:val="0"/>
      <w:marRight w:val="0"/>
      <w:marTop w:val="0"/>
      <w:marBottom w:val="0"/>
      <w:divBdr>
        <w:top w:val="none" w:sz="0" w:space="0" w:color="auto"/>
        <w:left w:val="none" w:sz="0" w:space="0" w:color="auto"/>
        <w:bottom w:val="none" w:sz="0" w:space="0" w:color="auto"/>
        <w:right w:val="none" w:sz="0" w:space="0" w:color="auto"/>
      </w:divBdr>
      <w:divsChild>
        <w:div w:id="1779717191">
          <w:marLeft w:val="0"/>
          <w:marRight w:val="0"/>
          <w:marTop w:val="0"/>
          <w:marBottom w:val="0"/>
          <w:divBdr>
            <w:top w:val="none" w:sz="0" w:space="0" w:color="auto"/>
            <w:left w:val="none" w:sz="0" w:space="0" w:color="auto"/>
            <w:bottom w:val="none" w:sz="0" w:space="0" w:color="auto"/>
            <w:right w:val="none" w:sz="0" w:space="0" w:color="auto"/>
          </w:divBdr>
        </w:div>
      </w:divsChild>
    </w:div>
    <w:div w:id="1528523941">
      <w:marLeft w:val="0"/>
      <w:marRight w:val="0"/>
      <w:marTop w:val="0"/>
      <w:marBottom w:val="180"/>
      <w:divBdr>
        <w:top w:val="none" w:sz="0" w:space="0" w:color="auto"/>
        <w:left w:val="none" w:sz="0" w:space="0" w:color="auto"/>
        <w:bottom w:val="none" w:sz="0" w:space="0" w:color="auto"/>
        <w:right w:val="none" w:sz="0" w:space="0" w:color="auto"/>
      </w:divBdr>
    </w:div>
    <w:div w:id="1528637677">
      <w:marLeft w:val="0"/>
      <w:marRight w:val="0"/>
      <w:marTop w:val="0"/>
      <w:marBottom w:val="180"/>
      <w:divBdr>
        <w:top w:val="none" w:sz="0" w:space="0" w:color="auto"/>
        <w:left w:val="none" w:sz="0" w:space="0" w:color="auto"/>
        <w:bottom w:val="none" w:sz="0" w:space="0" w:color="auto"/>
        <w:right w:val="none" w:sz="0" w:space="0" w:color="auto"/>
      </w:divBdr>
    </w:div>
    <w:div w:id="1528831198">
      <w:marLeft w:val="0"/>
      <w:marRight w:val="0"/>
      <w:marTop w:val="0"/>
      <w:marBottom w:val="180"/>
      <w:divBdr>
        <w:top w:val="none" w:sz="0" w:space="0" w:color="auto"/>
        <w:left w:val="none" w:sz="0" w:space="0" w:color="auto"/>
        <w:bottom w:val="none" w:sz="0" w:space="0" w:color="auto"/>
        <w:right w:val="none" w:sz="0" w:space="0" w:color="auto"/>
      </w:divBdr>
    </w:div>
    <w:div w:id="1529761566">
      <w:marLeft w:val="0"/>
      <w:marRight w:val="0"/>
      <w:marTop w:val="100"/>
      <w:marBottom w:val="180"/>
      <w:divBdr>
        <w:top w:val="none" w:sz="0" w:space="0" w:color="auto"/>
        <w:left w:val="none" w:sz="0" w:space="0" w:color="auto"/>
        <w:bottom w:val="none" w:sz="0" w:space="0" w:color="auto"/>
        <w:right w:val="none" w:sz="0" w:space="0" w:color="auto"/>
      </w:divBdr>
    </w:div>
    <w:div w:id="1530215498">
      <w:marLeft w:val="0"/>
      <w:marRight w:val="0"/>
      <w:marTop w:val="100"/>
      <w:marBottom w:val="0"/>
      <w:divBdr>
        <w:top w:val="none" w:sz="0" w:space="0" w:color="auto"/>
        <w:left w:val="none" w:sz="0" w:space="0" w:color="auto"/>
        <w:bottom w:val="none" w:sz="0" w:space="0" w:color="auto"/>
        <w:right w:val="none" w:sz="0" w:space="0" w:color="auto"/>
      </w:divBdr>
    </w:div>
    <w:div w:id="1531652157">
      <w:marLeft w:val="0"/>
      <w:marRight w:val="0"/>
      <w:marTop w:val="180"/>
      <w:marBottom w:val="180"/>
      <w:divBdr>
        <w:top w:val="none" w:sz="0" w:space="0" w:color="auto"/>
        <w:left w:val="none" w:sz="0" w:space="0" w:color="auto"/>
        <w:bottom w:val="none" w:sz="0" w:space="0" w:color="auto"/>
        <w:right w:val="none" w:sz="0" w:space="0" w:color="auto"/>
      </w:divBdr>
    </w:div>
    <w:div w:id="1531842866">
      <w:marLeft w:val="0"/>
      <w:marRight w:val="0"/>
      <w:marTop w:val="0"/>
      <w:marBottom w:val="0"/>
      <w:divBdr>
        <w:top w:val="none" w:sz="0" w:space="0" w:color="auto"/>
        <w:left w:val="none" w:sz="0" w:space="0" w:color="auto"/>
        <w:bottom w:val="none" w:sz="0" w:space="0" w:color="auto"/>
        <w:right w:val="none" w:sz="0" w:space="0" w:color="auto"/>
      </w:divBdr>
    </w:div>
    <w:div w:id="1532643090">
      <w:marLeft w:val="0"/>
      <w:marRight w:val="0"/>
      <w:marTop w:val="0"/>
      <w:marBottom w:val="240"/>
      <w:divBdr>
        <w:top w:val="none" w:sz="0" w:space="0" w:color="auto"/>
        <w:left w:val="none" w:sz="0" w:space="0" w:color="auto"/>
        <w:bottom w:val="none" w:sz="0" w:space="0" w:color="auto"/>
        <w:right w:val="none" w:sz="0" w:space="0" w:color="auto"/>
      </w:divBdr>
    </w:div>
    <w:div w:id="1533304416">
      <w:marLeft w:val="0"/>
      <w:marRight w:val="0"/>
      <w:marTop w:val="0"/>
      <w:marBottom w:val="180"/>
      <w:divBdr>
        <w:top w:val="none" w:sz="0" w:space="0" w:color="auto"/>
        <w:left w:val="none" w:sz="0" w:space="0" w:color="auto"/>
        <w:bottom w:val="none" w:sz="0" w:space="0" w:color="auto"/>
        <w:right w:val="none" w:sz="0" w:space="0" w:color="auto"/>
      </w:divBdr>
    </w:div>
    <w:div w:id="1533499615">
      <w:marLeft w:val="0"/>
      <w:marRight w:val="0"/>
      <w:marTop w:val="0"/>
      <w:marBottom w:val="180"/>
      <w:divBdr>
        <w:top w:val="none" w:sz="0" w:space="0" w:color="auto"/>
        <w:left w:val="none" w:sz="0" w:space="0" w:color="auto"/>
        <w:bottom w:val="none" w:sz="0" w:space="0" w:color="auto"/>
        <w:right w:val="none" w:sz="0" w:space="0" w:color="auto"/>
      </w:divBdr>
    </w:div>
    <w:div w:id="1533612923">
      <w:marLeft w:val="0"/>
      <w:marRight w:val="0"/>
      <w:marTop w:val="0"/>
      <w:marBottom w:val="0"/>
      <w:divBdr>
        <w:top w:val="none" w:sz="0" w:space="0" w:color="auto"/>
        <w:left w:val="none" w:sz="0" w:space="0" w:color="auto"/>
        <w:bottom w:val="none" w:sz="0" w:space="0" w:color="auto"/>
        <w:right w:val="none" w:sz="0" w:space="0" w:color="auto"/>
      </w:divBdr>
    </w:div>
    <w:div w:id="1534419786">
      <w:marLeft w:val="0"/>
      <w:marRight w:val="0"/>
      <w:marTop w:val="120"/>
      <w:marBottom w:val="120"/>
      <w:divBdr>
        <w:top w:val="none" w:sz="0" w:space="0" w:color="auto"/>
        <w:left w:val="none" w:sz="0" w:space="0" w:color="auto"/>
        <w:bottom w:val="none" w:sz="0" w:space="0" w:color="auto"/>
        <w:right w:val="none" w:sz="0" w:space="0" w:color="auto"/>
      </w:divBdr>
    </w:div>
    <w:div w:id="1534879078">
      <w:marLeft w:val="0"/>
      <w:marRight w:val="0"/>
      <w:marTop w:val="0"/>
      <w:marBottom w:val="180"/>
      <w:divBdr>
        <w:top w:val="none" w:sz="0" w:space="0" w:color="auto"/>
        <w:left w:val="none" w:sz="0" w:space="0" w:color="auto"/>
        <w:bottom w:val="none" w:sz="0" w:space="0" w:color="auto"/>
        <w:right w:val="none" w:sz="0" w:space="0" w:color="auto"/>
      </w:divBdr>
    </w:div>
    <w:div w:id="1536235210">
      <w:marLeft w:val="0"/>
      <w:marRight w:val="0"/>
      <w:marTop w:val="0"/>
      <w:marBottom w:val="0"/>
      <w:divBdr>
        <w:top w:val="none" w:sz="0" w:space="0" w:color="auto"/>
        <w:left w:val="none" w:sz="0" w:space="0" w:color="auto"/>
        <w:bottom w:val="none" w:sz="0" w:space="0" w:color="auto"/>
        <w:right w:val="none" w:sz="0" w:space="0" w:color="auto"/>
      </w:divBdr>
      <w:divsChild>
        <w:div w:id="160121226">
          <w:marLeft w:val="0"/>
          <w:marRight w:val="0"/>
          <w:marTop w:val="0"/>
          <w:marBottom w:val="0"/>
          <w:divBdr>
            <w:top w:val="none" w:sz="0" w:space="0" w:color="auto"/>
            <w:left w:val="none" w:sz="0" w:space="0" w:color="auto"/>
            <w:bottom w:val="none" w:sz="0" w:space="0" w:color="auto"/>
            <w:right w:val="none" w:sz="0" w:space="0" w:color="auto"/>
          </w:divBdr>
        </w:div>
      </w:divsChild>
    </w:div>
    <w:div w:id="1536649236">
      <w:marLeft w:val="0"/>
      <w:marRight w:val="0"/>
      <w:marTop w:val="0"/>
      <w:marBottom w:val="0"/>
      <w:divBdr>
        <w:top w:val="none" w:sz="0" w:space="0" w:color="auto"/>
        <w:left w:val="none" w:sz="0" w:space="0" w:color="auto"/>
        <w:bottom w:val="none" w:sz="0" w:space="0" w:color="auto"/>
        <w:right w:val="none" w:sz="0" w:space="0" w:color="auto"/>
      </w:divBdr>
      <w:divsChild>
        <w:div w:id="1429305975">
          <w:marLeft w:val="0"/>
          <w:marRight w:val="0"/>
          <w:marTop w:val="0"/>
          <w:marBottom w:val="0"/>
          <w:divBdr>
            <w:top w:val="none" w:sz="0" w:space="0" w:color="auto"/>
            <w:left w:val="none" w:sz="0" w:space="0" w:color="auto"/>
            <w:bottom w:val="none" w:sz="0" w:space="0" w:color="auto"/>
            <w:right w:val="none" w:sz="0" w:space="0" w:color="auto"/>
          </w:divBdr>
        </w:div>
      </w:divsChild>
    </w:div>
    <w:div w:id="1536885552">
      <w:marLeft w:val="0"/>
      <w:marRight w:val="0"/>
      <w:marTop w:val="180"/>
      <w:marBottom w:val="180"/>
      <w:divBdr>
        <w:top w:val="none" w:sz="0" w:space="0" w:color="auto"/>
        <w:left w:val="none" w:sz="0" w:space="0" w:color="auto"/>
        <w:bottom w:val="none" w:sz="0" w:space="0" w:color="auto"/>
        <w:right w:val="none" w:sz="0" w:space="0" w:color="auto"/>
      </w:divBdr>
    </w:div>
    <w:div w:id="1537740616">
      <w:marLeft w:val="0"/>
      <w:marRight w:val="0"/>
      <w:marTop w:val="100"/>
      <w:marBottom w:val="120"/>
      <w:divBdr>
        <w:top w:val="none" w:sz="0" w:space="0" w:color="auto"/>
        <w:left w:val="none" w:sz="0" w:space="0" w:color="auto"/>
        <w:bottom w:val="none" w:sz="0" w:space="0" w:color="auto"/>
        <w:right w:val="none" w:sz="0" w:space="0" w:color="auto"/>
      </w:divBdr>
    </w:div>
    <w:div w:id="1538084821">
      <w:marLeft w:val="0"/>
      <w:marRight w:val="0"/>
      <w:marTop w:val="0"/>
      <w:marBottom w:val="180"/>
      <w:divBdr>
        <w:top w:val="none" w:sz="0" w:space="0" w:color="auto"/>
        <w:left w:val="none" w:sz="0" w:space="0" w:color="auto"/>
        <w:bottom w:val="none" w:sz="0" w:space="0" w:color="auto"/>
        <w:right w:val="none" w:sz="0" w:space="0" w:color="auto"/>
      </w:divBdr>
    </w:div>
    <w:div w:id="1540051574">
      <w:marLeft w:val="0"/>
      <w:marRight w:val="0"/>
      <w:marTop w:val="0"/>
      <w:marBottom w:val="0"/>
      <w:divBdr>
        <w:top w:val="none" w:sz="0" w:space="0" w:color="auto"/>
        <w:left w:val="none" w:sz="0" w:space="0" w:color="auto"/>
        <w:bottom w:val="none" w:sz="0" w:space="0" w:color="auto"/>
        <w:right w:val="none" w:sz="0" w:space="0" w:color="auto"/>
      </w:divBdr>
    </w:div>
    <w:div w:id="1540312712">
      <w:marLeft w:val="0"/>
      <w:marRight w:val="0"/>
      <w:marTop w:val="0"/>
      <w:marBottom w:val="240"/>
      <w:divBdr>
        <w:top w:val="none" w:sz="0" w:space="0" w:color="auto"/>
        <w:left w:val="none" w:sz="0" w:space="0" w:color="auto"/>
        <w:bottom w:val="none" w:sz="0" w:space="0" w:color="auto"/>
        <w:right w:val="none" w:sz="0" w:space="0" w:color="auto"/>
      </w:divBdr>
    </w:div>
    <w:div w:id="1540893710">
      <w:marLeft w:val="0"/>
      <w:marRight w:val="0"/>
      <w:marTop w:val="180"/>
      <w:marBottom w:val="180"/>
      <w:divBdr>
        <w:top w:val="none" w:sz="0" w:space="0" w:color="auto"/>
        <w:left w:val="none" w:sz="0" w:space="0" w:color="auto"/>
        <w:bottom w:val="none" w:sz="0" w:space="0" w:color="auto"/>
        <w:right w:val="none" w:sz="0" w:space="0" w:color="auto"/>
      </w:divBdr>
    </w:div>
    <w:div w:id="1541087741">
      <w:marLeft w:val="0"/>
      <w:marRight w:val="0"/>
      <w:marTop w:val="0"/>
      <w:marBottom w:val="240"/>
      <w:divBdr>
        <w:top w:val="none" w:sz="0" w:space="0" w:color="auto"/>
        <w:left w:val="none" w:sz="0" w:space="0" w:color="auto"/>
        <w:bottom w:val="none" w:sz="0" w:space="0" w:color="auto"/>
        <w:right w:val="none" w:sz="0" w:space="0" w:color="auto"/>
      </w:divBdr>
    </w:div>
    <w:div w:id="1541164273">
      <w:marLeft w:val="0"/>
      <w:marRight w:val="0"/>
      <w:marTop w:val="180"/>
      <w:marBottom w:val="180"/>
      <w:divBdr>
        <w:top w:val="none" w:sz="0" w:space="0" w:color="auto"/>
        <w:left w:val="none" w:sz="0" w:space="0" w:color="auto"/>
        <w:bottom w:val="none" w:sz="0" w:space="0" w:color="auto"/>
        <w:right w:val="none" w:sz="0" w:space="0" w:color="auto"/>
      </w:divBdr>
    </w:div>
    <w:div w:id="1541428984">
      <w:marLeft w:val="0"/>
      <w:marRight w:val="0"/>
      <w:marTop w:val="0"/>
      <w:marBottom w:val="180"/>
      <w:divBdr>
        <w:top w:val="none" w:sz="0" w:space="0" w:color="auto"/>
        <w:left w:val="none" w:sz="0" w:space="0" w:color="auto"/>
        <w:bottom w:val="none" w:sz="0" w:space="0" w:color="auto"/>
        <w:right w:val="none" w:sz="0" w:space="0" w:color="auto"/>
      </w:divBdr>
    </w:div>
    <w:div w:id="1541939610">
      <w:marLeft w:val="0"/>
      <w:marRight w:val="0"/>
      <w:marTop w:val="120"/>
      <w:marBottom w:val="120"/>
      <w:divBdr>
        <w:top w:val="none" w:sz="0" w:space="0" w:color="auto"/>
        <w:left w:val="none" w:sz="0" w:space="0" w:color="auto"/>
        <w:bottom w:val="none" w:sz="0" w:space="0" w:color="auto"/>
        <w:right w:val="none" w:sz="0" w:space="0" w:color="auto"/>
      </w:divBdr>
    </w:div>
    <w:div w:id="1542209174">
      <w:marLeft w:val="0"/>
      <w:marRight w:val="0"/>
      <w:marTop w:val="0"/>
      <w:marBottom w:val="0"/>
      <w:divBdr>
        <w:top w:val="none" w:sz="0" w:space="0" w:color="auto"/>
        <w:left w:val="none" w:sz="0" w:space="0" w:color="auto"/>
        <w:bottom w:val="none" w:sz="0" w:space="0" w:color="auto"/>
        <w:right w:val="none" w:sz="0" w:space="0" w:color="auto"/>
      </w:divBdr>
    </w:div>
    <w:div w:id="1542597924">
      <w:marLeft w:val="0"/>
      <w:marRight w:val="0"/>
      <w:marTop w:val="0"/>
      <w:marBottom w:val="240"/>
      <w:divBdr>
        <w:top w:val="none" w:sz="0" w:space="0" w:color="auto"/>
        <w:left w:val="none" w:sz="0" w:space="0" w:color="auto"/>
        <w:bottom w:val="none" w:sz="0" w:space="0" w:color="auto"/>
        <w:right w:val="none" w:sz="0" w:space="0" w:color="auto"/>
      </w:divBdr>
    </w:div>
    <w:div w:id="1543246998">
      <w:marLeft w:val="0"/>
      <w:marRight w:val="0"/>
      <w:marTop w:val="0"/>
      <w:marBottom w:val="0"/>
      <w:divBdr>
        <w:top w:val="none" w:sz="0" w:space="0" w:color="auto"/>
        <w:left w:val="none" w:sz="0" w:space="0" w:color="auto"/>
        <w:bottom w:val="none" w:sz="0" w:space="0" w:color="auto"/>
        <w:right w:val="none" w:sz="0" w:space="0" w:color="auto"/>
      </w:divBdr>
    </w:div>
    <w:div w:id="1543521489">
      <w:marLeft w:val="0"/>
      <w:marRight w:val="0"/>
      <w:marTop w:val="0"/>
      <w:marBottom w:val="0"/>
      <w:divBdr>
        <w:top w:val="none" w:sz="0" w:space="0" w:color="auto"/>
        <w:left w:val="none" w:sz="0" w:space="0" w:color="auto"/>
        <w:bottom w:val="none" w:sz="0" w:space="0" w:color="auto"/>
        <w:right w:val="none" w:sz="0" w:space="0" w:color="auto"/>
      </w:divBdr>
    </w:div>
    <w:div w:id="1543635601">
      <w:marLeft w:val="0"/>
      <w:marRight w:val="0"/>
      <w:marTop w:val="180"/>
      <w:marBottom w:val="180"/>
      <w:divBdr>
        <w:top w:val="none" w:sz="0" w:space="0" w:color="auto"/>
        <w:left w:val="none" w:sz="0" w:space="0" w:color="auto"/>
        <w:bottom w:val="none" w:sz="0" w:space="0" w:color="auto"/>
        <w:right w:val="none" w:sz="0" w:space="0" w:color="auto"/>
      </w:divBdr>
    </w:div>
    <w:div w:id="1543787439">
      <w:marLeft w:val="0"/>
      <w:marRight w:val="0"/>
      <w:marTop w:val="0"/>
      <w:marBottom w:val="0"/>
      <w:divBdr>
        <w:top w:val="none" w:sz="0" w:space="0" w:color="auto"/>
        <w:left w:val="none" w:sz="0" w:space="0" w:color="auto"/>
        <w:bottom w:val="none" w:sz="0" w:space="0" w:color="auto"/>
        <w:right w:val="none" w:sz="0" w:space="0" w:color="auto"/>
      </w:divBdr>
      <w:divsChild>
        <w:div w:id="322855308">
          <w:marLeft w:val="0"/>
          <w:marRight w:val="0"/>
          <w:marTop w:val="0"/>
          <w:marBottom w:val="0"/>
          <w:divBdr>
            <w:top w:val="none" w:sz="0" w:space="0" w:color="auto"/>
            <w:left w:val="none" w:sz="0" w:space="0" w:color="auto"/>
            <w:bottom w:val="none" w:sz="0" w:space="0" w:color="auto"/>
            <w:right w:val="none" w:sz="0" w:space="0" w:color="auto"/>
          </w:divBdr>
        </w:div>
      </w:divsChild>
    </w:div>
    <w:div w:id="1545021075">
      <w:marLeft w:val="0"/>
      <w:marRight w:val="0"/>
      <w:marTop w:val="0"/>
      <w:marBottom w:val="240"/>
      <w:divBdr>
        <w:top w:val="none" w:sz="0" w:space="0" w:color="auto"/>
        <w:left w:val="none" w:sz="0" w:space="0" w:color="auto"/>
        <w:bottom w:val="none" w:sz="0" w:space="0" w:color="auto"/>
        <w:right w:val="none" w:sz="0" w:space="0" w:color="auto"/>
      </w:divBdr>
    </w:div>
    <w:div w:id="1545288696">
      <w:marLeft w:val="0"/>
      <w:marRight w:val="0"/>
      <w:marTop w:val="0"/>
      <w:marBottom w:val="240"/>
      <w:divBdr>
        <w:top w:val="none" w:sz="0" w:space="0" w:color="auto"/>
        <w:left w:val="none" w:sz="0" w:space="0" w:color="auto"/>
        <w:bottom w:val="none" w:sz="0" w:space="0" w:color="auto"/>
        <w:right w:val="none" w:sz="0" w:space="0" w:color="auto"/>
      </w:divBdr>
    </w:div>
    <w:div w:id="1545601805">
      <w:marLeft w:val="0"/>
      <w:marRight w:val="0"/>
      <w:marTop w:val="0"/>
      <w:marBottom w:val="240"/>
      <w:divBdr>
        <w:top w:val="none" w:sz="0" w:space="0" w:color="auto"/>
        <w:left w:val="none" w:sz="0" w:space="0" w:color="auto"/>
        <w:bottom w:val="none" w:sz="0" w:space="0" w:color="auto"/>
        <w:right w:val="none" w:sz="0" w:space="0" w:color="auto"/>
      </w:divBdr>
    </w:div>
    <w:div w:id="1546021680">
      <w:marLeft w:val="0"/>
      <w:marRight w:val="0"/>
      <w:marTop w:val="0"/>
      <w:marBottom w:val="180"/>
      <w:divBdr>
        <w:top w:val="none" w:sz="0" w:space="0" w:color="auto"/>
        <w:left w:val="none" w:sz="0" w:space="0" w:color="auto"/>
        <w:bottom w:val="none" w:sz="0" w:space="0" w:color="auto"/>
        <w:right w:val="none" w:sz="0" w:space="0" w:color="auto"/>
      </w:divBdr>
    </w:div>
    <w:div w:id="1546409999">
      <w:marLeft w:val="0"/>
      <w:marRight w:val="0"/>
      <w:marTop w:val="0"/>
      <w:marBottom w:val="0"/>
      <w:divBdr>
        <w:top w:val="none" w:sz="0" w:space="0" w:color="auto"/>
        <w:left w:val="none" w:sz="0" w:space="0" w:color="auto"/>
        <w:bottom w:val="none" w:sz="0" w:space="0" w:color="auto"/>
        <w:right w:val="none" w:sz="0" w:space="0" w:color="auto"/>
      </w:divBdr>
      <w:divsChild>
        <w:div w:id="580409769">
          <w:marLeft w:val="0"/>
          <w:marRight w:val="0"/>
          <w:marTop w:val="0"/>
          <w:marBottom w:val="0"/>
          <w:divBdr>
            <w:top w:val="none" w:sz="0" w:space="0" w:color="auto"/>
            <w:left w:val="none" w:sz="0" w:space="0" w:color="auto"/>
            <w:bottom w:val="none" w:sz="0" w:space="0" w:color="auto"/>
            <w:right w:val="none" w:sz="0" w:space="0" w:color="auto"/>
          </w:divBdr>
        </w:div>
      </w:divsChild>
    </w:div>
    <w:div w:id="1546453896">
      <w:marLeft w:val="0"/>
      <w:marRight w:val="0"/>
      <w:marTop w:val="0"/>
      <w:marBottom w:val="240"/>
      <w:divBdr>
        <w:top w:val="none" w:sz="0" w:space="0" w:color="auto"/>
        <w:left w:val="none" w:sz="0" w:space="0" w:color="auto"/>
        <w:bottom w:val="none" w:sz="0" w:space="0" w:color="auto"/>
        <w:right w:val="none" w:sz="0" w:space="0" w:color="auto"/>
      </w:divBdr>
    </w:div>
    <w:div w:id="1546481080">
      <w:marLeft w:val="0"/>
      <w:marRight w:val="0"/>
      <w:marTop w:val="0"/>
      <w:marBottom w:val="240"/>
      <w:divBdr>
        <w:top w:val="none" w:sz="0" w:space="0" w:color="auto"/>
        <w:left w:val="none" w:sz="0" w:space="0" w:color="auto"/>
        <w:bottom w:val="none" w:sz="0" w:space="0" w:color="auto"/>
        <w:right w:val="none" w:sz="0" w:space="0" w:color="auto"/>
      </w:divBdr>
    </w:div>
    <w:div w:id="1548495365">
      <w:marLeft w:val="0"/>
      <w:marRight w:val="0"/>
      <w:marTop w:val="0"/>
      <w:marBottom w:val="180"/>
      <w:divBdr>
        <w:top w:val="none" w:sz="0" w:space="0" w:color="auto"/>
        <w:left w:val="none" w:sz="0" w:space="0" w:color="auto"/>
        <w:bottom w:val="none" w:sz="0" w:space="0" w:color="auto"/>
        <w:right w:val="none" w:sz="0" w:space="0" w:color="auto"/>
      </w:divBdr>
    </w:div>
    <w:div w:id="1548685543">
      <w:marLeft w:val="0"/>
      <w:marRight w:val="0"/>
      <w:marTop w:val="180"/>
      <w:marBottom w:val="180"/>
      <w:divBdr>
        <w:top w:val="none" w:sz="0" w:space="0" w:color="auto"/>
        <w:left w:val="none" w:sz="0" w:space="0" w:color="auto"/>
        <w:bottom w:val="none" w:sz="0" w:space="0" w:color="auto"/>
        <w:right w:val="none" w:sz="0" w:space="0" w:color="auto"/>
      </w:divBdr>
    </w:div>
    <w:div w:id="1550023339">
      <w:marLeft w:val="0"/>
      <w:marRight w:val="0"/>
      <w:marTop w:val="0"/>
      <w:marBottom w:val="180"/>
      <w:divBdr>
        <w:top w:val="none" w:sz="0" w:space="0" w:color="auto"/>
        <w:left w:val="none" w:sz="0" w:space="0" w:color="auto"/>
        <w:bottom w:val="none" w:sz="0" w:space="0" w:color="auto"/>
        <w:right w:val="none" w:sz="0" w:space="0" w:color="auto"/>
      </w:divBdr>
    </w:div>
    <w:div w:id="1550340324">
      <w:marLeft w:val="0"/>
      <w:marRight w:val="0"/>
      <w:marTop w:val="0"/>
      <w:marBottom w:val="0"/>
      <w:divBdr>
        <w:top w:val="none" w:sz="0" w:space="0" w:color="auto"/>
        <w:left w:val="none" w:sz="0" w:space="0" w:color="auto"/>
        <w:bottom w:val="none" w:sz="0" w:space="0" w:color="auto"/>
        <w:right w:val="none" w:sz="0" w:space="0" w:color="auto"/>
      </w:divBdr>
    </w:div>
    <w:div w:id="1550804076">
      <w:marLeft w:val="0"/>
      <w:marRight w:val="0"/>
      <w:marTop w:val="180"/>
      <w:marBottom w:val="180"/>
      <w:divBdr>
        <w:top w:val="none" w:sz="0" w:space="0" w:color="auto"/>
        <w:left w:val="none" w:sz="0" w:space="0" w:color="auto"/>
        <w:bottom w:val="none" w:sz="0" w:space="0" w:color="auto"/>
        <w:right w:val="none" w:sz="0" w:space="0" w:color="auto"/>
      </w:divBdr>
    </w:div>
    <w:div w:id="1550992602">
      <w:marLeft w:val="0"/>
      <w:marRight w:val="0"/>
      <w:marTop w:val="0"/>
      <w:marBottom w:val="180"/>
      <w:divBdr>
        <w:top w:val="none" w:sz="0" w:space="0" w:color="auto"/>
        <w:left w:val="none" w:sz="0" w:space="0" w:color="auto"/>
        <w:bottom w:val="none" w:sz="0" w:space="0" w:color="auto"/>
        <w:right w:val="none" w:sz="0" w:space="0" w:color="auto"/>
      </w:divBdr>
    </w:div>
    <w:div w:id="1551183501">
      <w:marLeft w:val="0"/>
      <w:marRight w:val="0"/>
      <w:marTop w:val="0"/>
      <w:marBottom w:val="180"/>
      <w:divBdr>
        <w:top w:val="none" w:sz="0" w:space="0" w:color="auto"/>
        <w:left w:val="none" w:sz="0" w:space="0" w:color="auto"/>
        <w:bottom w:val="none" w:sz="0" w:space="0" w:color="auto"/>
        <w:right w:val="none" w:sz="0" w:space="0" w:color="auto"/>
      </w:divBdr>
    </w:div>
    <w:div w:id="1551577731">
      <w:marLeft w:val="0"/>
      <w:marRight w:val="0"/>
      <w:marTop w:val="0"/>
      <w:marBottom w:val="180"/>
      <w:divBdr>
        <w:top w:val="none" w:sz="0" w:space="0" w:color="auto"/>
        <w:left w:val="none" w:sz="0" w:space="0" w:color="auto"/>
        <w:bottom w:val="none" w:sz="0" w:space="0" w:color="auto"/>
        <w:right w:val="none" w:sz="0" w:space="0" w:color="auto"/>
      </w:divBdr>
    </w:div>
    <w:div w:id="1551919733">
      <w:marLeft w:val="0"/>
      <w:marRight w:val="0"/>
      <w:marTop w:val="180"/>
      <w:marBottom w:val="180"/>
      <w:divBdr>
        <w:top w:val="none" w:sz="0" w:space="0" w:color="auto"/>
        <w:left w:val="none" w:sz="0" w:space="0" w:color="auto"/>
        <w:bottom w:val="none" w:sz="0" w:space="0" w:color="auto"/>
        <w:right w:val="none" w:sz="0" w:space="0" w:color="auto"/>
      </w:divBdr>
    </w:div>
    <w:div w:id="1553494197">
      <w:marLeft w:val="0"/>
      <w:marRight w:val="0"/>
      <w:marTop w:val="0"/>
      <w:marBottom w:val="180"/>
      <w:divBdr>
        <w:top w:val="none" w:sz="0" w:space="0" w:color="auto"/>
        <w:left w:val="none" w:sz="0" w:space="0" w:color="auto"/>
        <w:bottom w:val="none" w:sz="0" w:space="0" w:color="auto"/>
        <w:right w:val="none" w:sz="0" w:space="0" w:color="auto"/>
      </w:divBdr>
    </w:div>
    <w:div w:id="1553611087">
      <w:marLeft w:val="0"/>
      <w:marRight w:val="0"/>
      <w:marTop w:val="0"/>
      <w:marBottom w:val="0"/>
      <w:divBdr>
        <w:top w:val="none" w:sz="0" w:space="0" w:color="auto"/>
        <w:left w:val="none" w:sz="0" w:space="0" w:color="auto"/>
        <w:bottom w:val="none" w:sz="0" w:space="0" w:color="auto"/>
        <w:right w:val="none" w:sz="0" w:space="0" w:color="auto"/>
      </w:divBdr>
    </w:div>
    <w:div w:id="1555504001">
      <w:marLeft w:val="0"/>
      <w:marRight w:val="0"/>
      <w:marTop w:val="140"/>
      <w:marBottom w:val="240"/>
      <w:divBdr>
        <w:top w:val="none" w:sz="0" w:space="0" w:color="auto"/>
        <w:left w:val="none" w:sz="0" w:space="0" w:color="auto"/>
        <w:bottom w:val="none" w:sz="0" w:space="0" w:color="auto"/>
        <w:right w:val="none" w:sz="0" w:space="0" w:color="auto"/>
      </w:divBdr>
    </w:div>
    <w:div w:id="1555580050">
      <w:marLeft w:val="0"/>
      <w:marRight w:val="0"/>
      <w:marTop w:val="0"/>
      <w:marBottom w:val="0"/>
      <w:divBdr>
        <w:top w:val="none" w:sz="0" w:space="0" w:color="auto"/>
        <w:left w:val="none" w:sz="0" w:space="0" w:color="auto"/>
        <w:bottom w:val="none" w:sz="0" w:space="0" w:color="auto"/>
        <w:right w:val="none" w:sz="0" w:space="0" w:color="auto"/>
      </w:divBdr>
      <w:divsChild>
        <w:div w:id="2081977678">
          <w:marLeft w:val="0"/>
          <w:marRight w:val="0"/>
          <w:marTop w:val="0"/>
          <w:marBottom w:val="0"/>
          <w:divBdr>
            <w:top w:val="none" w:sz="0" w:space="0" w:color="auto"/>
            <w:left w:val="none" w:sz="0" w:space="0" w:color="auto"/>
            <w:bottom w:val="none" w:sz="0" w:space="0" w:color="auto"/>
            <w:right w:val="none" w:sz="0" w:space="0" w:color="auto"/>
          </w:divBdr>
        </w:div>
      </w:divsChild>
    </w:div>
    <w:div w:id="1556116687">
      <w:marLeft w:val="0"/>
      <w:marRight w:val="0"/>
      <w:marTop w:val="100"/>
      <w:marBottom w:val="180"/>
      <w:divBdr>
        <w:top w:val="none" w:sz="0" w:space="0" w:color="auto"/>
        <w:left w:val="none" w:sz="0" w:space="0" w:color="auto"/>
        <w:bottom w:val="none" w:sz="0" w:space="0" w:color="auto"/>
        <w:right w:val="none" w:sz="0" w:space="0" w:color="auto"/>
      </w:divBdr>
    </w:div>
    <w:div w:id="1556237913">
      <w:marLeft w:val="0"/>
      <w:marRight w:val="0"/>
      <w:marTop w:val="0"/>
      <w:marBottom w:val="0"/>
      <w:divBdr>
        <w:top w:val="none" w:sz="0" w:space="0" w:color="auto"/>
        <w:left w:val="none" w:sz="0" w:space="0" w:color="auto"/>
        <w:bottom w:val="none" w:sz="0" w:space="0" w:color="auto"/>
        <w:right w:val="none" w:sz="0" w:space="0" w:color="auto"/>
      </w:divBdr>
    </w:div>
    <w:div w:id="1556431121">
      <w:marLeft w:val="0"/>
      <w:marRight w:val="0"/>
      <w:marTop w:val="0"/>
      <w:marBottom w:val="240"/>
      <w:divBdr>
        <w:top w:val="none" w:sz="0" w:space="0" w:color="auto"/>
        <w:left w:val="none" w:sz="0" w:space="0" w:color="auto"/>
        <w:bottom w:val="none" w:sz="0" w:space="0" w:color="auto"/>
        <w:right w:val="none" w:sz="0" w:space="0" w:color="auto"/>
      </w:divBdr>
    </w:div>
    <w:div w:id="1557350859">
      <w:marLeft w:val="0"/>
      <w:marRight w:val="0"/>
      <w:marTop w:val="0"/>
      <w:marBottom w:val="0"/>
      <w:divBdr>
        <w:top w:val="none" w:sz="0" w:space="0" w:color="auto"/>
        <w:left w:val="none" w:sz="0" w:space="0" w:color="auto"/>
        <w:bottom w:val="none" w:sz="0" w:space="0" w:color="auto"/>
        <w:right w:val="none" w:sz="0" w:space="0" w:color="auto"/>
      </w:divBdr>
    </w:div>
    <w:div w:id="1559054933">
      <w:marLeft w:val="0"/>
      <w:marRight w:val="0"/>
      <w:marTop w:val="0"/>
      <w:marBottom w:val="0"/>
      <w:divBdr>
        <w:top w:val="none" w:sz="0" w:space="0" w:color="auto"/>
        <w:left w:val="none" w:sz="0" w:space="0" w:color="auto"/>
        <w:bottom w:val="none" w:sz="0" w:space="0" w:color="auto"/>
        <w:right w:val="none" w:sz="0" w:space="0" w:color="auto"/>
      </w:divBdr>
      <w:divsChild>
        <w:div w:id="1810434855">
          <w:marLeft w:val="0"/>
          <w:marRight w:val="0"/>
          <w:marTop w:val="0"/>
          <w:marBottom w:val="0"/>
          <w:divBdr>
            <w:top w:val="none" w:sz="0" w:space="0" w:color="auto"/>
            <w:left w:val="none" w:sz="0" w:space="0" w:color="auto"/>
            <w:bottom w:val="none" w:sz="0" w:space="0" w:color="auto"/>
            <w:right w:val="none" w:sz="0" w:space="0" w:color="auto"/>
          </w:divBdr>
        </w:div>
      </w:divsChild>
    </w:div>
    <w:div w:id="1559315591">
      <w:marLeft w:val="0"/>
      <w:marRight w:val="0"/>
      <w:marTop w:val="0"/>
      <w:marBottom w:val="180"/>
      <w:divBdr>
        <w:top w:val="none" w:sz="0" w:space="0" w:color="auto"/>
        <w:left w:val="none" w:sz="0" w:space="0" w:color="auto"/>
        <w:bottom w:val="none" w:sz="0" w:space="0" w:color="auto"/>
        <w:right w:val="none" w:sz="0" w:space="0" w:color="auto"/>
      </w:divBdr>
    </w:div>
    <w:div w:id="1563832898">
      <w:marLeft w:val="0"/>
      <w:marRight w:val="0"/>
      <w:marTop w:val="100"/>
      <w:marBottom w:val="0"/>
      <w:divBdr>
        <w:top w:val="none" w:sz="0" w:space="0" w:color="auto"/>
        <w:left w:val="none" w:sz="0" w:space="0" w:color="auto"/>
        <w:bottom w:val="none" w:sz="0" w:space="0" w:color="auto"/>
        <w:right w:val="none" w:sz="0" w:space="0" w:color="auto"/>
      </w:divBdr>
    </w:div>
    <w:div w:id="1564565786">
      <w:marLeft w:val="0"/>
      <w:marRight w:val="0"/>
      <w:marTop w:val="180"/>
      <w:marBottom w:val="180"/>
      <w:divBdr>
        <w:top w:val="none" w:sz="0" w:space="0" w:color="auto"/>
        <w:left w:val="none" w:sz="0" w:space="0" w:color="auto"/>
        <w:bottom w:val="none" w:sz="0" w:space="0" w:color="auto"/>
        <w:right w:val="none" w:sz="0" w:space="0" w:color="auto"/>
      </w:divBdr>
    </w:div>
    <w:div w:id="1564754617">
      <w:marLeft w:val="0"/>
      <w:marRight w:val="0"/>
      <w:marTop w:val="0"/>
      <w:marBottom w:val="240"/>
      <w:divBdr>
        <w:top w:val="none" w:sz="0" w:space="0" w:color="auto"/>
        <w:left w:val="none" w:sz="0" w:space="0" w:color="auto"/>
        <w:bottom w:val="none" w:sz="0" w:space="0" w:color="auto"/>
        <w:right w:val="none" w:sz="0" w:space="0" w:color="auto"/>
      </w:divBdr>
    </w:div>
    <w:div w:id="1565263727">
      <w:marLeft w:val="0"/>
      <w:marRight w:val="0"/>
      <w:marTop w:val="0"/>
      <w:marBottom w:val="0"/>
      <w:divBdr>
        <w:top w:val="none" w:sz="0" w:space="0" w:color="auto"/>
        <w:left w:val="none" w:sz="0" w:space="0" w:color="auto"/>
        <w:bottom w:val="none" w:sz="0" w:space="0" w:color="auto"/>
        <w:right w:val="none" w:sz="0" w:space="0" w:color="auto"/>
      </w:divBdr>
    </w:div>
    <w:div w:id="1565726092">
      <w:marLeft w:val="0"/>
      <w:marRight w:val="0"/>
      <w:marTop w:val="0"/>
      <w:marBottom w:val="180"/>
      <w:divBdr>
        <w:top w:val="none" w:sz="0" w:space="0" w:color="auto"/>
        <w:left w:val="none" w:sz="0" w:space="0" w:color="auto"/>
        <w:bottom w:val="none" w:sz="0" w:space="0" w:color="auto"/>
        <w:right w:val="none" w:sz="0" w:space="0" w:color="auto"/>
      </w:divBdr>
    </w:div>
    <w:div w:id="1566838195">
      <w:marLeft w:val="0"/>
      <w:marRight w:val="0"/>
      <w:marTop w:val="0"/>
      <w:marBottom w:val="240"/>
      <w:divBdr>
        <w:top w:val="none" w:sz="0" w:space="0" w:color="auto"/>
        <w:left w:val="none" w:sz="0" w:space="0" w:color="auto"/>
        <w:bottom w:val="none" w:sz="0" w:space="0" w:color="auto"/>
        <w:right w:val="none" w:sz="0" w:space="0" w:color="auto"/>
      </w:divBdr>
    </w:div>
    <w:div w:id="1567766875">
      <w:marLeft w:val="0"/>
      <w:marRight w:val="0"/>
      <w:marTop w:val="0"/>
      <w:marBottom w:val="180"/>
      <w:divBdr>
        <w:top w:val="none" w:sz="0" w:space="0" w:color="auto"/>
        <w:left w:val="none" w:sz="0" w:space="0" w:color="auto"/>
        <w:bottom w:val="none" w:sz="0" w:space="0" w:color="auto"/>
        <w:right w:val="none" w:sz="0" w:space="0" w:color="auto"/>
      </w:divBdr>
    </w:div>
    <w:div w:id="1568151774">
      <w:marLeft w:val="0"/>
      <w:marRight w:val="0"/>
      <w:marTop w:val="0"/>
      <w:marBottom w:val="180"/>
      <w:divBdr>
        <w:top w:val="none" w:sz="0" w:space="0" w:color="auto"/>
        <w:left w:val="none" w:sz="0" w:space="0" w:color="auto"/>
        <w:bottom w:val="none" w:sz="0" w:space="0" w:color="auto"/>
        <w:right w:val="none" w:sz="0" w:space="0" w:color="auto"/>
      </w:divBdr>
    </w:div>
    <w:div w:id="1568344023">
      <w:marLeft w:val="0"/>
      <w:marRight w:val="0"/>
      <w:marTop w:val="0"/>
      <w:marBottom w:val="240"/>
      <w:divBdr>
        <w:top w:val="none" w:sz="0" w:space="0" w:color="auto"/>
        <w:left w:val="none" w:sz="0" w:space="0" w:color="auto"/>
        <w:bottom w:val="none" w:sz="0" w:space="0" w:color="auto"/>
        <w:right w:val="none" w:sz="0" w:space="0" w:color="auto"/>
      </w:divBdr>
    </w:div>
    <w:div w:id="1569487668">
      <w:marLeft w:val="0"/>
      <w:marRight w:val="0"/>
      <w:marTop w:val="0"/>
      <w:marBottom w:val="0"/>
      <w:divBdr>
        <w:top w:val="none" w:sz="0" w:space="0" w:color="auto"/>
        <w:left w:val="none" w:sz="0" w:space="0" w:color="auto"/>
        <w:bottom w:val="none" w:sz="0" w:space="0" w:color="auto"/>
        <w:right w:val="none" w:sz="0" w:space="0" w:color="auto"/>
      </w:divBdr>
      <w:divsChild>
        <w:div w:id="1567957831">
          <w:marLeft w:val="0"/>
          <w:marRight w:val="0"/>
          <w:marTop w:val="0"/>
          <w:marBottom w:val="0"/>
          <w:divBdr>
            <w:top w:val="none" w:sz="0" w:space="0" w:color="auto"/>
            <w:left w:val="none" w:sz="0" w:space="0" w:color="auto"/>
            <w:bottom w:val="none" w:sz="0" w:space="0" w:color="auto"/>
            <w:right w:val="none" w:sz="0" w:space="0" w:color="auto"/>
          </w:divBdr>
        </w:div>
      </w:divsChild>
    </w:div>
    <w:div w:id="1571889873">
      <w:marLeft w:val="0"/>
      <w:marRight w:val="0"/>
      <w:marTop w:val="0"/>
      <w:marBottom w:val="180"/>
      <w:divBdr>
        <w:top w:val="none" w:sz="0" w:space="0" w:color="auto"/>
        <w:left w:val="none" w:sz="0" w:space="0" w:color="auto"/>
        <w:bottom w:val="none" w:sz="0" w:space="0" w:color="auto"/>
        <w:right w:val="none" w:sz="0" w:space="0" w:color="auto"/>
      </w:divBdr>
    </w:div>
    <w:div w:id="1572541604">
      <w:marLeft w:val="0"/>
      <w:marRight w:val="0"/>
      <w:marTop w:val="0"/>
      <w:marBottom w:val="240"/>
      <w:divBdr>
        <w:top w:val="none" w:sz="0" w:space="0" w:color="auto"/>
        <w:left w:val="none" w:sz="0" w:space="0" w:color="auto"/>
        <w:bottom w:val="none" w:sz="0" w:space="0" w:color="auto"/>
        <w:right w:val="none" w:sz="0" w:space="0" w:color="auto"/>
      </w:divBdr>
    </w:div>
    <w:div w:id="1573272833">
      <w:marLeft w:val="0"/>
      <w:marRight w:val="0"/>
      <w:marTop w:val="0"/>
      <w:marBottom w:val="180"/>
      <w:divBdr>
        <w:top w:val="none" w:sz="0" w:space="0" w:color="auto"/>
        <w:left w:val="none" w:sz="0" w:space="0" w:color="auto"/>
        <w:bottom w:val="none" w:sz="0" w:space="0" w:color="auto"/>
        <w:right w:val="none" w:sz="0" w:space="0" w:color="auto"/>
      </w:divBdr>
    </w:div>
    <w:div w:id="1573858052">
      <w:marLeft w:val="0"/>
      <w:marRight w:val="0"/>
      <w:marTop w:val="0"/>
      <w:marBottom w:val="240"/>
      <w:divBdr>
        <w:top w:val="none" w:sz="0" w:space="0" w:color="auto"/>
        <w:left w:val="none" w:sz="0" w:space="0" w:color="auto"/>
        <w:bottom w:val="none" w:sz="0" w:space="0" w:color="auto"/>
        <w:right w:val="none" w:sz="0" w:space="0" w:color="auto"/>
      </w:divBdr>
    </w:div>
    <w:div w:id="1575160600">
      <w:marLeft w:val="0"/>
      <w:marRight w:val="0"/>
      <w:marTop w:val="0"/>
      <w:marBottom w:val="0"/>
      <w:divBdr>
        <w:top w:val="none" w:sz="0" w:space="0" w:color="auto"/>
        <w:left w:val="none" w:sz="0" w:space="0" w:color="auto"/>
        <w:bottom w:val="none" w:sz="0" w:space="0" w:color="auto"/>
        <w:right w:val="none" w:sz="0" w:space="0" w:color="auto"/>
      </w:divBdr>
      <w:divsChild>
        <w:div w:id="1501382423">
          <w:marLeft w:val="0"/>
          <w:marRight w:val="0"/>
          <w:marTop w:val="0"/>
          <w:marBottom w:val="0"/>
          <w:divBdr>
            <w:top w:val="none" w:sz="0" w:space="0" w:color="auto"/>
            <w:left w:val="none" w:sz="0" w:space="0" w:color="auto"/>
            <w:bottom w:val="none" w:sz="0" w:space="0" w:color="auto"/>
            <w:right w:val="none" w:sz="0" w:space="0" w:color="auto"/>
          </w:divBdr>
        </w:div>
      </w:divsChild>
    </w:div>
    <w:div w:id="1576427971">
      <w:marLeft w:val="0"/>
      <w:marRight w:val="0"/>
      <w:marTop w:val="180"/>
      <w:marBottom w:val="180"/>
      <w:divBdr>
        <w:top w:val="none" w:sz="0" w:space="0" w:color="auto"/>
        <w:left w:val="none" w:sz="0" w:space="0" w:color="auto"/>
        <w:bottom w:val="none" w:sz="0" w:space="0" w:color="auto"/>
        <w:right w:val="none" w:sz="0" w:space="0" w:color="auto"/>
      </w:divBdr>
    </w:div>
    <w:div w:id="1577596251">
      <w:marLeft w:val="0"/>
      <w:marRight w:val="0"/>
      <w:marTop w:val="0"/>
      <w:marBottom w:val="0"/>
      <w:divBdr>
        <w:top w:val="none" w:sz="0" w:space="0" w:color="auto"/>
        <w:left w:val="none" w:sz="0" w:space="0" w:color="auto"/>
        <w:bottom w:val="none" w:sz="0" w:space="0" w:color="auto"/>
        <w:right w:val="none" w:sz="0" w:space="0" w:color="auto"/>
      </w:divBdr>
    </w:div>
    <w:div w:id="1577667961">
      <w:marLeft w:val="0"/>
      <w:marRight w:val="0"/>
      <w:marTop w:val="0"/>
      <w:marBottom w:val="240"/>
      <w:divBdr>
        <w:top w:val="none" w:sz="0" w:space="0" w:color="auto"/>
        <w:left w:val="none" w:sz="0" w:space="0" w:color="auto"/>
        <w:bottom w:val="none" w:sz="0" w:space="0" w:color="auto"/>
        <w:right w:val="none" w:sz="0" w:space="0" w:color="auto"/>
      </w:divBdr>
    </w:div>
    <w:div w:id="1577934654">
      <w:marLeft w:val="0"/>
      <w:marRight w:val="0"/>
      <w:marTop w:val="0"/>
      <w:marBottom w:val="180"/>
      <w:divBdr>
        <w:top w:val="none" w:sz="0" w:space="0" w:color="auto"/>
        <w:left w:val="none" w:sz="0" w:space="0" w:color="auto"/>
        <w:bottom w:val="none" w:sz="0" w:space="0" w:color="auto"/>
        <w:right w:val="none" w:sz="0" w:space="0" w:color="auto"/>
      </w:divBdr>
    </w:div>
    <w:div w:id="1578516386">
      <w:marLeft w:val="0"/>
      <w:marRight w:val="0"/>
      <w:marTop w:val="0"/>
      <w:marBottom w:val="0"/>
      <w:divBdr>
        <w:top w:val="none" w:sz="0" w:space="0" w:color="auto"/>
        <w:left w:val="none" w:sz="0" w:space="0" w:color="auto"/>
        <w:bottom w:val="none" w:sz="0" w:space="0" w:color="auto"/>
        <w:right w:val="none" w:sz="0" w:space="0" w:color="auto"/>
      </w:divBdr>
    </w:div>
    <w:div w:id="1579169861">
      <w:marLeft w:val="0"/>
      <w:marRight w:val="0"/>
      <w:marTop w:val="0"/>
      <w:marBottom w:val="0"/>
      <w:divBdr>
        <w:top w:val="none" w:sz="0" w:space="0" w:color="auto"/>
        <w:left w:val="none" w:sz="0" w:space="0" w:color="auto"/>
        <w:bottom w:val="none" w:sz="0" w:space="0" w:color="auto"/>
        <w:right w:val="none" w:sz="0" w:space="0" w:color="auto"/>
      </w:divBdr>
      <w:divsChild>
        <w:div w:id="214043995">
          <w:marLeft w:val="0"/>
          <w:marRight w:val="0"/>
          <w:marTop w:val="0"/>
          <w:marBottom w:val="0"/>
          <w:divBdr>
            <w:top w:val="none" w:sz="0" w:space="0" w:color="auto"/>
            <w:left w:val="none" w:sz="0" w:space="0" w:color="auto"/>
            <w:bottom w:val="none" w:sz="0" w:space="0" w:color="auto"/>
            <w:right w:val="none" w:sz="0" w:space="0" w:color="auto"/>
          </w:divBdr>
        </w:div>
      </w:divsChild>
    </w:div>
    <w:div w:id="1580627916">
      <w:marLeft w:val="0"/>
      <w:marRight w:val="0"/>
      <w:marTop w:val="0"/>
      <w:marBottom w:val="240"/>
      <w:divBdr>
        <w:top w:val="none" w:sz="0" w:space="0" w:color="auto"/>
        <w:left w:val="none" w:sz="0" w:space="0" w:color="auto"/>
        <w:bottom w:val="none" w:sz="0" w:space="0" w:color="auto"/>
        <w:right w:val="none" w:sz="0" w:space="0" w:color="auto"/>
      </w:divBdr>
    </w:div>
    <w:div w:id="1581214550">
      <w:marLeft w:val="0"/>
      <w:marRight w:val="0"/>
      <w:marTop w:val="0"/>
      <w:marBottom w:val="180"/>
      <w:divBdr>
        <w:top w:val="none" w:sz="0" w:space="0" w:color="auto"/>
        <w:left w:val="none" w:sz="0" w:space="0" w:color="auto"/>
        <w:bottom w:val="none" w:sz="0" w:space="0" w:color="auto"/>
        <w:right w:val="none" w:sz="0" w:space="0" w:color="auto"/>
      </w:divBdr>
    </w:div>
    <w:div w:id="1581524432">
      <w:marLeft w:val="0"/>
      <w:marRight w:val="0"/>
      <w:marTop w:val="0"/>
      <w:marBottom w:val="180"/>
      <w:divBdr>
        <w:top w:val="none" w:sz="0" w:space="0" w:color="auto"/>
        <w:left w:val="none" w:sz="0" w:space="0" w:color="auto"/>
        <w:bottom w:val="none" w:sz="0" w:space="0" w:color="auto"/>
        <w:right w:val="none" w:sz="0" w:space="0" w:color="auto"/>
      </w:divBdr>
    </w:div>
    <w:div w:id="1583446180">
      <w:marLeft w:val="0"/>
      <w:marRight w:val="0"/>
      <w:marTop w:val="0"/>
      <w:marBottom w:val="180"/>
      <w:divBdr>
        <w:top w:val="none" w:sz="0" w:space="0" w:color="auto"/>
        <w:left w:val="none" w:sz="0" w:space="0" w:color="auto"/>
        <w:bottom w:val="none" w:sz="0" w:space="0" w:color="auto"/>
        <w:right w:val="none" w:sz="0" w:space="0" w:color="auto"/>
      </w:divBdr>
    </w:div>
    <w:div w:id="1583636957">
      <w:marLeft w:val="0"/>
      <w:marRight w:val="0"/>
      <w:marTop w:val="180"/>
      <w:marBottom w:val="180"/>
      <w:divBdr>
        <w:top w:val="none" w:sz="0" w:space="0" w:color="auto"/>
        <w:left w:val="none" w:sz="0" w:space="0" w:color="auto"/>
        <w:bottom w:val="none" w:sz="0" w:space="0" w:color="auto"/>
        <w:right w:val="none" w:sz="0" w:space="0" w:color="auto"/>
      </w:divBdr>
    </w:div>
    <w:div w:id="1584417675">
      <w:marLeft w:val="0"/>
      <w:marRight w:val="0"/>
      <w:marTop w:val="120"/>
      <w:marBottom w:val="120"/>
      <w:divBdr>
        <w:top w:val="none" w:sz="0" w:space="0" w:color="auto"/>
        <w:left w:val="none" w:sz="0" w:space="0" w:color="auto"/>
        <w:bottom w:val="none" w:sz="0" w:space="0" w:color="auto"/>
        <w:right w:val="none" w:sz="0" w:space="0" w:color="auto"/>
      </w:divBdr>
    </w:div>
    <w:div w:id="1585260840">
      <w:marLeft w:val="0"/>
      <w:marRight w:val="0"/>
      <w:marTop w:val="0"/>
      <w:marBottom w:val="180"/>
      <w:divBdr>
        <w:top w:val="none" w:sz="0" w:space="0" w:color="auto"/>
        <w:left w:val="none" w:sz="0" w:space="0" w:color="auto"/>
        <w:bottom w:val="none" w:sz="0" w:space="0" w:color="auto"/>
        <w:right w:val="none" w:sz="0" w:space="0" w:color="auto"/>
      </w:divBdr>
    </w:div>
    <w:div w:id="1586526874">
      <w:marLeft w:val="0"/>
      <w:marRight w:val="0"/>
      <w:marTop w:val="0"/>
      <w:marBottom w:val="240"/>
      <w:divBdr>
        <w:top w:val="none" w:sz="0" w:space="0" w:color="auto"/>
        <w:left w:val="none" w:sz="0" w:space="0" w:color="auto"/>
        <w:bottom w:val="none" w:sz="0" w:space="0" w:color="auto"/>
        <w:right w:val="none" w:sz="0" w:space="0" w:color="auto"/>
      </w:divBdr>
    </w:div>
    <w:div w:id="1586920855">
      <w:marLeft w:val="0"/>
      <w:marRight w:val="0"/>
      <w:marTop w:val="0"/>
      <w:marBottom w:val="240"/>
      <w:divBdr>
        <w:top w:val="none" w:sz="0" w:space="0" w:color="auto"/>
        <w:left w:val="none" w:sz="0" w:space="0" w:color="auto"/>
        <w:bottom w:val="none" w:sz="0" w:space="0" w:color="auto"/>
        <w:right w:val="none" w:sz="0" w:space="0" w:color="auto"/>
      </w:divBdr>
    </w:div>
    <w:div w:id="1588805984">
      <w:marLeft w:val="0"/>
      <w:marRight w:val="0"/>
      <w:marTop w:val="0"/>
      <w:marBottom w:val="180"/>
      <w:divBdr>
        <w:top w:val="none" w:sz="0" w:space="0" w:color="auto"/>
        <w:left w:val="none" w:sz="0" w:space="0" w:color="auto"/>
        <w:bottom w:val="none" w:sz="0" w:space="0" w:color="auto"/>
        <w:right w:val="none" w:sz="0" w:space="0" w:color="auto"/>
      </w:divBdr>
    </w:div>
    <w:div w:id="1588885192">
      <w:marLeft w:val="0"/>
      <w:marRight w:val="0"/>
      <w:marTop w:val="0"/>
      <w:marBottom w:val="240"/>
      <w:divBdr>
        <w:top w:val="none" w:sz="0" w:space="0" w:color="auto"/>
        <w:left w:val="none" w:sz="0" w:space="0" w:color="auto"/>
        <w:bottom w:val="none" w:sz="0" w:space="0" w:color="auto"/>
        <w:right w:val="none" w:sz="0" w:space="0" w:color="auto"/>
      </w:divBdr>
    </w:div>
    <w:div w:id="1590239508">
      <w:marLeft w:val="0"/>
      <w:marRight w:val="0"/>
      <w:marTop w:val="180"/>
      <w:marBottom w:val="180"/>
      <w:divBdr>
        <w:top w:val="none" w:sz="0" w:space="0" w:color="auto"/>
        <w:left w:val="none" w:sz="0" w:space="0" w:color="auto"/>
        <w:bottom w:val="none" w:sz="0" w:space="0" w:color="auto"/>
        <w:right w:val="none" w:sz="0" w:space="0" w:color="auto"/>
      </w:divBdr>
    </w:div>
    <w:div w:id="1590655876">
      <w:marLeft w:val="0"/>
      <w:marRight w:val="0"/>
      <w:marTop w:val="0"/>
      <w:marBottom w:val="180"/>
      <w:divBdr>
        <w:top w:val="none" w:sz="0" w:space="0" w:color="auto"/>
        <w:left w:val="none" w:sz="0" w:space="0" w:color="auto"/>
        <w:bottom w:val="none" w:sz="0" w:space="0" w:color="auto"/>
        <w:right w:val="none" w:sz="0" w:space="0" w:color="auto"/>
      </w:divBdr>
    </w:div>
    <w:div w:id="1590772534">
      <w:marLeft w:val="0"/>
      <w:marRight w:val="0"/>
      <w:marTop w:val="0"/>
      <w:marBottom w:val="0"/>
      <w:divBdr>
        <w:top w:val="none" w:sz="0" w:space="0" w:color="auto"/>
        <w:left w:val="none" w:sz="0" w:space="0" w:color="auto"/>
        <w:bottom w:val="none" w:sz="0" w:space="0" w:color="auto"/>
        <w:right w:val="none" w:sz="0" w:space="0" w:color="auto"/>
      </w:divBdr>
    </w:div>
    <w:div w:id="1591425963">
      <w:marLeft w:val="0"/>
      <w:marRight w:val="0"/>
      <w:marTop w:val="0"/>
      <w:marBottom w:val="0"/>
      <w:divBdr>
        <w:top w:val="none" w:sz="0" w:space="0" w:color="auto"/>
        <w:left w:val="none" w:sz="0" w:space="0" w:color="auto"/>
        <w:bottom w:val="none" w:sz="0" w:space="0" w:color="auto"/>
        <w:right w:val="none" w:sz="0" w:space="0" w:color="auto"/>
      </w:divBdr>
    </w:div>
    <w:div w:id="1591428324">
      <w:marLeft w:val="0"/>
      <w:marRight w:val="0"/>
      <w:marTop w:val="0"/>
      <w:marBottom w:val="180"/>
      <w:divBdr>
        <w:top w:val="none" w:sz="0" w:space="0" w:color="auto"/>
        <w:left w:val="none" w:sz="0" w:space="0" w:color="auto"/>
        <w:bottom w:val="none" w:sz="0" w:space="0" w:color="auto"/>
        <w:right w:val="none" w:sz="0" w:space="0" w:color="auto"/>
      </w:divBdr>
    </w:div>
    <w:div w:id="1591891242">
      <w:marLeft w:val="0"/>
      <w:marRight w:val="0"/>
      <w:marTop w:val="0"/>
      <w:marBottom w:val="180"/>
      <w:divBdr>
        <w:top w:val="none" w:sz="0" w:space="0" w:color="auto"/>
        <w:left w:val="none" w:sz="0" w:space="0" w:color="auto"/>
        <w:bottom w:val="none" w:sz="0" w:space="0" w:color="auto"/>
        <w:right w:val="none" w:sz="0" w:space="0" w:color="auto"/>
      </w:divBdr>
    </w:div>
    <w:div w:id="1591892634">
      <w:marLeft w:val="0"/>
      <w:marRight w:val="0"/>
      <w:marTop w:val="0"/>
      <w:marBottom w:val="0"/>
      <w:divBdr>
        <w:top w:val="none" w:sz="0" w:space="0" w:color="auto"/>
        <w:left w:val="none" w:sz="0" w:space="0" w:color="auto"/>
        <w:bottom w:val="none" w:sz="0" w:space="0" w:color="auto"/>
        <w:right w:val="none" w:sz="0" w:space="0" w:color="auto"/>
      </w:divBdr>
      <w:divsChild>
        <w:div w:id="1346517956">
          <w:marLeft w:val="0"/>
          <w:marRight w:val="0"/>
          <w:marTop w:val="0"/>
          <w:marBottom w:val="0"/>
          <w:divBdr>
            <w:top w:val="none" w:sz="0" w:space="0" w:color="auto"/>
            <w:left w:val="none" w:sz="0" w:space="0" w:color="auto"/>
            <w:bottom w:val="none" w:sz="0" w:space="0" w:color="auto"/>
            <w:right w:val="none" w:sz="0" w:space="0" w:color="auto"/>
          </w:divBdr>
        </w:div>
      </w:divsChild>
    </w:div>
    <w:div w:id="1593204543">
      <w:marLeft w:val="0"/>
      <w:marRight w:val="0"/>
      <w:marTop w:val="180"/>
      <w:marBottom w:val="180"/>
      <w:divBdr>
        <w:top w:val="none" w:sz="0" w:space="0" w:color="auto"/>
        <w:left w:val="none" w:sz="0" w:space="0" w:color="auto"/>
        <w:bottom w:val="none" w:sz="0" w:space="0" w:color="auto"/>
        <w:right w:val="none" w:sz="0" w:space="0" w:color="auto"/>
      </w:divBdr>
    </w:div>
    <w:div w:id="1593733049">
      <w:marLeft w:val="0"/>
      <w:marRight w:val="0"/>
      <w:marTop w:val="0"/>
      <w:marBottom w:val="180"/>
      <w:divBdr>
        <w:top w:val="none" w:sz="0" w:space="0" w:color="auto"/>
        <w:left w:val="none" w:sz="0" w:space="0" w:color="auto"/>
        <w:bottom w:val="none" w:sz="0" w:space="0" w:color="auto"/>
        <w:right w:val="none" w:sz="0" w:space="0" w:color="auto"/>
      </w:divBdr>
    </w:div>
    <w:div w:id="1594128099">
      <w:marLeft w:val="0"/>
      <w:marRight w:val="0"/>
      <w:marTop w:val="0"/>
      <w:marBottom w:val="240"/>
      <w:divBdr>
        <w:top w:val="none" w:sz="0" w:space="0" w:color="auto"/>
        <w:left w:val="none" w:sz="0" w:space="0" w:color="auto"/>
        <w:bottom w:val="none" w:sz="0" w:space="0" w:color="auto"/>
        <w:right w:val="none" w:sz="0" w:space="0" w:color="auto"/>
      </w:divBdr>
    </w:div>
    <w:div w:id="1594167666">
      <w:marLeft w:val="0"/>
      <w:marRight w:val="0"/>
      <w:marTop w:val="0"/>
      <w:marBottom w:val="0"/>
      <w:divBdr>
        <w:top w:val="none" w:sz="0" w:space="0" w:color="auto"/>
        <w:left w:val="none" w:sz="0" w:space="0" w:color="auto"/>
        <w:bottom w:val="none" w:sz="0" w:space="0" w:color="auto"/>
        <w:right w:val="none" w:sz="0" w:space="0" w:color="auto"/>
      </w:divBdr>
      <w:divsChild>
        <w:div w:id="2025130280">
          <w:marLeft w:val="0"/>
          <w:marRight w:val="0"/>
          <w:marTop w:val="0"/>
          <w:marBottom w:val="0"/>
          <w:divBdr>
            <w:top w:val="none" w:sz="0" w:space="0" w:color="auto"/>
            <w:left w:val="none" w:sz="0" w:space="0" w:color="auto"/>
            <w:bottom w:val="none" w:sz="0" w:space="0" w:color="auto"/>
            <w:right w:val="none" w:sz="0" w:space="0" w:color="auto"/>
          </w:divBdr>
        </w:div>
      </w:divsChild>
    </w:div>
    <w:div w:id="1594317829">
      <w:marLeft w:val="0"/>
      <w:marRight w:val="0"/>
      <w:marTop w:val="0"/>
      <w:marBottom w:val="0"/>
      <w:divBdr>
        <w:top w:val="none" w:sz="0" w:space="0" w:color="auto"/>
        <w:left w:val="none" w:sz="0" w:space="0" w:color="auto"/>
        <w:bottom w:val="none" w:sz="0" w:space="0" w:color="auto"/>
        <w:right w:val="none" w:sz="0" w:space="0" w:color="auto"/>
      </w:divBdr>
    </w:div>
    <w:div w:id="1594821289">
      <w:marLeft w:val="0"/>
      <w:marRight w:val="0"/>
      <w:marTop w:val="0"/>
      <w:marBottom w:val="0"/>
      <w:divBdr>
        <w:top w:val="none" w:sz="0" w:space="0" w:color="auto"/>
        <w:left w:val="none" w:sz="0" w:space="0" w:color="auto"/>
        <w:bottom w:val="none" w:sz="0" w:space="0" w:color="auto"/>
        <w:right w:val="none" w:sz="0" w:space="0" w:color="auto"/>
      </w:divBdr>
    </w:div>
    <w:div w:id="1594850762">
      <w:marLeft w:val="0"/>
      <w:marRight w:val="0"/>
      <w:marTop w:val="120"/>
      <w:marBottom w:val="120"/>
      <w:divBdr>
        <w:top w:val="none" w:sz="0" w:space="0" w:color="auto"/>
        <w:left w:val="none" w:sz="0" w:space="0" w:color="auto"/>
        <w:bottom w:val="none" w:sz="0" w:space="0" w:color="auto"/>
        <w:right w:val="none" w:sz="0" w:space="0" w:color="auto"/>
      </w:divBdr>
    </w:div>
    <w:div w:id="1595015897">
      <w:marLeft w:val="0"/>
      <w:marRight w:val="0"/>
      <w:marTop w:val="0"/>
      <w:marBottom w:val="0"/>
      <w:divBdr>
        <w:top w:val="none" w:sz="0" w:space="0" w:color="auto"/>
        <w:left w:val="none" w:sz="0" w:space="0" w:color="auto"/>
        <w:bottom w:val="none" w:sz="0" w:space="0" w:color="auto"/>
        <w:right w:val="none" w:sz="0" w:space="0" w:color="auto"/>
      </w:divBdr>
    </w:div>
    <w:div w:id="1595088382">
      <w:marLeft w:val="0"/>
      <w:marRight w:val="0"/>
      <w:marTop w:val="120"/>
      <w:marBottom w:val="180"/>
      <w:divBdr>
        <w:top w:val="none" w:sz="0" w:space="0" w:color="auto"/>
        <w:left w:val="none" w:sz="0" w:space="0" w:color="auto"/>
        <w:bottom w:val="none" w:sz="0" w:space="0" w:color="auto"/>
        <w:right w:val="none" w:sz="0" w:space="0" w:color="auto"/>
      </w:divBdr>
    </w:div>
    <w:div w:id="1595243260">
      <w:marLeft w:val="0"/>
      <w:marRight w:val="0"/>
      <w:marTop w:val="0"/>
      <w:marBottom w:val="240"/>
      <w:divBdr>
        <w:top w:val="none" w:sz="0" w:space="0" w:color="auto"/>
        <w:left w:val="none" w:sz="0" w:space="0" w:color="auto"/>
        <w:bottom w:val="none" w:sz="0" w:space="0" w:color="auto"/>
        <w:right w:val="none" w:sz="0" w:space="0" w:color="auto"/>
      </w:divBdr>
    </w:div>
    <w:div w:id="1595281343">
      <w:marLeft w:val="0"/>
      <w:marRight w:val="0"/>
      <w:marTop w:val="0"/>
      <w:marBottom w:val="180"/>
      <w:divBdr>
        <w:top w:val="none" w:sz="0" w:space="0" w:color="auto"/>
        <w:left w:val="none" w:sz="0" w:space="0" w:color="auto"/>
        <w:bottom w:val="none" w:sz="0" w:space="0" w:color="auto"/>
        <w:right w:val="none" w:sz="0" w:space="0" w:color="auto"/>
      </w:divBdr>
    </w:div>
    <w:div w:id="1595702574">
      <w:marLeft w:val="0"/>
      <w:marRight w:val="0"/>
      <w:marTop w:val="100"/>
      <w:marBottom w:val="0"/>
      <w:divBdr>
        <w:top w:val="none" w:sz="0" w:space="0" w:color="auto"/>
        <w:left w:val="none" w:sz="0" w:space="0" w:color="auto"/>
        <w:bottom w:val="none" w:sz="0" w:space="0" w:color="auto"/>
        <w:right w:val="none" w:sz="0" w:space="0" w:color="auto"/>
      </w:divBdr>
    </w:div>
    <w:div w:id="1596941858">
      <w:marLeft w:val="0"/>
      <w:marRight w:val="0"/>
      <w:marTop w:val="0"/>
      <w:marBottom w:val="240"/>
      <w:divBdr>
        <w:top w:val="none" w:sz="0" w:space="0" w:color="auto"/>
        <w:left w:val="none" w:sz="0" w:space="0" w:color="auto"/>
        <w:bottom w:val="none" w:sz="0" w:space="0" w:color="auto"/>
        <w:right w:val="none" w:sz="0" w:space="0" w:color="auto"/>
      </w:divBdr>
      <w:divsChild>
        <w:div w:id="2108234826">
          <w:marLeft w:val="0"/>
          <w:marRight w:val="0"/>
          <w:marTop w:val="0"/>
          <w:marBottom w:val="0"/>
          <w:divBdr>
            <w:top w:val="none" w:sz="0" w:space="0" w:color="auto"/>
            <w:left w:val="none" w:sz="0" w:space="0" w:color="auto"/>
            <w:bottom w:val="none" w:sz="0" w:space="0" w:color="auto"/>
            <w:right w:val="none" w:sz="0" w:space="0" w:color="auto"/>
          </w:divBdr>
        </w:div>
        <w:div w:id="1598902939">
          <w:marLeft w:val="0"/>
          <w:marRight w:val="0"/>
          <w:marTop w:val="0"/>
          <w:marBottom w:val="0"/>
          <w:divBdr>
            <w:top w:val="none" w:sz="0" w:space="0" w:color="auto"/>
            <w:left w:val="none" w:sz="0" w:space="0" w:color="auto"/>
            <w:bottom w:val="none" w:sz="0" w:space="0" w:color="auto"/>
            <w:right w:val="none" w:sz="0" w:space="0" w:color="auto"/>
          </w:divBdr>
        </w:div>
      </w:divsChild>
    </w:div>
    <w:div w:id="1597322462">
      <w:marLeft w:val="0"/>
      <w:marRight w:val="0"/>
      <w:marTop w:val="180"/>
      <w:marBottom w:val="240"/>
      <w:divBdr>
        <w:top w:val="none" w:sz="0" w:space="0" w:color="auto"/>
        <w:left w:val="none" w:sz="0" w:space="0" w:color="auto"/>
        <w:bottom w:val="none" w:sz="0" w:space="0" w:color="auto"/>
        <w:right w:val="none" w:sz="0" w:space="0" w:color="auto"/>
      </w:divBdr>
    </w:div>
    <w:div w:id="1597324635">
      <w:marLeft w:val="0"/>
      <w:marRight w:val="0"/>
      <w:marTop w:val="0"/>
      <w:marBottom w:val="0"/>
      <w:divBdr>
        <w:top w:val="none" w:sz="0" w:space="0" w:color="auto"/>
        <w:left w:val="none" w:sz="0" w:space="0" w:color="auto"/>
        <w:bottom w:val="none" w:sz="0" w:space="0" w:color="auto"/>
        <w:right w:val="none" w:sz="0" w:space="0" w:color="auto"/>
      </w:divBdr>
    </w:div>
    <w:div w:id="1598906115">
      <w:marLeft w:val="0"/>
      <w:marRight w:val="0"/>
      <w:marTop w:val="0"/>
      <w:marBottom w:val="0"/>
      <w:divBdr>
        <w:top w:val="none" w:sz="0" w:space="0" w:color="auto"/>
        <w:left w:val="none" w:sz="0" w:space="0" w:color="auto"/>
        <w:bottom w:val="none" w:sz="0" w:space="0" w:color="auto"/>
        <w:right w:val="none" w:sz="0" w:space="0" w:color="auto"/>
      </w:divBdr>
      <w:divsChild>
        <w:div w:id="1857887940">
          <w:marLeft w:val="0"/>
          <w:marRight w:val="0"/>
          <w:marTop w:val="0"/>
          <w:marBottom w:val="0"/>
          <w:divBdr>
            <w:top w:val="none" w:sz="0" w:space="0" w:color="auto"/>
            <w:left w:val="none" w:sz="0" w:space="0" w:color="auto"/>
            <w:bottom w:val="none" w:sz="0" w:space="0" w:color="auto"/>
            <w:right w:val="none" w:sz="0" w:space="0" w:color="auto"/>
          </w:divBdr>
        </w:div>
      </w:divsChild>
    </w:div>
    <w:div w:id="1599406848">
      <w:marLeft w:val="0"/>
      <w:marRight w:val="0"/>
      <w:marTop w:val="180"/>
      <w:marBottom w:val="180"/>
      <w:divBdr>
        <w:top w:val="none" w:sz="0" w:space="0" w:color="auto"/>
        <w:left w:val="none" w:sz="0" w:space="0" w:color="auto"/>
        <w:bottom w:val="none" w:sz="0" w:space="0" w:color="auto"/>
        <w:right w:val="none" w:sz="0" w:space="0" w:color="auto"/>
      </w:divBdr>
    </w:div>
    <w:div w:id="1600259481">
      <w:marLeft w:val="0"/>
      <w:marRight w:val="0"/>
      <w:marTop w:val="0"/>
      <w:marBottom w:val="180"/>
      <w:divBdr>
        <w:top w:val="none" w:sz="0" w:space="0" w:color="auto"/>
        <w:left w:val="none" w:sz="0" w:space="0" w:color="auto"/>
        <w:bottom w:val="none" w:sz="0" w:space="0" w:color="auto"/>
        <w:right w:val="none" w:sz="0" w:space="0" w:color="auto"/>
      </w:divBdr>
    </w:div>
    <w:div w:id="1600717585">
      <w:marLeft w:val="0"/>
      <w:marRight w:val="0"/>
      <w:marTop w:val="0"/>
      <w:marBottom w:val="0"/>
      <w:divBdr>
        <w:top w:val="none" w:sz="0" w:space="0" w:color="auto"/>
        <w:left w:val="none" w:sz="0" w:space="0" w:color="auto"/>
        <w:bottom w:val="none" w:sz="0" w:space="0" w:color="auto"/>
        <w:right w:val="none" w:sz="0" w:space="0" w:color="auto"/>
      </w:divBdr>
      <w:divsChild>
        <w:div w:id="1394816733">
          <w:marLeft w:val="0"/>
          <w:marRight w:val="0"/>
          <w:marTop w:val="0"/>
          <w:marBottom w:val="0"/>
          <w:divBdr>
            <w:top w:val="none" w:sz="0" w:space="0" w:color="auto"/>
            <w:left w:val="none" w:sz="0" w:space="0" w:color="auto"/>
            <w:bottom w:val="none" w:sz="0" w:space="0" w:color="auto"/>
            <w:right w:val="none" w:sz="0" w:space="0" w:color="auto"/>
          </w:divBdr>
        </w:div>
      </w:divsChild>
    </w:div>
    <w:div w:id="1601529681">
      <w:marLeft w:val="0"/>
      <w:marRight w:val="0"/>
      <w:marTop w:val="0"/>
      <w:marBottom w:val="0"/>
      <w:divBdr>
        <w:top w:val="none" w:sz="0" w:space="0" w:color="auto"/>
        <w:left w:val="none" w:sz="0" w:space="0" w:color="auto"/>
        <w:bottom w:val="none" w:sz="0" w:space="0" w:color="auto"/>
        <w:right w:val="none" w:sz="0" w:space="0" w:color="auto"/>
      </w:divBdr>
      <w:divsChild>
        <w:div w:id="87848874">
          <w:marLeft w:val="0"/>
          <w:marRight w:val="0"/>
          <w:marTop w:val="0"/>
          <w:marBottom w:val="0"/>
          <w:divBdr>
            <w:top w:val="none" w:sz="0" w:space="0" w:color="auto"/>
            <w:left w:val="none" w:sz="0" w:space="0" w:color="auto"/>
            <w:bottom w:val="none" w:sz="0" w:space="0" w:color="auto"/>
            <w:right w:val="none" w:sz="0" w:space="0" w:color="auto"/>
          </w:divBdr>
        </w:div>
      </w:divsChild>
    </w:div>
    <w:div w:id="1602181097">
      <w:marLeft w:val="0"/>
      <w:marRight w:val="0"/>
      <w:marTop w:val="100"/>
      <w:marBottom w:val="0"/>
      <w:divBdr>
        <w:top w:val="none" w:sz="0" w:space="0" w:color="auto"/>
        <w:left w:val="none" w:sz="0" w:space="0" w:color="auto"/>
        <w:bottom w:val="none" w:sz="0" w:space="0" w:color="auto"/>
        <w:right w:val="none" w:sz="0" w:space="0" w:color="auto"/>
      </w:divBdr>
    </w:div>
    <w:div w:id="1602294795">
      <w:marLeft w:val="0"/>
      <w:marRight w:val="0"/>
      <w:marTop w:val="0"/>
      <w:marBottom w:val="180"/>
      <w:divBdr>
        <w:top w:val="none" w:sz="0" w:space="0" w:color="auto"/>
        <w:left w:val="none" w:sz="0" w:space="0" w:color="auto"/>
        <w:bottom w:val="none" w:sz="0" w:space="0" w:color="auto"/>
        <w:right w:val="none" w:sz="0" w:space="0" w:color="auto"/>
      </w:divBdr>
    </w:div>
    <w:div w:id="1602570228">
      <w:marLeft w:val="0"/>
      <w:marRight w:val="0"/>
      <w:marTop w:val="120"/>
      <w:marBottom w:val="240"/>
      <w:divBdr>
        <w:top w:val="none" w:sz="0" w:space="0" w:color="auto"/>
        <w:left w:val="none" w:sz="0" w:space="0" w:color="auto"/>
        <w:bottom w:val="none" w:sz="0" w:space="0" w:color="auto"/>
        <w:right w:val="none" w:sz="0" w:space="0" w:color="auto"/>
      </w:divBdr>
    </w:div>
    <w:div w:id="1603026271">
      <w:marLeft w:val="0"/>
      <w:marRight w:val="0"/>
      <w:marTop w:val="0"/>
      <w:marBottom w:val="180"/>
      <w:divBdr>
        <w:top w:val="none" w:sz="0" w:space="0" w:color="auto"/>
        <w:left w:val="none" w:sz="0" w:space="0" w:color="auto"/>
        <w:bottom w:val="none" w:sz="0" w:space="0" w:color="auto"/>
        <w:right w:val="none" w:sz="0" w:space="0" w:color="auto"/>
      </w:divBdr>
    </w:div>
    <w:div w:id="1603224861">
      <w:marLeft w:val="0"/>
      <w:marRight w:val="0"/>
      <w:marTop w:val="0"/>
      <w:marBottom w:val="0"/>
      <w:divBdr>
        <w:top w:val="none" w:sz="0" w:space="0" w:color="auto"/>
        <w:left w:val="none" w:sz="0" w:space="0" w:color="auto"/>
        <w:bottom w:val="none" w:sz="0" w:space="0" w:color="auto"/>
        <w:right w:val="none" w:sz="0" w:space="0" w:color="auto"/>
      </w:divBdr>
    </w:div>
    <w:div w:id="1603563691">
      <w:marLeft w:val="0"/>
      <w:marRight w:val="0"/>
      <w:marTop w:val="0"/>
      <w:marBottom w:val="240"/>
      <w:divBdr>
        <w:top w:val="none" w:sz="0" w:space="0" w:color="auto"/>
        <w:left w:val="none" w:sz="0" w:space="0" w:color="auto"/>
        <w:bottom w:val="none" w:sz="0" w:space="0" w:color="auto"/>
        <w:right w:val="none" w:sz="0" w:space="0" w:color="auto"/>
      </w:divBdr>
    </w:div>
    <w:div w:id="1603950410">
      <w:marLeft w:val="0"/>
      <w:marRight w:val="0"/>
      <w:marTop w:val="0"/>
      <w:marBottom w:val="180"/>
      <w:divBdr>
        <w:top w:val="none" w:sz="0" w:space="0" w:color="auto"/>
        <w:left w:val="none" w:sz="0" w:space="0" w:color="auto"/>
        <w:bottom w:val="none" w:sz="0" w:space="0" w:color="auto"/>
        <w:right w:val="none" w:sz="0" w:space="0" w:color="auto"/>
      </w:divBdr>
    </w:div>
    <w:div w:id="1603997641">
      <w:marLeft w:val="0"/>
      <w:marRight w:val="0"/>
      <w:marTop w:val="0"/>
      <w:marBottom w:val="0"/>
      <w:divBdr>
        <w:top w:val="none" w:sz="0" w:space="0" w:color="auto"/>
        <w:left w:val="none" w:sz="0" w:space="0" w:color="auto"/>
        <w:bottom w:val="none" w:sz="0" w:space="0" w:color="auto"/>
        <w:right w:val="none" w:sz="0" w:space="0" w:color="auto"/>
      </w:divBdr>
    </w:div>
    <w:div w:id="1604878209">
      <w:marLeft w:val="0"/>
      <w:marRight w:val="0"/>
      <w:marTop w:val="0"/>
      <w:marBottom w:val="0"/>
      <w:divBdr>
        <w:top w:val="none" w:sz="0" w:space="0" w:color="auto"/>
        <w:left w:val="none" w:sz="0" w:space="0" w:color="auto"/>
        <w:bottom w:val="none" w:sz="0" w:space="0" w:color="auto"/>
        <w:right w:val="none" w:sz="0" w:space="0" w:color="auto"/>
      </w:divBdr>
    </w:div>
    <w:div w:id="1605841355">
      <w:marLeft w:val="0"/>
      <w:marRight w:val="0"/>
      <w:marTop w:val="0"/>
      <w:marBottom w:val="0"/>
      <w:divBdr>
        <w:top w:val="none" w:sz="0" w:space="0" w:color="auto"/>
        <w:left w:val="none" w:sz="0" w:space="0" w:color="auto"/>
        <w:bottom w:val="none" w:sz="0" w:space="0" w:color="auto"/>
        <w:right w:val="none" w:sz="0" w:space="0" w:color="auto"/>
      </w:divBdr>
      <w:divsChild>
        <w:div w:id="578566347">
          <w:marLeft w:val="0"/>
          <w:marRight w:val="0"/>
          <w:marTop w:val="0"/>
          <w:marBottom w:val="0"/>
          <w:divBdr>
            <w:top w:val="none" w:sz="0" w:space="0" w:color="auto"/>
            <w:left w:val="none" w:sz="0" w:space="0" w:color="auto"/>
            <w:bottom w:val="none" w:sz="0" w:space="0" w:color="auto"/>
            <w:right w:val="none" w:sz="0" w:space="0" w:color="auto"/>
          </w:divBdr>
        </w:div>
      </w:divsChild>
    </w:div>
    <w:div w:id="1606964843">
      <w:marLeft w:val="0"/>
      <w:marRight w:val="0"/>
      <w:marTop w:val="0"/>
      <w:marBottom w:val="0"/>
      <w:divBdr>
        <w:top w:val="none" w:sz="0" w:space="0" w:color="auto"/>
        <w:left w:val="none" w:sz="0" w:space="0" w:color="auto"/>
        <w:bottom w:val="none" w:sz="0" w:space="0" w:color="auto"/>
        <w:right w:val="none" w:sz="0" w:space="0" w:color="auto"/>
      </w:divBdr>
    </w:div>
    <w:div w:id="1607738316">
      <w:marLeft w:val="0"/>
      <w:marRight w:val="0"/>
      <w:marTop w:val="0"/>
      <w:marBottom w:val="0"/>
      <w:divBdr>
        <w:top w:val="none" w:sz="0" w:space="0" w:color="auto"/>
        <w:left w:val="none" w:sz="0" w:space="0" w:color="auto"/>
        <w:bottom w:val="none" w:sz="0" w:space="0" w:color="auto"/>
        <w:right w:val="none" w:sz="0" w:space="0" w:color="auto"/>
      </w:divBdr>
      <w:divsChild>
        <w:div w:id="563028790">
          <w:marLeft w:val="0"/>
          <w:marRight w:val="0"/>
          <w:marTop w:val="0"/>
          <w:marBottom w:val="0"/>
          <w:divBdr>
            <w:top w:val="none" w:sz="0" w:space="0" w:color="auto"/>
            <w:left w:val="none" w:sz="0" w:space="0" w:color="auto"/>
            <w:bottom w:val="none" w:sz="0" w:space="0" w:color="auto"/>
            <w:right w:val="none" w:sz="0" w:space="0" w:color="auto"/>
          </w:divBdr>
        </w:div>
      </w:divsChild>
    </w:div>
    <w:div w:id="1608346107">
      <w:marLeft w:val="0"/>
      <w:marRight w:val="0"/>
      <w:marTop w:val="0"/>
      <w:marBottom w:val="180"/>
      <w:divBdr>
        <w:top w:val="none" w:sz="0" w:space="0" w:color="auto"/>
        <w:left w:val="none" w:sz="0" w:space="0" w:color="auto"/>
        <w:bottom w:val="none" w:sz="0" w:space="0" w:color="auto"/>
        <w:right w:val="none" w:sz="0" w:space="0" w:color="auto"/>
      </w:divBdr>
    </w:div>
    <w:div w:id="1609893217">
      <w:marLeft w:val="0"/>
      <w:marRight w:val="0"/>
      <w:marTop w:val="0"/>
      <w:marBottom w:val="180"/>
      <w:divBdr>
        <w:top w:val="none" w:sz="0" w:space="0" w:color="auto"/>
        <w:left w:val="none" w:sz="0" w:space="0" w:color="auto"/>
        <w:bottom w:val="none" w:sz="0" w:space="0" w:color="auto"/>
        <w:right w:val="none" w:sz="0" w:space="0" w:color="auto"/>
      </w:divBdr>
    </w:div>
    <w:div w:id="1610047067">
      <w:marLeft w:val="0"/>
      <w:marRight w:val="0"/>
      <w:marTop w:val="0"/>
      <w:marBottom w:val="0"/>
      <w:divBdr>
        <w:top w:val="none" w:sz="0" w:space="0" w:color="auto"/>
        <w:left w:val="none" w:sz="0" w:space="0" w:color="auto"/>
        <w:bottom w:val="none" w:sz="0" w:space="0" w:color="auto"/>
        <w:right w:val="none" w:sz="0" w:space="0" w:color="auto"/>
      </w:divBdr>
      <w:divsChild>
        <w:div w:id="1610623929">
          <w:marLeft w:val="0"/>
          <w:marRight w:val="0"/>
          <w:marTop w:val="0"/>
          <w:marBottom w:val="0"/>
          <w:divBdr>
            <w:top w:val="none" w:sz="0" w:space="0" w:color="auto"/>
            <w:left w:val="none" w:sz="0" w:space="0" w:color="auto"/>
            <w:bottom w:val="none" w:sz="0" w:space="0" w:color="auto"/>
            <w:right w:val="none" w:sz="0" w:space="0" w:color="auto"/>
          </w:divBdr>
        </w:div>
      </w:divsChild>
    </w:div>
    <w:div w:id="1610314353">
      <w:marLeft w:val="0"/>
      <w:marRight w:val="0"/>
      <w:marTop w:val="120"/>
      <w:marBottom w:val="120"/>
      <w:divBdr>
        <w:top w:val="none" w:sz="0" w:space="0" w:color="auto"/>
        <w:left w:val="none" w:sz="0" w:space="0" w:color="auto"/>
        <w:bottom w:val="none" w:sz="0" w:space="0" w:color="auto"/>
        <w:right w:val="none" w:sz="0" w:space="0" w:color="auto"/>
      </w:divBdr>
    </w:div>
    <w:div w:id="1610694911">
      <w:marLeft w:val="0"/>
      <w:marRight w:val="0"/>
      <w:marTop w:val="0"/>
      <w:marBottom w:val="0"/>
      <w:divBdr>
        <w:top w:val="none" w:sz="0" w:space="0" w:color="auto"/>
        <w:left w:val="none" w:sz="0" w:space="0" w:color="auto"/>
        <w:bottom w:val="none" w:sz="0" w:space="0" w:color="auto"/>
        <w:right w:val="none" w:sz="0" w:space="0" w:color="auto"/>
      </w:divBdr>
    </w:div>
    <w:div w:id="1612786657">
      <w:marLeft w:val="0"/>
      <w:marRight w:val="0"/>
      <w:marTop w:val="120"/>
      <w:marBottom w:val="120"/>
      <w:divBdr>
        <w:top w:val="none" w:sz="0" w:space="0" w:color="auto"/>
        <w:left w:val="none" w:sz="0" w:space="0" w:color="auto"/>
        <w:bottom w:val="none" w:sz="0" w:space="0" w:color="auto"/>
        <w:right w:val="none" w:sz="0" w:space="0" w:color="auto"/>
      </w:divBdr>
    </w:div>
    <w:div w:id="1612973087">
      <w:marLeft w:val="0"/>
      <w:marRight w:val="0"/>
      <w:marTop w:val="0"/>
      <w:marBottom w:val="180"/>
      <w:divBdr>
        <w:top w:val="none" w:sz="0" w:space="0" w:color="auto"/>
        <w:left w:val="none" w:sz="0" w:space="0" w:color="auto"/>
        <w:bottom w:val="none" w:sz="0" w:space="0" w:color="auto"/>
        <w:right w:val="none" w:sz="0" w:space="0" w:color="auto"/>
      </w:divBdr>
    </w:div>
    <w:div w:id="1613047422">
      <w:marLeft w:val="0"/>
      <w:marRight w:val="0"/>
      <w:marTop w:val="0"/>
      <w:marBottom w:val="180"/>
      <w:divBdr>
        <w:top w:val="none" w:sz="0" w:space="0" w:color="auto"/>
        <w:left w:val="none" w:sz="0" w:space="0" w:color="auto"/>
        <w:bottom w:val="none" w:sz="0" w:space="0" w:color="auto"/>
        <w:right w:val="none" w:sz="0" w:space="0" w:color="auto"/>
      </w:divBdr>
    </w:div>
    <w:div w:id="1614551853">
      <w:marLeft w:val="0"/>
      <w:marRight w:val="0"/>
      <w:marTop w:val="0"/>
      <w:marBottom w:val="180"/>
      <w:divBdr>
        <w:top w:val="none" w:sz="0" w:space="0" w:color="auto"/>
        <w:left w:val="none" w:sz="0" w:space="0" w:color="auto"/>
        <w:bottom w:val="none" w:sz="0" w:space="0" w:color="auto"/>
        <w:right w:val="none" w:sz="0" w:space="0" w:color="auto"/>
      </w:divBdr>
    </w:div>
    <w:div w:id="1614555336">
      <w:marLeft w:val="0"/>
      <w:marRight w:val="0"/>
      <w:marTop w:val="0"/>
      <w:marBottom w:val="180"/>
      <w:divBdr>
        <w:top w:val="none" w:sz="0" w:space="0" w:color="auto"/>
        <w:left w:val="none" w:sz="0" w:space="0" w:color="auto"/>
        <w:bottom w:val="none" w:sz="0" w:space="0" w:color="auto"/>
        <w:right w:val="none" w:sz="0" w:space="0" w:color="auto"/>
      </w:divBdr>
    </w:div>
    <w:div w:id="1615213129">
      <w:marLeft w:val="0"/>
      <w:marRight w:val="0"/>
      <w:marTop w:val="120"/>
      <w:marBottom w:val="120"/>
      <w:divBdr>
        <w:top w:val="none" w:sz="0" w:space="0" w:color="auto"/>
        <w:left w:val="none" w:sz="0" w:space="0" w:color="auto"/>
        <w:bottom w:val="none" w:sz="0" w:space="0" w:color="auto"/>
        <w:right w:val="none" w:sz="0" w:space="0" w:color="auto"/>
      </w:divBdr>
    </w:div>
    <w:div w:id="1616789490">
      <w:marLeft w:val="0"/>
      <w:marRight w:val="0"/>
      <w:marTop w:val="120"/>
      <w:marBottom w:val="120"/>
      <w:divBdr>
        <w:top w:val="none" w:sz="0" w:space="0" w:color="auto"/>
        <w:left w:val="none" w:sz="0" w:space="0" w:color="auto"/>
        <w:bottom w:val="none" w:sz="0" w:space="0" w:color="auto"/>
        <w:right w:val="none" w:sz="0" w:space="0" w:color="auto"/>
      </w:divBdr>
    </w:div>
    <w:div w:id="1617372438">
      <w:marLeft w:val="0"/>
      <w:marRight w:val="0"/>
      <w:marTop w:val="0"/>
      <w:marBottom w:val="0"/>
      <w:divBdr>
        <w:top w:val="none" w:sz="0" w:space="0" w:color="auto"/>
        <w:left w:val="none" w:sz="0" w:space="0" w:color="auto"/>
        <w:bottom w:val="none" w:sz="0" w:space="0" w:color="auto"/>
        <w:right w:val="none" w:sz="0" w:space="0" w:color="auto"/>
      </w:divBdr>
    </w:div>
    <w:div w:id="1617709862">
      <w:marLeft w:val="0"/>
      <w:marRight w:val="0"/>
      <w:marTop w:val="0"/>
      <w:marBottom w:val="0"/>
      <w:divBdr>
        <w:top w:val="none" w:sz="0" w:space="0" w:color="auto"/>
        <w:left w:val="none" w:sz="0" w:space="0" w:color="auto"/>
        <w:bottom w:val="none" w:sz="0" w:space="0" w:color="auto"/>
        <w:right w:val="none" w:sz="0" w:space="0" w:color="auto"/>
      </w:divBdr>
      <w:divsChild>
        <w:div w:id="1239973619">
          <w:marLeft w:val="0"/>
          <w:marRight w:val="0"/>
          <w:marTop w:val="0"/>
          <w:marBottom w:val="0"/>
          <w:divBdr>
            <w:top w:val="none" w:sz="0" w:space="0" w:color="auto"/>
            <w:left w:val="none" w:sz="0" w:space="0" w:color="auto"/>
            <w:bottom w:val="none" w:sz="0" w:space="0" w:color="auto"/>
            <w:right w:val="none" w:sz="0" w:space="0" w:color="auto"/>
          </w:divBdr>
        </w:div>
      </w:divsChild>
    </w:div>
    <w:div w:id="1618370542">
      <w:marLeft w:val="0"/>
      <w:marRight w:val="0"/>
      <w:marTop w:val="120"/>
      <w:marBottom w:val="120"/>
      <w:divBdr>
        <w:top w:val="none" w:sz="0" w:space="0" w:color="auto"/>
        <w:left w:val="none" w:sz="0" w:space="0" w:color="auto"/>
        <w:bottom w:val="none" w:sz="0" w:space="0" w:color="auto"/>
        <w:right w:val="none" w:sz="0" w:space="0" w:color="auto"/>
      </w:divBdr>
    </w:div>
    <w:div w:id="1618371084">
      <w:marLeft w:val="0"/>
      <w:marRight w:val="0"/>
      <w:marTop w:val="0"/>
      <w:marBottom w:val="0"/>
      <w:divBdr>
        <w:top w:val="none" w:sz="0" w:space="0" w:color="auto"/>
        <w:left w:val="none" w:sz="0" w:space="0" w:color="auto"/>
        <w:bottom w:val="none" w:sz="0" w:space="0" w:color="auto"/>
        <w:right w:val="none" w:sz="0" w:space="0" w:color="auto"/>
      </w:divBdr>
    </w:div>
    <w:div w:id="1619531548">
      <w:marLeft w:val="0"/>
      <w:marRight w:val="0"/>
      <w:marTop w:val="0"/>
      <w:marBottom w:val="0"/>
      <w:divBdr>
        <w:top w:val="none" w:sz="0" w:space="0" w:color="auto"/>
        <w:left w:val="none" w:sz="0" w:space="0" w:color="auto"/>
        <w:bottom w:val="none" w:sz="0" w:space="0" w:color="auto"/>
        <w:right w:val="none" w:sz="0" w:space="0" w:color="auto"/>
      </w:divBdr>
    </w:div>
    <w:div w:id="1620407669">
      <w:marLeft w:val="0"/>
      <w:marRight w:val="0"/>
      <w:marTop w:val="120"/>
      <w:marBottom w:val="120"/>
      <w:divBdr>
        <w:top w:val="none" w:sz="0" w:space="0" w:color="auto"/>
        <w:left w:val="none" w:sz="0" w:space="0" w:color="auto"/>
        <w:bottom w:val="none" w:sz="0" w:space="0" w:color="auto"/>
        <w:right w:val="none" w:sz="0" w:space="0" w:color="auto"/>
      </w:divBdr>
    </w:div>
    <w:div w:id="1620914280">
      <w:marLeft w:val="0"/>
      <w:marRight w:val="0"/>
      <w:marTop w:val="0"/>
      <w:marBottom w:val="0"/>
      <w:divBdr>
        <w:top w:val="none" w:sz="0" w:space="0" w:color="auto"/>
        <w:left w:val="none" w:sz="0" w:space="0" w:color="auto"/>
        <w:bottom w:val="none" w:sz="0" w:space="0" w:color="auto"/>
        <w:right w:val="none" w:sz="0" w:space="0" w:color="auto"/>
      </w:divBdr>
    </w:div>
    <w:div w:id="1621453803">
      <w:marLeft w:val="0"/>
      <w:marRight w:val="0"/>
      <w:marTop w:val="0"/>
      <w:marBottom w:val="180"/>
      <w:divBdr>
        <w:top w:val="none" w:sz="0" w:space="0" w:color="auto"/>
        <w:left w:val="none" w:sz="0" w:space="0" w:color="auto"/>
        <w:bottom w:val="none" w:sz="0" w:space="0" w:color="auto"/>
        <w:right w:val="none" w:sz="0" w:space="0" w:color="auto"/>
      </w:divBdr>
    </w:div>
    <w:div w:id="1621647585">
      <w:marLeft w:val="0"/>
      <w:marRight w:val="0"/>
      <w:marTop w:val="0"/>
      <w:marBottom w:val="0"/>
      <w:divBdr>
        <w:top w:val="none" w:sz="0" w:space="0" w:color="auto"/>
        <w:left w:val="none" w:sz="0" w:space="0" w:color="auto"/>
        <w:bottom w:val="none" w:sz="0" w:space="0" w:color="auto"/>
        <w:right w:val="none" w:sz="0" w:space="0" w:color="auto"/>
      </w:divBdr>
      <w:divsChild>
        <w:div w:id="483551886">
          <w:marLeft w:val="0"/>
          <w:marRight w:val="0"/>
          <w:marTop w:val="0"/>
          <w:marBottom w:val="0"/>
          <w:divBdr>
            <w:top w:val="none" w:sz="0" w:space="0" w:color="auto"/>
            <w:left w:val="none" w:sz="0" w:space="0" w:color="auto"/>
            <w:bottom w:val="none" w:sz="0" w:space="0" w:color="auto"/>
            <w:right w:val="none" w:sz="0" w:space="0" w:color="auto"/>
          </w:divBdr>
        </w:div>
      </w:divsChild>
    </w:div>
    <w:div w:id="1623076844">
      <w:marLeft w:val="0"/>
      <w:marRight w:val="0"/>
      <w:marTop w:val="0"/>
      <w:marBottom w:val="240"/>
      <w:divBdr>
        <w:top w:val="none" w:sz="0" w:space="0" w:color="auto"/>
        <w:left w:val="none" w:sz="0" w:space="0" w:color="auto"/>
        <w:bottom w:val="none" w:sz="0" w:space="0" w:color="auto"/>
        <w:right w:val="none" w:sz="0" w:space="0" w:color="auto"/>
      </w:divBdr>
    </w:div>
    <w:div w:id="1624114451">
      <w:marLeft w:val="0"/>
      <w:marRight w:val="0"/>
      <w:marTop w:val="180"/>
      <w:marBottom w:val="180"/>
      <w:divBdr>
        <w:top w:val="none" w:sz="0" w:space="0" w:color="auto"/>
        <w:left w:val="none" w:sz="0" w:space="0" w:color="auto"/>
        <w:bottom w:val="none" w:sz="0" w:space="0" w:color="auto"/>
        <w:right w:val="none" w:sz="0" w:space="0" w:color="auto"/>
      </w:divBdr>
    </w:div>
    <w:div w:id="1624533776">
      <w:marLeft w:val="0"/>
      <w:marRight w:val="0"/>
      <w:marTop w:val="0"/>
      <w:marBottom w:val="0"/>
      <w:divBdr>
        <w:top w:val="none" w:sz="0" w:space="0" w:color="auto"/>
        <w:left w:val="none" w:sz="0" w:space="0" w:color="auto"/>
        <w:bottom w:val="none" w:sz="0" w:space="0" w:color="auto"/>
        <w:right w:val="none" w:sz="0" w:space="0" w:color="auto"/>
      </w:divBdr>
      <w:divsChild>
        <w:div w:id="2019887730">
          <w:marLeft w:val="0"/>
          <w:marRight w:val="0"/>
          <w:marTop w:val="0"/>
          <w:marBottom w:val="0"/>
          <w:divBdr>
            <w:top w:val="none" w:sz="0" w:space="0" w:color="auto"/>
            <w:left w:val="none" w:sz="0" w:space="0" w:color="auto"/>
            <w:bottom w:val="none" w:sz="0" w:space="0" w:color="auto"/>
            <w:right w:val="none" w:sz="0" w:space="0" w:color="auto"/>
          </w:divBdr>
        </w:div>
        <w:div w:id="923224001">
          <w:marLeft w:val="0"/>
          <w:marRight w:val="0"/>
          <w:marTop w:val="0"/>
          <w:marBottom w:val="0"/>
          <w:divBdr>
            <w:top w:val="none" w:sz="0" w:space="0" w:color="auto"/>
            <w:left w:val="none" w:sz="0" w:space="0" w:color="auto"/>
            <w:bottom w:val="none" w:sz="0" w:space="0" w:color="auto"/>
            <w:right w:val="none" w:sz="0" w:space="0" w:color="auto"/>
          </w:divBdr>
        </w:div>
        <w:div w:id="1431243388">
          <w:marLeft w:val="0"/>
          <w:marRight w:val="0"/>
          <w:marTop w:val="0"/>
          <w:marBottom w:val="0"/>
          <w:divBdr>
            <w:top w:val="none" w:sz="0" w:space="0" w:color="auto"/>
            <w:left w:val="none" w:sz="0" w:space="0" w:color="auto"/>
            <w:bottom w:val="none" w:sz="0" w:space="0" w:color="auto"/>
            <w:right w:val="none" w:sz="0" w:space="0" w:color="auto"/>
          </w:divBdr>
        </w:div>
        <w:div w:id="849100489">
          <w:marLeft w:val="0"/>
          <w:marRight w:val="0"/>
          <w:marTop w:val="0"/>
          <w:marBottom w:val="0"/>
          <w:divBdr>
            <w:top w:val="none" w:sz="0" w:space="0" w:color="auto"/>
            <w:left w:val="none" w:sz="0" w:space="0" w:color="auto"/>
            <w:bottom w:val="none" w:sz="0" w:space="0" w:color="auto"/>
            <w:right w:val="none" w:sz="0" w:space="0" w:color="auto"/>
          </w:divBdr>
        </w:div>
      </w:divsChild>
    </w:div>
    <w:div w:id="1624772973">
      <w:marLeft w:val="0"/>
      <w:marRight w:val="0"/>
      <w:marTop w:val="180"/>
      <w:marBottom w:val="180"/>
      <w:divBdr>
        <w:top w:val="none" w:sz="0" w:space="0" w:color="auto"/>
        <w:left w:val="none" w:sz="0" w:space="0" w:color="auto"/>
        <w:bottom w:val="none" w:sz="0" w:space="0" w:color="auto"/>
        <w:right w:val="none" w:sz="0" w:space="0" w:color="auto"/>
      </w:divBdr>
    </w:div>
    <w:div w:id="1625844390">
      <w:marLeft w:val="0"/>
      <w:marRight w:val="0"/>
      <w:marTop w:val="0"/>
      <w:marBottom w:val="0"/>
      <w:divBdr>
        <w:top w:val="none" w:sz="0" w:space="0" w:color="auto"/>
        <w:left w:val="none" w:sz="0" w:space="0" w:color="auto"/>
        <w:bottom w:val="none" w:sz="0" w:space="0" w:color="auto"/>
        <w:right w:val="none" w:sz="0" w:space="0" w:color="auto"/>
      </w:divBdr>
    </w:div>
    <w:div w:id="1626079398">
      <w:marLeft w:val="0"/>
      <w:marRight w:val="0"/>
      <w:marTop w:val="0"/>
      <w:marBottom w:val="180"/>
      <w:divBdr>
        <w:top w:val="none" w:sz="0" w:space="0" w:color="auto"/>
        <w:left w:val="none" w:sz="0" w:space="0" w:color="auto"/>
        <w:bottom w:val="none" w:sz="0" w:space="0" w:color="auto"/>
        <w:right w:val="none" w:sz="0" w:space="0" w:color="auto"/>
      </w:divBdr>
    </w:div>
    <w:div w:id="1629697610">
      <w:marLeft w:val="0"/>
      <w:marRight w:val="0"/>
      <w:marTop w:val="0"/>
      <w:marBottom w:val="180"/>
      <w:divBdr>
        <w:top w:val="none" w:sz="0" w:space="0" w:color="auto"/>
        <w:left w:val="none" w:sz="0" w:space="0" w:color="auto"/>
        <w:bottom w:val="none" w:sz="0" w:space="0" w:color="auto"/>
        <w:right w:val="none" w:sz="0" w:space="0" w:color="auto"/>
      </w:divBdr>
    </w:div>
    <w:div w:id="1630354406">
      <w:marLeft w:val="0"/>
      <w:marRight w:val="0"/>
      <w:marTop w:val="120"/>
      <w:marBottom w:val="180"/>
      <w:divBdr>
        <w:top w:val="none" w:sz="0" w:space="0" w:color="auto"/>
        <w:left w:val="none" w:sz="0" w:space="0" w:color="auto"/>
        <w:bottom w:val="none" w:sz="0" w:space="0" w:color="auto"/>
        <w:right w:val="none" w:sz="0" w:space="0" w:color="auto"/>
      </w:divBdr>
    </w:div>
    <w:div w:id="1631087370">
      <w:marLeft w:val="0"/>
      <w:marRight w:val="0"/>
      <w:marTop w:val="0"/>
      <w:marBottom w:val="240"/>
      <w:divBdr>
        <w:top w:val="none" w:sz="0" w:space="0" w:color="auto"/>
        <w:left w:val="none" w:sz="0" w:space="0" w:color="auto"/>
        <w:bottom w:val="none" w:sz="0" w:space="0" w:color="auto"/>
        <w:right w:val="none" w:sz="0" w:space="0" w:color="auto"/>
      </w:divBdr>
    </w:div>
    <w:div w:id="1631666359">
      <w:marLeft w:val="0"/>
      <w:marRight w:val="0"/>
      <w:marTop w:val="0"/>
      <w:marBottom w:val="180"/>
      <w:divBdr>
        <w:top w:val="none" w:sz="0" w:space="0" w:color="auto"/>
        <w:left w:val="none" w:sz="0" w:space="0" w:color="auto"/>
        <w:bottom w:val="none" w:sz="0" w:space="0" w:color="auto"/>
        <w:right w:val="none" w:sz="0" w:space="0" w:color="auto"/>
      </w:divBdr>
    </w:div>
    <w:div w:id="1632664272">
      <w:marLeft w:val="0"/>
      <w:marRight w:val="0"/>
      <w:marTop w:val="100"/>
      <w:marBottom w:val="0"/>
      <w:divBdr>
        <w:top w:val="none" w:sz="0" w:space="0" w:color="auto"/>
        <w:left w:val="none" w:sz="0" w:space="0" w:color="auto"/>
        <w:bottom w:val="none" w:sz="0" w:space="0" w:color="auto"/>
        <w:right w:val="none" w:sz="0" w:space="0" w:color="auto"/>
      </w:divBdr>
      <w:divsChild>
        <w:div w:id="634140304">
          <w:marLeft w:val="0"/>
          <w:marRight w:val="0"/>
          <w:marTop w:val="0"/>
          <w:marBottom w:val="0"/>
          <w:divBdr>
            <w:top w:val="none" w:sz="0" w:space="0" w:color="auto"/>
            <w:left w:val="none" w:sz="0" w:space="0" w:color="auto"/>
            <w:bottom w:val="none" w:sz="0" w:space="0" w:color="auto"/>
            <w:right w:val="none" w:sz="0" w:space="0" w:color="auto"/>
          </w:divBdr>
        </w:div>
      </w:divsChild>
    </w:div>
    <w:div w:id="1634367929">
      <w:marLeft w:val="0"/>
      <w:marRight w:val="0"/>
      <w:marTop w:val="0"/>
      <w:marBottom w:val="180"/>
      <w:divBdr>
        <w:top w:val="none" w:sz="0" w:space="0" w:color="auto"/>
        <w:left w:val="none" w:sz="0" w:space="0" w:color="auto"/>
        <w:bottom w:val="none" w:sz="0" w:space="0" w:color="auto"/>
        <w:right w:val="none" w:sz="0" w:space="0" w:color="auto"/>
      </w:divBdr>
    </w:div>
    <w:div w:id="1634404285">
      <w:marLeft w:val="0"/>
      <w:marRight w:val="0"/>
      <w:marTop w:val="120"/>
      <w:marBottom w:val="180"/>
      <w:divBdr>
        <w:top w:val="none" w:sz="0" w:space="0" w:color="auto"/>
        <w:left w:val="none" w:sz="0" w:space="0" w:color="auto"/>
        <w:bottom w:val="none" w:sz="0" w:space="0" w:color="auto"/>
        <w:right w:val="none" w:sz="0" w:space="0" w:color="auto"/>
      </w:divBdr>
    </w:div>
    <w:div w:id="1635793957">
      <w:marLeft w:val="0"/>
      <w:marRight w:val="0"/>
      <w:marTop w:val="0"/>
      <w:marBottom w:val="0"/>
      <w:divBdr>
        <w:top w:val="none" w:sz="0" w:space="0" w:color="auto"/>
        <w:left w:val="none" w:sz="0" w:space="0" w:color="auto"/>
        <w:bottom w:val="none" w:sz="0" w:space="0" w:color="auto"/>
        <w:right w:val="none" w:sz="0" w:space="0" w:color="auto"/>
      </w:divBdr>
      <w:divsChild>
        <w:div w:id="547180742">
          <w:marLeft w:val="0"/>
          <w:marRight w:val="0"/>
          <w:marTop w:val="0"/>
          <w:marBottom w:val="0"/>
          <w:divBdr>
            <w:top w:val="none" w:sz="0" w:space="0" w:color="auto"/>
            <w:left w:val="none" w:sz="0" w:space="0" w:color="auto"/>
            <w:bottom w:val="none" w:sz="0" w:space="0" w:color="auto"/>
            <w:right w:val="none" w:sz="0" w:space="0" w:color="auto"/>
          </w:divBdr>
        </w:div>
      </w:divsChild>
    </w:div>
    <w:div w:id="1636597347">
      <w:marLeft w:val="0"/>
      <w:marRight w:val="0"/>
      <w:marTop w:val="0"/>
      <w:marBottom w:val="0"/>
      <w:divBdr>
        <w:top w:val="none" w:sz="0" w:space="0" w:color="auto"/>
        <w:left w:val="none" w:sz="0" w:space="0" w:color="auto"/>
        <w:bottom w:val="none" w:sz="0" w:space="0" w:color="auto"/>
        <w:right w:val="none" w:sz="0" w:space="0" w:color="auto"/>
      </w:divBdr>
    </w:div>
    <w:div w:id="1639797192">
      <w:marLeft w:val="0"/>
      <w:marRight w:val="0"/>
      <w:marTop w:val="0"/>
      <w:marBottom w:val="180"/>
      <w:divBdr>
        <w:top w:val="none" w:sz="0" w:space="0" w:color="auto"/>
        <w:left w:val="none" w:sz="0" w:space="0" w:color="auto"/>
        <w:bottom w:val="none" w:sz="0" w:space="0" w:color="auto"/>
        <w:right w:val="none" w:sz="0" w:space="0" w:color="auto"/>
      </w:divBdr>
    </w:div>
    <w:div w:id="1639845978">
      <w:marLeft w:val="0"/>
      <w:marRight w:val="0"/>
      <w:marTop w:val="0"/>
      <w:marBottom w:val="240"/>
      <w:divBdr>
        <w:top w:val="none" w:sz="0" w:space="0" w:color="auto"/>
        <w:left w:val="none" w:sz="0" w:space="0" w:color="auto"/>
        <w:bottom w:val="none" w:sz="0" w:space="0" w:color="auto"/>
        <w:right w:val="none" w:sz="0" w:space="0" w:color="auto"/>
      </w:divBdr>
    </w:div>
    <w:div w:id="1639990709">
      <w:marLeft w:val="0"/>
      <w:marRight w:val="0"/>
      <w:marTop w:val="0"/>
      <w:marBottom w:val="240"/>
      <w:divBdr>
        <w:top w:val="none" w:sz="0" w:space="0" w:color="auto"/>
        <w:left w:val="none" w:sz="0" w:space="0" w:color="auto"/>
        <w:bottom w:val="none" w:sz="0" w:space="0" w:color="auto"/>
        <w:right w:val="none" w:sz="0" w:space="0" w:color="auto"/>
      </w:divBdr>
    </w:div>
    <w:div w:id="1640453684">
      <w:marLeft w:val="0"/>
      <w:marRight w:val="0"/>
      <w:marTop w:val="0"/>
      <w:marBottom w:val="180"/>
      <w:divBdr>
        <w:top w:val="none" w:sz="0" w:space="0" w:color="auto"/>
        <w:left w:val="none" w:sz="0" w:space="0" w:color="auto"/>
        <w:bottom w:val="none" w:sz="0" w:space="0" w:color="auto"/>
        <w:right w:val="none" w:sz="0" w:space="0" w:color="auto"/>
      </w:divBdr>
    </w:div>
    <w:div w:id="1640646760">
      <w:marLeft w:val="0"/>
      <w:marRight w:val="0"/>
      <w:marTop w:val="0"/>
      <w:marBottom w:val="0"/>
      <w:divBdr>
        <w:top w:val="none" w:sz="0" w:space="0" w:color="auto"/>
        <w:left w:val="none" w:sz="0" w:space="0" w:color="auto"/>
        <w:bottom w:val="none" w:sz="0" w:space="0" w:color="auto"/>
        <w:right w:val="none" w:sz="0" w:space="0" w:color="auto"/>
      </w:divBdr>
    </w:div>
    <w:div w:id="1640912939">
      <w:marLeft w:val="0"/>
      <w:marRight w:val="0"/>
      <w:marTop w:val="0"/>
      <w:marBottom w:val="0"/>
      <w:divBdr>
        <w:top w:val="none" w:sz="0" w:space="0" w:color="auto"/>
        <w:left w:val="none" w:sz="0" w:space="0" w:color="auto"/>
        <w:bottom w:val="none" w:sz="0" w:space="0" w:color="auto"/>
        <w:right w:val="none" w:sz="0" w:space="0" w:color="auto"/>
      </w:divBdr>
    </w:div>
    <w:div w:id="1641616233">
      <w:marLeft w:val="0"/>
      <w:marRight w:val="0"/>
      <w:marTop w:val="100"/>
      <w:marBottom w:val="0"/>
      <w:divBdr>
        <w:top w:val="none" w:sz="0" w:space="0" w:color="auto"/>
        <w:left w:val="none" w:sz="0" w:space="0" w:color="auto"/>
        <w:bottom w:val="none" w:sz="0" w:space="0" w:color="auto"/>
        <w:right w:val="none" w:sz="0" w:space="0" w:color="auto"/>
      </w:divBdr>
    </w:div>
    <w:div w:id="1642075097">
      <w:marLeft w:val="0"/>
      <w:marRight w:val="0"/>
      <w:marTop w:val="0"/>
      <w:marBottom w:val="180"/>
      <w:divBdr>
        <w:top w:val="none" w:sz="0" w:space="0" w:color="auto"/>
        <w:left w:val="none" w:sz="0" w:space="0" w:color="auto"/>
        <w:bottom w:val="none" w:sz="0" w:space="0" w:color="auto"/>
        <w:right w:val="none" w:sz="0" w:space="0" w:color="auto"/>
      </w:divBdr>
    </w:div>
    <w:div w:id="1644197287">
      <w:marLeft w:val="0"/>
      <w:marRight w:val="0"/>
      <w:marTop w:val="0"/>
      <w:marBottom w:val="240"/>
      <w:divBdr>
        <w:top w:val="none" w:sz="0" w:space="0" w:color="auto"/>
        <w:left w:val="none" w:sz="0" w:space="0" w:color="auto"/>
        <w:bottom w:val="none" w:sz="0" w:space="0" w:color="auto"/>
        <w:right w:val="none" w:sz="0" w:space="0" w:color="auto"/>
      </w:divBdr>
    </w:div>
    <w:div w:id="1644459531">
      <w:marLeft w:val="0"/>
      <w:marRight w:val="0"/>
      <w:marTop w:val="0"/>
      <w:marBottom w:val="240"/>
      <w:divBdr>
        <w:top w:val="none" w:sz="0" w:space="0" w:color="auto"/>
        <w:left w:val="none" w:sz="0" w:space="0" w:color="auto"/>
        <w:bottom w:val="none" w:sz="0" w:space="0" w:color="auto"/>
        <w:right w:val="none" w:sz="0" w:space="0" w:color="auto"/>
      </w:divBdr>
    </w:div>
    <w:div w:id="1645117243">
      <w:marLeft w:val="0"/>
      <w:marRight w:val="0"/>
      <w:marTop w:val="0"/>
      <w:marBottom w:val="180"/>
      <w:divBdr>
        <w:top w:val="none" w:sz="0" w:space="0" w:color="auto"/>
        <w:left w:val="none" w:sz="0" w:space="0" w:color="auto"/>
        <w:bottom w:val="none" w:sz="0" w:space="0" w:color="auto"/>
        <w:right w:val="none" w:sz="0" w:space="0" w:color="auto"/>
      </w:divBdr>
    </w:div>
    <w:div w:id="1645353186">
      <w:marLeft w:val="0"/>
      <w:marRight w:val="0"/>
      <w:marTop w:val="0"/>
      <w:marBottom w:val="240"/>
      <w:divBdr>
        <w:top w:val="none" w:sz="0" w:space="0" w:color="auto"/>
        <w:left w:val="none" w:sz="0" w:space="0" w:color="auto"/>
        <w:bottom w:val="none" w:sz="0" w:space="0" w:color="auto"/>
        <w:right w:val="none" w:sz="0" w:space="0" w:color="auto"/>
      </w:divBdr>
    </w:div>
    <w:div w:id="1645769890">
      <w:marLeft w:val="0"/>
      <w:marRight w:val="0"/>
      <w:marTop w:val="0"/>
      <w:marBottom w:val="180"/>
      <w:divBdr>
        <w:top w:val="none" w:sz="0" w:space="0" w:color="auto"/>
        <w:left w:val="none" w:sz="0" w:space="0" w:color="auto"/>
        <w:bottom w:val="none" w:sz="0" w:space="0" w:color="auto"/>
        <w:right w:val="none" w:sz="0" w:space="0" w:color="auto"/>
      </w:divBdr>
    </w:div>
    <w:div w:id="1648246594">
      <w:marLeft w:val="0"/>
      <w:marRight w:val="0"/>
      <w:marTop w:val="0"/>
      <w:marBottom w:val="180"/>
      <w:divBdr>
        <w:top w:val="none" w:sz="0" w:space="0" w:color="auto"/>
        <w:left w:val="none" w:sz="0" w:space="0" w:color="auto"/>
        <w:bottom w:val="none" w:sz="0" w:space="0" w:color="auto"/>
        <w:right w:val="none" w:sz="0" w:space="0" w:color="auto"/>
      </w:divBdr>
    </w:div>
    <w:div w:id="1648897241">
      <w:marLeft w:val="0"/>
      <w:marRight w:val="0"/>
      <w:marTop w:val="0"/>
      <w:marBottom w:val="180"/>
      <w:divBdr>
        <w:top w:val="none" w:sz="0" w:space="0" w:color="auto"/>
        <w:left w:val="none" w:sz="0" w:space="0" w:color="auto"/>
        <w:bottom w:val="none" w:sz="0" w:space="0" w:color="auto"/>
        <w:right w:val="none" w:sz="0" w:space="0" w:color="auto"/>
      </w:divBdr>
    </w:div>
    <w:div w:id="1650209552">
      <w:marLeft w:val="0"/>
      <w:marRight w:val="0"/>
      <w:marTop w:val="180"/>
      <w:marBottom w:val="180"/>
      <w:divBdr>
        <w:top w:val="none" w:sz="0" w:space="0" w:color="auto"/>
        <w:left w:val="none" w:sz="0" w:space="0" w:color="auto"/>
        <w:bottom w:val="none" w:sz="0" w:space="0" w:color="auto"/>
        <w:right w:val="none" w:sz="0" w:space="0" w:color="auto"/>
      </w:divBdr>
    </w:div>
    <w:div w:id="1653410322">
      <w:marLeft w:val="0"/>
      <w:marRight w:val="0"/>
      <w:marTop w:val="0"/>
      <w:marBottom w:val="240"/>
      <w:divBdr>
        <w:top w:val="none" w:sz="0" w:space="0" w:color="auto"/>
        <w:left w:val="none" w:sz="0" w:space="0" w:color="auto"/>
        <w:bottom w:val="none" w:sz="0" w:space="0" w:color="auto"/>
        <w:right w:val="none" w:sz="0" w:space="0" w:color="auto"/>
      </w:divBdr>
    </w:div>
    <w:div w:id="1653606750">
      <w:marLeft w:val="0"/>
      <w:marRight w:val="0"/>
      <w:marTop w:val="0"/>
      <w:marBottom w:val="240"/>
      <w:divBdr>
        <w:top w:val="none" w:sz="0" w:space="0" w:color="auto"/>
        <w:left w:val="none" w:sz="0" w:space="0" w:color="auto"/>
        <w:bottom w:val="none" w:sz="0" w:space="0" w:color="auto"/>
        <w:right w:val="none" w:sz="0" w:space="0" w:color="auto"/>
      </w:divBdr>
    </w:div>
    <w:div w:id="1653826572">
      <w:marLeft w:val="0"/>
      <w:marRight w:val="0"/>
      <w:marTop w:val="360"/>
      <w:marBottom w:val="140"/>
      <w:divBdr>
        <w:top w:val="none" w:sz="0" w:space="0" w:color="auto"/>
        <w:left w:val="none" w:sz="0" w:space="0" w:color="auto"/>
        <w:bottom w:val="none" w:sz="0" w:space="0" w:color="auto"/>
        <w:right w:val="none" w:sz="0" w:space="0" w:color="auto"/>
      </w:divBdr>
    </w:div>
    <w:div w:id="1654872955">
      <w:marLeft w:val="0"/>
      <w:marRight w:val="0"/>
      <w:marTop w:val="0"/>
      <w:marBottom w:val="0"/>
      <w:divBdr>
        <w:top w:val="none" w:sz="0" w:space="0" w:color="auto"/>
        <w:left w:val="none" w:sz="0" w:space="0" w:color="auto"/>
        <w:bottom w:val="none" w:sz="0" w:space="0" w:color="auto"/>
        <w:right w:val="none" w:sz="0" w:space="0" w:color="auto"/>
      </w:divBdr>
    </w:div>
    <w:div w:id="1655134637">
      <w:marLeft w:val="0"/>
      <w:marRight w:val="0"/>
      <w:marTop w:val="180"/>
      <w:marBottom w:val="180"/>
      <w:divBdr>
        <w:top w:val="none" w:sz="0" w:space="0" w:color="auto"/>
        <w:left w:val="none" w:sz="0" w:space="0" w:color="auto"/>
        <w:bottom w:val="none" w:sz="0" w:space="0" w:color="auto"/>
        <w:right w:val="none" w:sz="0" w:space="0" w:color="auto"/>
      </w:divBdr>
    </w:div>
    <w:div w:id="1655908794">
      <w:marLeft w:val="0"/>
      <w:marRight w:val="0"/>
      <w:marTop w:val="0"/>
      <w:marBottom w:val="0"/>
      <w:divBdr>
        <w:top w:val="none" w:sz="0" w:space="0" w:color="auto"/>
        <w:left w:val="none" w:sz="0" w:space="0" w:color="auto"/>
        <w:bottom w:val="none" w:sz="0" w:space="0" w:color="auto"/>
        <w:right w:val="none" w:sz="0" w:space="0" w:color="auto"/>
      </w:divBdr>
      <w:divsChild>
        <w:div w:id="524750651">
          <w:marLeft w:val="0"/>
          <w:marRight w:val="0"/>
          <w:marTop w:val="0"/>
          <w:marBottom w:val="0"/>
          <w:divBdr>
            <w:top w:val="none" w:sz="0" w:space="0" w:color="auto"/>
            <w:left w:val="none" w:sz="0" w:space="0" w:color="auto"/>
            <w:bottom w:val="none" w:sz="0" w:space="0" w:color="auto"/>
            <w:right w:val="none" w:sz="0" w:space="0" w:color="auto"/>
          </w:divBdr>
        </w:div>
      </w:divsChild>
    </w:div>
    <w:div w:id="1657144566">
      <w:marLeft w:val="0"/>
      <w:marRight w:val="0"/>
      <w:marTop w:val="0"/>
      <w:marBottom w:val="0"/>
      <w:divBdr>
        <w:top w:val="none" w:sz="0" w:space="0" w:color="auto"/>
        <w:left w:val="none" w:sz="0" w:space="0" w:color="auto"/>
        <w:bottom w:val="none" w:sz="0" w:space="0" w:color="auto"/>
        <w:right w:val="none" w:sz="0" w:space="0" w:color="auto"/>
      </w:divBdr>
    </w:div>
    <w:div w:id="1658416039">
      <w:marLeft w:val="0"/>
      <w:marRight w:val="0"/>
      <w:marTop w:val="0"/>
      <w:marBottom w:val="0"/>
      <w:divBdr>
        <w:top w:val="none" w:sz="0" w:space="0" w:color="auto"/>
        <w:left w:val="none" w:sz="0" w:space="0" w:color="auto"/>
        <w:bottom w:val="none" w:sz="0" w:space="0" w:color="auto"/>
        <w:right w:val="none" w:sz="0" w:space="0" w:color="auto"/>
      </w:divBdr>
    </w:div>
    <w:div w:id="1658848593">
      <w:marLeft w:val="0"/>
      <w:marRight w:val="0"/>
      <w:marTop w:val="0"/>
      <w:marBottom w:val="0"/>
      <w:divBdr>
        <w:top w:val="none" w:sz="0" w:space="0" w:color="auto"/>
        <w:left w:val="none" w:sz="0" w:space="0" w:color="auto"/>
        <w:bottom w:val="none" w:sz="0" w:space="0" w:color="auto"/>
        <w:right w:val="none" w:sz="0" w:space="0" w:color="auto"/>
      </w:divBdr>
    </w:div>
    <w:div w:id="1662346227">
      <w:marLeft w:val="0"/>
      <w:marRight w:val="0"/>
      <w:marTop w:val="0"/>
      <w:marBottom w:val="0"/>
      <w:divBdr>
        <w:top w:val="none" w:sz="0" w:space="0" w:color="auto"/>
        <w:left w:val="none" w:sz="0" w:space="0" w:color="auto"/>
        <w:bottom w:val="none" w:sz="0" w:space="0" w:color="auto"/>
        <w:right w:val="none" w:sz="0" w:space="0" w:color="auto"/>
      </w:divBdr>
    </w:div>
    <w:div w:id="1663773527">
      <w:marLeft w:val="0"/>
      <w:marRight w:val="0"/>
      <w:marTop w:val="0"/>
      <w:marBottom w:val="0"/>
      <w:divBdr>
        <w:top w:val="none" w:sz="0" w:space="0" w:color="auto"/>
        <w:left w:val="none" w:sz="0" w:space="0" w:color="auto"/>
        <w:bottom w:val="none" w:sz="0" w:space="0" w:color="auto"/>
        <w:right w:val="none" w:sz="0" w:space="0" w:color="auto"/>
      </w:divBdr>
    </w:div>
    <w:div w:id="1664310766">
      <w:marLeft w:val="0"/>
      <w:marRight w:val="0"/>
      <w:marTop w:val="0"/>
      <w:marBottom w:val="240"/>
      <w:divBdr>
        <w:top w:val="none" w:sz="0" w:space="0" w:color="auto"/>
        <w:left w:val="none" w:sz="0" w:space="0" w:color="auto"/>
        <w:bottom w:val="none" w:sz="0" w:space="0" w:color="auto"/>
        <w:right w:val="none" w:sz="0" w:space="0" w:color="auto"/>
      </w:divBdr>
    </w:div>
    <w:div w:id="1664817786">
      <w:marLeft w:val="0"/>
      <w:marRight w:val="0"/>
      <w:marTop w:val="0"/>
      <w:marBottom w:val="0"/>
      <w:divBdr>
        <w:top w:val="none" w:sz="0" w:space="0" w:color="auto"/>
        <w:left w:val="none" w:sz="0" w:space="0" w:color="auto"/>
        <w:bottom w:val="none" w:sz="0" w:space="0" w:color="auto"/>
        <w:right w:val="none" w:sz="0" w:space="0" w:color="auto"/>
      </w:divBdr>
    </w:div>
    <w:div w:id="1664968753">
      <w:marLeft w:val="0"/>
      <w:marRight w:val="0"/>
      <w:marTop w:val="180"/>
      <w:marBottom w:val="180"/>
      <w:divBdr>
        <w:top w:val="none" w:sz="0" w:space="0" w:color="auto"/>
        <w:left w:val="none" w:sz="0" w:space="0" w:color="auto"/>
        <w:bottom w:val="none" w:sz="0" w:space="0" w:color="auto"/>
        <w:right w:val="none" w:sz="0" w:space="0" w:color="auto"/>
      </w:divBdr>
    </w:div>
    <w:div w:id="1665668904">
      <w:marLeft w:val="0"/>
      <w:marRight w:val="0"/>
      <w:marTop w:val="180"/>
      <w:marBottom w:val="180"/>
      <w:divBdr>
        <w:top w:val="none" w:sz="0" w:space="0" w:color="auto"/>
        <w:left w:val="none" w:sz="0" w:space="0" w:color="auto"/>
        <w:bottom w:val="none" w:sz="0" w:space="0" w:color="auto"/>
        <w:right w:val="none" w:sz="0" w:space="0" w:color="auto"/>
      </w:divBdr>
    </w:div>
    <w:div w:id="1665932306">
      <w:marLeft w:val="0"/>
      <w:marRight w:val="0"/>
      <w:marTop w:val="0"/>
      <w:marBottom w:val="240"/>
      <w:divBdr>
        <w:top w:val="none" w:sz="0" w:space="0" w:color="auto"/>
        <w:left w:val="none" w:sz="0" w:space="0" w:color="auto"/>
        <w:bottom w:val="none" w:sz="0" w:space="0" w:color="auto"/>
        <w:right w:val="none" w:sz="0" w:space="0" w:color="auto"/>
      </w:divBdr>
    </w:div>
    <w:div w:id="1667321071">
      <w:marLeft w:val="0"/>
      <w:marRight w:val="0"/>
      <w:marTop w:val="0"/>
      <w:marBottom w:val="240"/>
      <w:divBdr>
        <w:top w:val="none" w:sz="0" w:space="0" w:color="auto"/>
        <w:left w:val="none" w:sz="0" w:space="0" w:color="auto"/>
        <w:bottom w:val="none" w:sz="0" w:space="0" w:color="auto"/>
        <w:right w:val="none" w:sz="0" w:space="0" w:color="auto"/>
      </w:divBdr>
    </w:div>
    <w:div w:id="1667395664">
      <w:marLeft w:val="0"/>
      <w:marRight w:val="0"/>
      <w:marTop w:val="0"/>
      <w:marBottom w:val="180"/>
      <w:divBdr>
        <w:top w:val="none" w:sz="0" w:space="0" w:color="auto"/>
        <w:left w:val="none" w:sz="0" w:space="0" w:color="auto"/>
        <w:bottom w:val="none" w:sz="0" w:space="0" w:color="auto"/>
        <w:right w:val="none" w:sz="0" w:space="0" w:color="auto"/>
      </w:divBdr>
    </w:div>
    <w:div w:id="1667902621">
      <w:marLeft w:val="0"/>
      <w:marRight w:val="0"/>
      <w:marTop w:val="100"/>
      <w:marBottom w:val="180"/>
      <w:divBdr>
        <w:top w:val="none" w:sz="0" w:space="0" w:color="auto"/>
        <w:left w:val="none" w:sz="0" w:space="0" w:color="auto"/>
        <w:bottom w:val="none" w:sz="0" w:space="0" w:color="auto"/>
        <w:right w:val="none" w:sz="0" w:space="0" w:color="auto"/>
      </w:divBdr>
    </w:div>
    <w:div w:id="1668513731">
      <w:marLeft w:val="0"/>
      <w:marRight w:val="0"/>
      <w:marTop w:val="0"/>
      <w:marBottom w:val="240"/>
      <w:divBdr>
        <w:top w:val="none" w:sz="0" w:space="0" w:color="auto"/>
        <w:left w:val="none" w:sz="0" w:space="0" w:color="auto"/>
        <w:bottom w:val="none" w:sz="0" w:space="0" w:color="auto"/>
        <w:right w:val="none" w:sz="0" w:space="0" w:color="auto"/>
      </w:divBdr>
    </w:div>
    <w:div w:id="1669093813">
      <w:marLeft w:val="0"/>
      <w:marRight w:val="0"/>
      <w:marTop w:val="0"/>
      <w:marBottom w:val="180"/>
      <w:divBdr>
        <w:top w:val="none" w:sz="0" w:space="0" w:color="auto"/>
        <w:left w:val="none" w:sz="0" w:space="0" w:color="auto"/>
        <w:bottom w:val="none" w:sz="0" w:space="0" w:color="auto"/>
        <w:right w:val="none" w:sz="0" w:space="0" w:color="auto"/>
      </w:divBdr>
    </w:div>
    <w:div w:id="1671831350">
      <w:marLeft w:val="0"/>
      <w:marRight w:val="0"/>
      <w:marTop w:val="0"/>
      <w:marBottom w:val="0"/>
      <w:divBdr>
        <w:top w:val="none" w:sz="0" w:space="0" w:color="auto"/>
        <w:left w:val="none" w:sz="0" w:space="0" w:color="auto"/>
        <w:bottom w:val="none" w:sz="0" w:space="0" w:color="auto"/>
        <w:right w:val="none" w:sz="0" w:space="0" w:color="auto"/>
      </w:divBdr>
    </w:div>
    <w:div w:id="1672029874">
      <w:marLeft w:val="0"/>
      <w:marRight w:val="0"/>
      <w:marTop w:val="0"/>
      <w:marBottom w:val="180"/>
      <w:divBdr>
        <w:top w:val="none" w:sz="0" w:space="0" w:color="auto"/>
        <w:left w:val="none" w:sz="0" w:space="0" w:color="auto"/>
        <w:bottom w:val="none" w:sz="0" w:space="0" w:color="auto"/>
        <w:right w:val="none" w:sz="0" w:space="0" w:color="auto"/>
      </w:divBdr>
    </w:div>
    <w:div w:id="1672247238">
      <w:marLeft w:val="0"/>
      <w:marRight w:val="0"/>
      <w:marTop w:val="0"/>
      <w:marBottom w:val="240"/>
      <w:divBdr>
        <w:top w:val="none" w:sz="0" w:space="0" w:color="auto"/>
        <w:left w:val="none" w:sz="0" w:space="0" w:color="auto"/>
        <w:bottom w:val="none" w:sz="0" w:space="0" w:color="auto"/>
        <w:right w:val="none" w:sz="0" w:space="0" w:color="auto"/>
      </w:divBdr>
    </w:div>
    <w:div w:id="1675454018">
      <w:marLeft w:val="0"/>
      <w:marRight w:val="0"/>
      <w:marTop w:val="140"/>
      <w:marBottom w:val="240"/>
      <w:divBdr>
        <w:top w:val="none" w:sz="0" w:space="0" w:color="auto"/>
        <w:left w:val="none" w:sz="0" w:space="0" w:color="auto"/>
        <w:bottom w:val="none" w:sz="0" w:space="0" w:color="auto"/>
        <w:right w:val="none" w:sz="0" w:space="0" w:color="auto"/>
      </w:divBdr>
    </w:div>
    <w:div w:id="1675918401">
      <w:marLeft w:val="0"/>
      <w:marRight w:val="0"/>
      <w:marTop w:val="0"/>
      <w:marBottom w:val="0"/>
      <w:divBdr>
        <w:top w:val="none" w:sz="0" w:space="0" w:color="auto"/>
        <w:left w:val="none" w:sz="0" w:space="0" w:color="auto"/>
        <w:bottom w:val="none" w:sz="0" w:space="0" w:color="auto"/>
        <w:right w:val="none" w:sz="0" w:space="0" w:color="auto"/>
      </w:divBdr>
    </w:div>
    <w:div w:id="1676035335">
      <w:marLeft w:val="0"/>
      <w:marRight w:val="0"/>
      <w:marTop w:val="0"/>
      <w:marBottom w:val="180"/>
      <w:divBdr>
        <w:top w:val="none" w:sz="0" w:space="0" w:color="auto"/>
        <w:left w:val="none" w:sz="0" w:space="0" w:color="auto"/>
        <w:bottom w:val="none" w:sz="0" w:space="0" w:color="auto"/>
        <w:right w:val="none" w:sz="0" w:space="0" w:color="auto"/>
      </w:divBdr>
    </w:div>
    <w:div w:id="1676423640">
      <w:marLeft w:val="0"/>
      <w:marRight w:val="0"/>
      <w:marTop w:val="180"/>
      <w:marBottom w:val="180"/>
      <w:divBdr>
        <w:top w:val="none" w:sz="0" w:space="0" w:color="auto"/>
        <w:left w:val="none" w:sz="0" w:space="0" w:color="auto"/>
        <w:bottom w:val="none" w:sz="0" w:space="0" w:color="auto"/>
        <w:right w:val="none" w:sz="0" w:space="0" w:color="auto"/>
      </w:divBdr>
    </w:div>
    <w:div w:id="1676688406">
      <w:marLeft w:val="0"/>
      <w:marRight w:val="0"/>
      <w:marTop w:val="0"/>
      <w:marBottom w:val="0"/>
      <w:divBdr>
        <w:top w:val="none" w:sz="0" w:space="0" w:color="auto"/>
        <w:left w:val="none" w:sz="0" w:space="0" w:color="auto"/>
        <w:bottom w:val="none" w:sz="0" w:space="0" w:color="auto"/>
        <w:right w:val="none" w:sz="0" w:space="0" w:color="auto"/>
      </w:divBdr>
      <w:divsChild>
        <w:div w:id="858619889">
          <w:marLeft w:val="0"/>
          <w:marRight w:val="0"/>
          <w:marTop w:val="0"/>
          <w:marBottom w:val="0"/>
          <w:divBdr>
            <w:top w:val="none" w:sz="0" w:space="0" w:color="auto"/>
            <w:left w:val="none" w:sz="0" w:space="0" w:color="auto"/>
            <w:bottom w:val="none" w:sz="0" w:space="0" w:color="auto"/>
            <w:right w:val="none" w:sz="0" w:space="0" w:color="auto"/>
          </w:divBdr>
        </w:div>
      </w:divsChild>
    </w:div>
    <w:div w:id="1677225047">
      <w:marLeft w:val="0"/>
      <w:marRight w:val="0"/>
      <w:marTop w:val="0"/>
      <w:marBottom w:val="0"/>
      <w:divBdr>
        <w:top w:val="none" w:sz="0" w:space="0" w:color="auto"/>
        <w:left w:val="none" w:sz="0" w:space="0" w:color="auto"/>
        <w:bottom w:val="none" w:sz="0" w:space="0" w:color="auto"/>
        <w:right w:val="none" w:sz="0" w:space="0" w:color="auto"/>
      </w:divBdr>
      <w:divsChild>
        <w:div w:id="753014214">
          <w:marLeft w:val="0"/>
          <w:marRight w:val="0"/>
          <w:marTop w:val="0"/>
          <w:marBottom w:val="0"/>
          <w:divBdr>
            <w:top w:val="none" w:sz="0" w:space="0" w:color="auto"/>
            <w:left w:val="none" w:sz="0" w:space="0" w:color="auto"/>
            <w:bottom w:val="none" w:sz="0" w:space="0" w:color="auto"/>
            <w:right w:val="none" w:sz="0" w:space="0" w:color="auto"/>
          </w:divBdr>
        </w:div>
      </w:divsChild>
    </w:div>
    <w:div w:id="1677345876">
      <w:marLeft w:val="0"/>
      <w:marRight w:val="0"/>
      <w:marTop w:val="180"/>
      <w:marBottom w:val="180"/>
      <w:divBdr>
        <w:top w:val="none" w:sz="0" w:space="0" w:color="auto"/>
        <w:left w:val="none" w:sz="0" w:space="0" w:color="auto"/>
        <w:bottom w:val="none" w:sz="0" w:space="0" w:color="auto"/>
        <w:right w:val="none" w:sz="0" w:space="0" w:color="auto"/>
      </w:divBdr>
    </w:div>
    <w:div w:id="1678114875">
      <w:marLeft w:val="0"/>
      <w:marRight w:val="0"/>
      <w:marTop w:val="180"/>
      <w:marBottom w:val="180"/>
      <w:divBdr>
        <w:top w:val="none" w:sz="0" w:space="0" w:color="auto"/>
        <w:left w:val="none" w:sz="0" w:space="0" w:color="auto"/>
        <w:bottom w:val="none" w:sz="0" w:space="0" w:color="auto"/>
        <w:right w:val="none" w:sz="0" w:space="0" w:color="auto"/>
      </w:divBdr>
    </w:div>
    <w:div w:id="1679969158">
      <w:marLeft w:val="0"/>
      <w:marRight w:val="0"/>
      <w:marTop w:val="0"/>
      <w:marBottom w:val="0"/>
      <w:divBdr>
        <w:top w:val="none" w:sz="0" w:space="0" w:color="auto"/>
        <w:left w:val="none" w:sz="0" w:space="0" w:color="auto"/>
        <w:bottom w:val="none" w:sz="0" w:space="0" w:color="auto"/>
        <w:right w:val="none" w:sz="0" w:space="0" w:color="auto"/>
      </w:divBdr>
      <w:divsChild>
        <w:div w:id="1139229226">
          <w:marLeft w:val="0"/>
          <w:marRight w:val="0"/>
          <w:marTop w:val="0"/>
          <w:marBottom w:val="0"/>
          <w:divBdr>
            <w:top w:val="none" w:sz="0" w:space="0" w:color="auto"/>
            <w:left w:val="none" w:sz="0" w:space="0" w:color="auto"/>
            <w:bottom w:val="none" w:sz="0" w:space="0" w:color="auto"/>
            <w:right w:val="none" w:sz="0" w:space="0" w:color="auto"/>
          </w:divBdr>
        </w:div>
      </w:divsChild>
    </w:div>
    <w:div w:id="1682004168">
      <w:marLeft w:val="0"/>
      <w:marRight w:val="0"/>
      <w:marTop w:val="0"/>
      <w:marBottom w:val="240"/>
      <w:divBdr>
        <w:top w:val="none" w:sz="0" w:space="0" w:color="auto"/>
        <w:left w:val="none" w:sz="0" w:space="0" w:color="auto"/>
        <w:bottom w:val="none" w:sz="0" w:space="0" w:color="auto"/>
        <w:right w:val="none" w:sz="0" w:space="0" w:color="auto"/>
      </w:divBdr>
    </w:div>
    <w:div w:id="1682656835">
      <w:marLeft w:val="0"/>
      <w:marRight w:val="0"/>
      <w:marTop w:val="0"/>
      <w:marBottom w:val="240"/>
      <w:divBdr>
        <w:top w:val="none" w:sz="0" w:space="0" w:color="auto"/>
        <w:left w:val="none" w:sz="0" w:space="0" w:color="auto"/>
        <w:bottom w:val="none" w:sz="0" w:space="0" w:color="auto"/>
        <w:right w:val="none" w:sz="0" w:space="0" w:color="auto"/>
      </w:divBdr>
    </w:div>
    <w:div w:id="1682732509">
      <w:marLeft w:val="0"/>
      <w:marRight w:val="0"/>
      <w:marTop w:val="0"/>
      <w:marBottom w:val="240"/>
      <w:divBdr>
        <w:top w:val="none" w:sz="0" w:space="0" w:color="auto"/>
        <w:left w:val="none" w:sz="0" w:space="0" w:color="auto"/>
        <w:bottom w:val="none" w:sz="0" w:space="0" w:color="auto"/>
        <w:right w:val="none" w:sz="0" w:space="0" w:color="auto"/>
      </w:divBdr>
    </w:div>
    <w:div w:id="1682852487">
      <w:marLeft w:val="0"/>
      <w:marRight w:val="0"/>
      <w:marTop w:val="0"/>
      <w:marBottom w:val="180"/>
      <w:divBdr>
        <w:top w:val="none" w:sz="0" w:space="0" w:color="auto"/>
        <w:left w:val="none" w:sz="0" w:space="0" w:color="auto"/>
        <w:bottom w:val="none" w:sz="0" w:space="0" w:color="auto"/>
        <w:right w:val="none" w:sz="0" w:space="0" w:color="auto"/>
      </w:divBdr>
    </w:div>
    <w:div w:id="1683122725">
      <w:marLeft w:val="0"/>
      <w:marRight w:val="0"/>
      <w:marTop w:val="0"/>
      <w:marBottom w:val="180"/>
      <w:divBdr>
        <w:top w:val="none" w:sz="0" w:space="0" w:color="auto"/>
        <w:left w:val="none" w:sz="0" w:space="0" w:color="auto"/>
        <w:bottom w:val="none" w:sz="0" w:space="0" w:color="auto"/>
        <w:right w:val="none" w:sz="0" w:space="0" w:color="auto"/>
      </w:divBdr>
    </w:div>
    <w:div w:id="1685936647">
      <w:marLeft w:val="0"/>
      <w:marRight w:val="0"/>
      <w:marTop w:val="0"/>
      <w:marBottom w:val="0"/>
      <w:divBdr>
        <w:top w:val="none" w:sz="0" w:space="0" w:color="auto"/>
        <w:left w:val="none" w:sz="0" w:space="0" w:color="auto"/>
        <w:bottom w:val="none" w:sz="0" w:space="0" w:color="auto"/>
        <w:right w:val="none" w:sz="0" w:space="0" w:color="auto"/>
      </w:divBdr>
      <w:divsChild>
        <w:div w:id="1105735913">
          <w:marLeft w:val="0"/>
          <w:marRight w:val="0"/>
          <w:marTop w:val="0"/>
          <w:marBottom w:val="0"/>
          <w:divBdr>
            <w:top w:val="none" w:sz="0" w:space="0" w:color="auto"/>
            <w:left w:val="none" w:sz="0" w:space="0" w:color="auto"/>
            <w:bottom w:val="none" w:sz="0" w:space="0" w:color="auto"/>
            <w:right w:val="none" w:sz="0" w:space="0" w:color="auto"/>
          </w:divBdr>
        </w:div>
      </w:divsChild>
    </w:div>
    <w:div w:id="1686980712">
      <w:marLeft w:val="0"/>
      <w:marRight w:val="0"/>
      <w:marTop w:val="0"/>
      <w:marBottom w:val="240"/>
      <w:divBdr>
        <w:top w:val="none" w:sz="0" w:space="0" w:color="auto"/>
        <w:left w:val="none" w:sz="0" w:space="0" w:color="auto"/>
        <w:bottom w:val="none" w:sz="0" w:space="0" w:color="auto"/>
        <w:right w:val="none" w:sz="0" w:space="0" w:color="auto"/>
      </w:divBdr>
    </w:div>
    <w:div w:id="1687167495">
      <w:marLeft w:val="0"/>
      <w:marRight w:val="0"/>
      <w:marTop w:val="0"/>
      <w:marBottom w:val="240"/>
      <w:divBdr>
        <w:top w:val="none" w:sz="0" w:space="0" w:color="auto"/>
        <w:left w:val="none" w:sz="0" w:space="0" w:color="auto"/>
        <w:bottom w:val="none" w:sz="0" w:space="0" w:color="auto"/>
        <w:right w:val="none" w:sz="0" w:space="0" w:color="auto"/>
      </w:divBdr>
    </w:div>
    <w:div w:id="1687249736">
      <w:marLeft w:val="0"/>
      <w:marRight w:val="0"/>
      <w:marTop w:val="180"/>
      <w:marBottom w:val="180"/>
      <w:divBdr>
        <w:top w:val="none" w:sz="0" w:space="0" w:color="auto"/>
        <w:left w:val="none" w:sz="0" w:space="0" w:color="auto"/>
        <w:bottom w:val="none" w:sz="0" w:space="0" w:color="auto"/>
        <w:right w:val="none" w:sz="0" w:space="0" w:color="auto"/>
      </w:divBdr>
    </w:div>
    <w:div w:id="1687368114">
      <w:marLeft w:val="0"/>
      <w:marRight w:val="0"/>
      <w:marTop w:val="0"/>
      <w:marBottom w:val="180"/>
      <w:divBdr>
        <w:top w:val="none" w:sz="0" w:space="0" w:color="auto"/>
        <w:left w:val="none" w:sz="0" w:space="0" w:color="auto"/>
        <w:bottom w:val="none" w:sz="0" w:space="0" w:color="auto"/>
        <w:right w:val="none" w:sz="0" w:space="0" w:color="auto"/>
      </w:divBdr>
    </w:div>
    <w:div w:id="1688287345">
      <w:marLeft w:val="0"/>
      <w:marRight w:val="0"/>
      <w:marTop w:val="0"/>
      <w:marBottom w:val="0"/>
      <w:divBdr>
        <w:top w:val="none" w:sz="0" w:space="0" w:color="auto"/>
        <w:left w:val="none" w:sz="0" w:space="0" w:color="auto"/>
        <w:bottom w:val="none" w:sz="0" w:space="0" w:color="auto"/>
        <w:right w:val="none" w:sz="0" w:space="0" w:color="auto"/>
      </w:divBdr>
      <w:divsChild>
        <w:div w:id="1172070186">
          <w:marLeft w:val="0"/>
          <w:marRight w:val="0"/>
          <w:marTop w:val="0"/>
          <w:marBottom w:val="0"/>
          <w:divBdr>
            <w:top w:val="none" w:sz="0" w:space="0" w:color="auto"/>
            <w:left w:val="none" w:sz="0" w:space="0" w:color="auto"/>
            <w:bottom w:val="none" w:sz="0" w:space="0" w:color="auto"/>
            <w:right w:val="none" w:sz="0" w:space="0" w:color="auto"/>
          </w:divBdr>
        </w:div>
      </w:divsChild>
    </w:div>
    <w:div w:id="1688291993">
      <w:marLeft w:val="0"/>
      <w:marRight w:val="0"/>
      <w:marTop w:val="0"/>
      <w:marBottom w:val="180"/>
      <w:divBdr>
        <w:top w:val="none" w:sz="0" w:space="0" w:color="auto"/>
        <w:left w:val="none" w:sz="0" w:space="0" w:color="auto"/>
        <w:bottom w:val="none" w:sz="0" w:space="0" w:color="auto"/>
        <w:right w:val="none" w:sz="0" w:space="0" w:color="auto"/>
      </w:divBdr>
    </w:div>
    <w:div w:id="1689596669">
      <w:marLeft w:val="0"/>
      <w:marRight w:val="0"/>
      <w:marTop w:val="0"/>
      <w:marBottom w:val="0"/>
      <w:divBdr>
        <w:top w:val="none" w:sz="0" w:space="0" w:color="auto"/>
        <w:left w:val="none" w:sz="0" w:space="0" w:color="auto"/>
        <w:bottom w:val="none" w:sz="0" w:space="0" w:color="auto"/>
        <w:right w:val="none" w:sz="0" w:space="0" w:color="auto"/>
      </w:divBdr>
      <w:divsChild>
        <w:div w:id="749498835">
          <w:marLeft w:val="0"/>
          <w:marRight w:val="0"/>
          <w:marTop w:val="0"/>
          <w:marBottom w:val="0"/>
          <w:divBdr>
            <w:top w:val="none" w:sz="0" w:space="0" w:color="auto"/>
            <w:left w:val="none" w:sz="0" w:space="0" w:color="auto"/>
            <w:bottom w:val="none" w:sz="0" w:space="0" w:color="auto"/>
            <w:right w:val="none" w:sz="0" w:space="0" w:color="auto"/>
          </w:divBdr>
        </w:div>
      </w:divsChild>
    </w:div>
    <w:div w:id="1690453026">
      <w:marLeft w:val="0"/>
      <w:marRight w:val="0"/>
      <w:marTop w:val="0"/>
      <w:marBottom w:val="0"/>
      <w:divBdr>
        <w:top w:val="none" w:sz="0" w:space="0" w:color="auto"/>
        <w:left w:val="none" w:sz="0" w:space="0" w:color="auto"/>
        <w:bottom w:val="none" w:sz="0" w:space="0" w:color="auto"/>
        <w:right w:val="none" w:sz="0" w:space="0" w:color="auto"/>
      </w:divBdr>
    </w:div>
    <w:div w:id="1690715821">
      <w:marLeft w:val="0"/>
      <w:marRight w:val="0"/>
      <w:marTop w:val="0"/>
      <w:marBottom w:val="180"/>
      <w:divBdr>
        <w:top w:val="none" w:sz="0" w:space="0" w:color="auto"/>
        <w:left w:val="none" w:sz="0" w:space="0" w:color="auto"/>
        <w:bottom w:val="none" w:sz="0" w:space="0" w:color="auto"/>
        <w:right w:val="none" w:sz="0" w:space="0" w:color="auto"/>
      </w:divBdr>
    </w:div>
    <w:div w:id="1692103853">
      <w:marLeft w:val="0"/>
      <w:marRight w:val="0"/>
      <w:marTop w:val="0"/>
      <w:marBottom w:val="0"/>
      <w:divBdr>
        <w:top w:val="none" w:sz="0" w:space="0" w:color="auto"/>
        <w:left w:val="none" w:sz="0" w:space="0" w:color="auto"/>
        <w:bottom w:val="none" w:sz="0" w:space="0" w:color="auto"/>
        <w:right w:val="none" w:sz="0" w:space="0" w:color="auto"/>
      </w:divBdr>
      <w:divsChild>
        <w:div w:id="950355762">
          <w:marLeft w:val="0"/>
          <w:marRight w:val="0"/>
          <w:marTop w:val="0"/>
          <w:marBottom w:val="0"/>
          <w:divBdr>
            <w:top w:val="none" w:sz="0" w:space="0" w:color="auto"/>
            <w:left w:val="none" w:sz="0" w:space="0" w:color="auto"/>
            <w:bottom w:val="none" w:sz="0" w:space="0" w:color="auto"/>
            <w:right w:val="none" w:sz="0" w:space="0" w:color="auto"/>
          </w:divBdr>
        </w:div>
      </w:divsChild>
    </w:div>
    <w:div w:id="1692337769">
      <w:marLeft w:val="0"/>
      <w:marRight w:val="0"/>
      <w:marTop w:val="0"/>
      <w:marBottom w:val="240"/>
      <w:divBdr>
        <w:top w:val="none" w:sz="0" w:space="0" w:color="auto"/>
        <w:left w:val="none" w:sz="0" w:space="0" w:color="auto"/>
        <w:bottom w:val="none" w:sz="0" w:space="0" w:color="auto"/>
        <w:right w:val="none" w:sz="0" w:space="0" w:color="auto"/>
      </w:divBdr>
    </w:div>
    <w:div w:id="1692535480">
      <w:marLeft w:val="0"/>
      <w:marRight w:val="0"/>
      <w:marTop w:val="0"/>
      <w:marBottom w:val="180"/>
      <w:divBdr>
        <w:top w:val="none" w:sz="0" w:space="0" w:color="auto"/>
        <w:left w:val="none" w:sz="0" w:space="0" w:color="auto"/>
        <w:bottom w:val="none" w:sz="0" w:space="0" w:color="auto"/>
        <w:right w:val="none" w:sz="0" w:space="0" w:color="auto"/>
      </w:divBdr>
    </w:div>
    <w:div w:id="1692682578">
      <w:marLeft w:val="0"/>
      <w:marRight w:val="0"/>
      <w:marTop w:val="0"/>
      <w:marBottom w:val="180"/>
      <w:divBdr>
        <w:top w:val="none" w:sz="0" w:space="0" w:color="auto"/>
        <w:left w:val="none" w:sz="0" w:space="0" w:color="auto"/>
        <w:bottom w:val="none" w:sz="0" w:space="0" w:color="auto"/>
        <w:right w:val="none" w:sz="0" w:space="0" w:color="auto"/>
      </w:divBdr>
    </w:div>
    <w:div w:id="1692879082">
      <w:marLeft w:val="0"/>
      <w:marRight w:val="0"/>
      <w:marTop w:val="0"/>
      <w:marBottom w:val="0"/>
      <w:divBdr>
        <w:top w:val="none" w:sz="0" w:space="0" w:color="auto"/>
        <w:left w:val="none" w:sz="0" w:space="0" w:color="auto"/>
        <w:bottom w:val="none" w:sz="0" w:space="0" w:color="auto"/>
        <w:right w:val="none" w:sz="0" w:space="0" w:color="auto"/>
      </w:divBdr>
      <w:divsChild>
        <w:div w:id="1633711418">
          <w:marLeft w:val="0"/>
          <w:marRight w:val="0"/>
          <w:marTop w:val="0"/>
          <w:marBottom w:val="0"/>
          <w:divBdr>
            <w:top w:val="none" w:sz="0" w:space="0" w:color="auto"/>
            <w:left w:val="none" w:sz="0" w:space="0" w:color="auto"/>
            <w:bottom w:val="none" w:sz="0" w:space="0" w:color="auto"/>
            <w:right w:val="none" w:sz="0" w:space="0" w:color="auto"/>
          </w:divBdr>
        </w:div>
      </w:divsChild>
    </w:div>
    <w:div w:id="1692995991">
      <w:marLeft w:val="0"/>
      <w:marRight w:val="0"/>
      <w:marTop w:val="0"/>
      <w:marBottom w:val="240"/>
      <w:divBdr>
        <w:top w:val="none" w:sz="0" w:space="0" w:color="auto"/>
        <w:left w:val="none" w:sz="0" w:space="0" w:color="auto"/>
        <w:bottom w:val="none" w:sz="0" w:space="0" w:color="auto"/>
        <w:right w:val="none" w:sz="0" w:space="0" w:color="auto"/>
      </w:divBdr>
    </w:div>
    <w:div w:id="1693217775">
      <w:marLeft w:val="0"/>
      <w:marRight w:val="0"/>
      <w:marTop w:val="0"/>
      <w:marBottom w:val="0"/>
      <w:divBdr>
        <w:top w:val="none" w:sz="0" w:space="0" w:color="auto"/>
        <w:left w:val="none" w:sz="0" w:space="0" w:color="auto"/>
        <w:bottom w:val="none" w:sz="0" w:space="0" w:color="auto"/>
        <w:right w:val="none" w:sz="0" w:space="0" w:color="auto"/>
      </w:divBdr>
    </w:div>
    <w:div w:id="1693528884">
      <w:marLeft w:val="0"/>
      <w:marRight w:val="0"/>
      <w:marTop w:val="0"/>
      <w:marBottom w:val="0"/>
      <w:divBdr>
        <w:top w:val="none" w:sz="0" w:space="0" w:color="auto"/>
        <w:left w:val="none" w:sz="0" w:space="0" w:color="auto"/>
        <w:bottom w:val="none" w:sz="0" w:space="0" w:color="auto"/>
        <w:right w:val="none" w:sz="0" w:space="0" w:color="auto"/>
      </w:divBdr>
    </w:div>
    <w:div w:id="1694071919">
      <w:marLeft w:val="0"/>
      <w:marRight w:val="0"/>
      <w:marTop w:val="0"/>
      <w:marBottom w:val="0"/>
      <w:divBdr>
        <w:top w:val="none" w:sz="0" w:space="0" w:color="auto"/>
        <w:left w:val="none" w:sz="0" w:space="0" w:color="auto"/>
        <w:bottom w:val="none" w:sz="0" w:space="0" w:color="auto"/>
        <w:right w:val="none" w:sz="0" w:space="0" w:color="auto"/>
      </w:divBdr>
    </w:div>
    <w:div w:id="1694072712">
      <w:marLeft w:val="0"/>
      <w:marRight w:val="0"/>
      <w:marTop w:val="100"/>
      <w:marBottom w:val="0"/>
      <w:divBdr>
        <w:top w:val="none" w:sz="0" w:space="0" w:color="auto"/>
        <w:left w:val="none" w:sz="0" w:space="0" w:color="auto"/>
        <w:bottom w:val="none" w:sz="0" w:space="0" w:color="auto"/>
        <w:right w:val="none" w:sz="0" w:space="0" w:color="auto"/>
      </w:divBdr>
      <w:divsChild>
        <w:div w:id="1253200011">
          <w:marLeft w:val="0"/>
          <w:marRight w:val="0"/>
          <w:marTop w:val="0"/>
          <w:marBottom w:val="0"/>
          <w:divBdr>
            <w:top w:val="none" w:sz="0" w:space="0" w:color="auto"/>
            <w:left w:val="none" w:sz="0" w:space="0" w:color="auto"/>
            <w:bottom w:val="none" w:sz="0" w:space="0" w:color="auto"/>
            <w:right w:val="none" w:sz="0" w:space="0" w:color="auto"/>
          </w:divBdr>
        </w:div>
        <w:div w:id="101145707">
          <w:marLeft w:val="0"/>
          <w:marRight w:val="0"/>
          <w:marTop w:val="0"/>
          <w:marBottom w:val="0"/>
          <w:divBdr>
            <w:top w:val="none" w:sz="0" w:space="0" w:color="auto"/>
            <w:left w:val="none" w:sz="0" w:space="0" w:color="auto"/>
            <w:bottom w:val="none" w:sz="0" w:space="0" w:color="auto"/>
            <w:right w:val="none" w:sz="0" w:space="0" w:color="auto"/>
          </w:divBdr>
        </w:div>
        <w:div w:id="109207550">
          <w:marLeft w:val="0"/>
          <w:marRight w:val="0"/>
          <w:marTop w:val="0"/>
          <w:marBottom w:val="0"/>
          <w:divBdr>
            <w:top w:val="none" w:sz="0" w:space="0" w:color="auto"/>
            <w:left w:val="none" w:sz="0" w:space="0" w:color="auto"/>
            <w:bottom w:val="none" w:sz="0" w:space="0" w:color="auto"/>
            <w:right w:val="none" w:sz="0" w:space="0" w:color="auto"/>
          </w:divBdr>
        </w:div>
        <w:div w:id="1188760918">
          <w:marLeft w:val="0"/>
          <w:marRight w:val="0"/>
          <w:marTop w:val="0"/>
          <w:marBottom w:val="0"/>
          <w:divBdr>
            <w:top w:val="none" w:sz="0" w:space="0" w:color="auto"/>
            <w:left w:val="none" w:sz="0" w:space="0" w:color="auto"/>
            <w:bottom w:val="none" w:sz="0" w:space="0" w:color="auto"/>
            <w:right w:val="none" w:sz="0" w:space="0" w:color="auto"/>
          </w:divBdr>
        </w:div>
      </w:divsChild>
    </w:div>
    <w:div w:id="1694450972">
      <w:marLeft w:val="0"/>
      <w:marRight w:val="0"/>
      <w:marTop w:val="0"/>
      <w:marBottom w:val="240"/>
      <w:divBdr>
        <w:top w:val="none" w:sz="0" w:space="0" w:color="auto"/>
        <w:left w:val="none" w:sz="0" w:space="0" w:color="auto"/>
        <w:bottom w:val="none" w:sz="0" w:space="0" w:color="auto"/>
        <w:right w:val="none" w:sz="0" w:space="0" w:color="auto"/>
      </w:divBdr>
    </w:div>
    <w:div w:id="1694652499">
      <w:marLeft w:val="0"/>
      <w:marRight w:val="0"/>
      <w:marTop w:val="0"/>
      <w:marBottom w:val="0"/>
      <w:divBdr>
        <w:top w:val="none" w:sz="0" w:space="0" w:color="auto"/>
        <w:left w:val="none" w:sz="0" w:space="0" w:color="auto"/>
        <w:bottom w:val="none" w:sz="0" w:space="0" w:color="auto"/>
        <w:right w:val="none" w:sz="0" w:space="0" w:color="auto"/>
      </w:divBdr>
      <w:divsChild>
        <w:div w:id="494345864">
          <w:marLeft w:val="0"/>
          <w:marRight w:val="0"/>
          <w:marTop w:val="0"/>
          <w:marBottom w:val="0"/>
          <w:divBdr>
            <w:top w:val="none" w:sz="0" w:space="0" w:color="auto"/>
            <w:left w:val="none" w:sz="0" w:space="0" w:color="auto"/>
            <w:bottom w:val="none" w:sz="0" w:space="0" w:color="auto"/>
            <w:right w:val="none" w:sz="0" w:space="0" w:color="auto"/>
          </w:divBdr>
        </w:div>
      </w:divsChild>
    </w:div>
    <w:div w:id="1694959997">
      <w:marLeft w:val="0"/>
      <w:marRight w:val="0"/>
      <w:marTop w:val="0"/>
      <w:marBottom w:val="0"/>
      <w:divBdr>
        <w:top w:val="none" w:sz="0" w:space="0" w:color="auto"/>
        <w:left w:val="none" w:sz="0" w:space="0" w:color="auto"/>
        <w:bottom w:val="none" w:sz="0" w:space="0" w:color="auto"/>
        <w:right w:val="none" w:sz="0" w:space="0" w:color="auto"/>
      </w:divBdr>
    </w:div>
    <w:div w:id="1698778101">
      <w:marLeft w:val="0"/>
      <w:marRight w:val="0"/>
      <w:marTop w:val="0"/>
      <w:marBottom w:val="180"/>
      <w:divBdr>
        <w:top w:val="none" w:sz="0" w:space="0" w:color="auto"/>
        <w:left w:val="none" w:sz="0" w:space="0" w:color="auto"/>
        <w:bottom w:val="none" w:sz="0" w:space="0" w:color="auto"/>
        <w:right w:val="none" w:sz="0" w:space="0" w:color="auto"/>
      </w:divBdr>
    </w:div>
    <w:div w:id="1699038548">
      <w:marLeft w:val="0"/>
      <w:marRight w:val="0"/>
      <w:marTop w:val="180"/>
      <w:marBottom w:val="180"/>
      <w:divBdr>
        <w:top w:val="none" w:sz="0" w:space="0" w:color="auto"/>
        <w:left w:val="none" w:sz="0" w:space="0" w:color="auto"/>
        <w:bottom w:val="none" w:sz="0" w:space="0" w:color="auto"/>
        <w:right w:val="none" w:sz="0" w:space="0" w:color="auto"/>
      </w:divBdr>
    </w:div>
    <w:div w:id="1699428925">
      <w:marLeft w:val="0"/>
      <w:marRight w:val="0"/>
      <w:marTop w:val="0"/>
      <w:marBottom w:val="0"/>
      <w:divBdr>
        <w:top w:val="none" w:sz="0" w:space="0" w:color="auto"/>
        <w:left w:val="none" w:sz="0" w:space="0" w:color="auto"/>
        <w:bottom w:val="none" w:sz="0" w:space="0" w:color="auto"/>
        <w:right w:val="none" w:sz="0" w:space="0" w:color="auto"/>
      </w:divBdr>
      <w:divsChild>
        <w:div w:id="41055596">
          <w:marLeft w:val="0"/>
          <w:marRight w:val="0"/>
          <w:marTop w:val="0"/>
          <w:marBottom w:val="0"/>
          <w:divBdr>
            <w:top w:val="none" w:sz="0" w:space="0" w:color="auto"/>
            <w:left w:val="none" w:sz="0" w:space="0" w:color="auto"/>
            <w:bottom w:val="none" w:sz="0" w:space="0" w:color="auto"/>
            <w:right w:val="none" w:sz="0" w:space="0" w:color="auto"/>
          </w:divBdr>
        </w:div>
      </w:divsChild>
    </w:div>
    <w:div w:id="1699501722">
      <w:marLeft w:val="0"/>
      <w:marRight w:val="0"/>
      <w:marTop w:val="0"/>
      <w:marBottom w:val="0"/>
      <w:divBdr>
        <w:top w:val="none" w:sz="0" w:space="0" w:color="auto"/>
        <w:left w:val="none" w:sz="0" w:space="0" w:color="auto"/>
        <w:bottom w:val="none" w:sz="0" w:space="0" w:color="auto"/>
        <w:right w:val="none" w:sz="0" w:space="0" w:color="auto"/>
      </w:divBdr>
      <w:divsChild>
        <w:div w:id="2089762629">
          <w:marLeft w:val="0"/>
          <w:marRight w:val="0"/>
          <w:marTop w:val="0"/>
          <w:marBottom w:val="0"/>
          <w:divBdr>
            <w:top w:val="none" w:sz="0" w:space="0" w:color="auto"/>
            <w:left w:val="none" w:sz="0" w:space="0" w:color="auto"/>
            <w:bottom w:val="none" w:sz="0" w:space="0" w:color="auto"/>
            <w:right w:val="none" w:sz="0" w:space="0" w:color="auto"/>
          </w:divBdr>
        </w:div>
      </w:divsChild>
    </w:div>
    <w:div w:id="1700427268">
      <w:marLeft w:val="0"/>
      <w:marRight w:val="0"/>
      <w:marTop w:val="0"/>
      <w:marBottom w:val="0"/>
      <w:divBdr>
        <w:top w:val="none" w:sz="0" w:space="0" w:color="auto"/>
        <w:left w:val="none" w:sz="0" w:space="0" w:color="auto"/>
        <w:bottom w:val="none" w:sz="0" w:space="0" w:color="auto"/>
        <w:right w:val="none" w:sz="0" w:space="0" w:color="auto"/>
      </w:divBdr>
    </w:div>
    <w:div w:id="1700466901">
      <w:marLeft w:val="0"/>
      <w:marRight w:val="0"/>
      <w:marTop w:val="0"/>
      <w:marBottom w:val="240"/>
      <w:divBdr>
        <w:top w:val="none" w:sz="0" w:space="0" w:color="auto"/>
        <w:left w:val="none" w:sz="0" w:space="0" w:color="auto"/>
        <w:bottom w:val="none" w:sz="0" w:space="0" w:color="auto"/>
        <w:right w:val="none" w:sz="0" w:space="0" w:color="auto"/>
      </w:divBdr>
    </w:div>
    <w:div w:id="1701468556">
      <w:marLeft w:val="0"/>
      <w:marRight w:val="0"/>
      <w:marTop w:val="0"/>
      <w:marBottom w:val="180"/>
      <w:divBdr>
        <w:top w:val="none" w:sz="0" w:space="0" w:color="auto"/>
        <w:left w:val="none" w:sz="0" w:space="0" w:color="auto"/>
        <w:bottom w:val="none" w:sz="0" w:space="0" w:color="auto"/>
        <w:right w:val="none" w:sz="0" w:space="0" w:color="auto"/>
      </w:divBdr>
    </w:div>
    <w:div w:id="1701586854">
      <w:marLeft w:val="0"/>
      <w:marRight w:val="0"/>
      <w:marTop w:val="0"/>
      <w:marBottom w:val="180"/>
      <w:divBdr>
        <w:top w:val="none" w:sz="0" w:space="0" w:color="auto"/>
        <w:left w:val="none" w:sz="0" w:space="0" w:color="auto"/>
        <w:bottom w:val="none" w:sz="0" w:space="0" w:color="auto"/>
        <w:right w:val="none" w:sz="0" w:space="0" w:color="auto"/>
      </w:divBdr>
    </w:div>
    <w:div w:id="1701662104">
      <w:marLeft w:val="0"/>
      <w:marRight w:val="0"/>
      <w:marTop w:val="0"/>
      <w:marBottom w:val="0"/>
      <w:divBdr>
        <w:top w:val="none" w:sz="0" w:space="0" w:color="auto"/>
        <w:left w:val="none" w:sz="0" w:space="0" w:color="auto"/>
        <w:bottom w:val="none" w:sz="0" w:space="0" w:color="auto"/>
        <w:right w:val="none" w:sz="0" w:space="0" w:color="auto"/>
      </w:divBdr>
    </w:div>
    <w:div w:id="1703675185">
      <w:marLeft w:val="0"/>
      <w:marRight w:val="0"/>
      <w:marTop w:val="0"/>
      <w:marBottom w:val="240"/>
      <w:divBdr>
        <w:top w:val="none" w:sz="0" w:space="0" w:color="auto"/>
        <w:left w:val="none" w:sz="0" w:space="0" w:color="auto"/>
        <w:bottom w:val="none" w:sz="0" w:space="0" w:color="auto"/>
        <w:right w:val="none" w:sz="0" w:space="0" w:color="auto"/>
      </w:divBdr>
    </w:div>
    <w:div w:id="1704020462">
      <w:marLeft w:val="0"/>
      <w:marRight w:val="0"/>
      <w:marTop w:val="0"/>
      <w:marBottom w:val="0"/>
      <w:divBdr>
        <w:top w:val="none" w:sz="0" w:space="0" w:color="auto"/>
        <w:left w:val="none" w:sz="0" w:space="0" w:color="auto"/>
        <w:bottom w:val="none" w:sz="0" w:space="0" w:color="auto"/>
        <w:right w:val="none" w:sz="0" w:space="0" w:color="auto"/>
      </w:divBdr>
      <w:divsChild>
        <w:div w:id="814101624">
          <w:marLeft w:val="0"/>
          <w:marRight w:val="0"/>
          <w:marTop w:val="0"/>
          <w:marBottom w:val="0"/>
          <w:divBdr>
            <w:top w:val="none" w:sz="0" w:space="0" w:color="auto"/>
            <w:left w:val="none" w:sz="0" w:space="0" w:color="auto"/>
            <w:bottom w:val="none" w:sz="0" w:space="0" w:color="auto"/>
            <w:right w:val="none" w:sz="0" w:space="0" w:color="auto"/>
          </w:divBdr>
        </w:div>
      </w:divsChild>
    </w:div>
    <w:div w:id="1704087471">
      <w:marLeft w:val="0"/>
      <w:marRight w:val="0"/>
      <w:marTop w:val="0"/>
      <w:marBottom w:val="180"/>
      <w:divBdr>
        <w:top w:val="none" w:sz="0" w:space="0" w:color="auto"/>
        <w:left w:val="none" w:sz="0" w:space="0" w:color="auto"/>
        <w:bottom w:val="none" w:sz="0" w:space="0" w:color="auto"/>
        <w:right w:val="none" w:sz="0" w:space="0" w:color="auto"/>
      </w:divBdr>
    </w:div>
    <w:div w:id="1705135601">
      <w:marLeft w:val="0"/>
      <w:marRight w:val="0"/>
      <w:marTop w:val="0"/>
      <w:marBottom w:val="0"/>
      <w:divBdr>
        <w:top w:val="none" w:sz="0" w:space="0" w:color="auto"/>
        <w:left w:val="none" w:sz="0" w:space="0" w:color="auto"/>
        <w:bottom w:val="none" w:sz="0" w:space="0" w:color="auto"/>
        <w:right w:val="none" w:sz="0" w:space="0" w:color="auto"/>
      </w:divBdr>
    </w:div>
    <w:div w:id="1707215922">
      <w:marLeft w:val="0"/>
      <w:marRight w:val="0"/>
      <w:marTop w:val="0"/>
      <w:marBottom w:val="180"/>
      <w:divBdr>
        <w:top w:val="none" w:sz="0" w:space="0" w:color="auto"/>
        <w:left w:val="none" w:sz="0" w:space="0" w:color="auto"/>
        <w:bottom w:val="none" w:sz="0" w:space="0" w:color="auto"/>
        <w:right w:val="none" w:sz="0" w:space="0" w:color="auto"/>
      </w:divBdr>
    </w:div>
    <w:div w:id="1707558530">
      <w:marLeft w:val="0"/>
      <w:marRight w:val="0"/>
      <w:marTop w:val="0"/>
      <w:marBottom w:val="0"/>
      <w:divBdr>
        <w:top w:val="none" w:sz="0" w:space="0" w:color="auto"/>
        <w:left w:val="none" w:sz="0" w:space="0" w:color="auto"/>
        <w:bottom w:val="none" w:sz="0" w:space="0" w:color="auto"/>
        <w:right w:val="none" w:sz="0" w:space="0" w:color="auto"/>
      </w:divBdr>
    </w:div>
    <w:div w:id="1708487974">
      <w:marLeft w:val="0"/>
      <w:marRight w:val="0"/>
      <w:marTop w:val="0"/>
      <w:marBottom w:val="0"/>
      <w:divBdr>
        <w:top w:val="none" w:sz="0" w:space="0" w:color="auto"/>
        <w:left w:val="none" w:sz="0" w:space="0" w:color="auto"/>
        <w:bottom w:val="none" w:sz="0" w:space="0" w:color="auto"/>
        <w:right w:val="none" w:sz="0" w:space="0" w:color="auto"/>
      </w:divBdr>
    </w:div>
    <w:div w:id="1708791602">
      <w:marLeft w:val="0"/>
      <w:marRight w:val="0"/>
      <w:marTop w:val="100"/>
      <w:marBottom w:val="180"/>
      <w:divBdr>
        <w:top w:val="none" w:sz="0" w:space="0" w:color="auto"/>
        <w:left w:val="none" w:sz="0" w:space="0" w:color="auto"/>
        <w:bottom w:val="none" w:sz="0" w:space="0" w:color="auto"/>
        <w:right w:val="none" w:sz="0" w:space="0" w:color="auto"/>
      </w:divBdr>
    </w:div>
    <w:div w:id="1708871920">
      <w:marLeft w:val="0"/>
      <w:marRight w:val="0"/>
      <w:marTop w:val="0"/>
      <w:marBottom w:val="180"/>
      <w:divBdr>
        <w:top w:val="none" w:sz="0" w:space="0" w:color="auto"/>
        <w:left w:val="none" w:sz="0" w:space="0" w:color="auto"/>
        <w:bottom w:val="none" w:sz="0" w:space="0" w:color="auto"/>
        <w:right w:val="none" w:sz="0" w:space="0" w:color="auto"/>
      </w:divBdr>
    </w:div>
    <w:div w:id="1709144904">
      <w:marLeft w:val="0"/>
      <w:marRight w:val="0"/>
      <w:marTop w:val="0"/>
      <w:marBottom w:val="0"/>
      <w:divBdr>
        <w:top w:val="none" w:sz="0" w:space="0" w:color="auto"/>
        <w:left w:val="none" w:sz="0" w:space="0" w:color="auto"/>
        <w:bottom w:val="none" w:sz="0" w:space="0" w:color="auto"/>
        <w:right w:val="none" w:sz="0" w:space="0" w:color="auto"/>
      </w:divBdr>
      <w:divsChild>
        <w:div w:id="36785207">
          <w:marLeft w:val="0"/>
          <w:marRight w:val="0"/>
          <w:marTop w:val="0"/>
          <w:marBottom w:val="0"/>
          <w:divBdr>
            <w:top w:val="none" w:sz="0" w:space="0" w:color="auto"/>
            <w:left w:val="none" w:sz="0" w:space="0" w:color="auto"/>
            <w:bottom w:val="none" w:sz="0" w:space="0" w:color="auto"/>
            <w:right w:val="none" w:sz="0" w:space="0" w:color="auto"/>
          </w:divBdr>
        </w:div>
      </w:divsChild>
    </w:div>
    <w:div w:id="1711413550">
      <w:marLeft w:val="0"/>
      <w:marRight w:val="0"/>
      <w:marTop w:val="0"/>
      <w:marBottom w:val="180"/>
      <w:divBdr>
        <w:top w:val="none" w:sz="0" w:space="0" w:color="auto"/>
        <w:left w:val="none" w:sz="0" w:space="0" w:color="auto"/>
        <w:bottom w:val="none" w:sz="0" w:space="0" w:color="auto"/>
        <w:right w:val="none" w:sz="0" w:space="0" w:color="auto"/>
      </w:divBdr>
    </w:div>
    <w:div w:id="1711493788">
      <w:marLeft w:val="0"/>
      <w:marRight w:val="0"/>
      <w:marTop w:val="0"/>
      <w:marBottom w:val="0"/>
      <w:divBdr>
        <w:top w:val="none" w:sz="0" w:space="0" w:color="auto"/>
        <w:left w:val="none" w:sz="0" w:space="0" w:color="auto"/>
        <w:bottom w:val="none" w:sz="0" w:space="0" w:color="auto"/>
        <w:right w:val="none" w:sz="0" w:space="0" w:color="auto"/>
      </w:divBdr>
      <w:divsChild>
        <w:div w:id="640692527">
          <w:marLeft w:val="0"/>
          <w:marRight w:val="0"/>
          <w:marTop w:val="0"/>
          <w:marBottom w:val="0"/>
          <w:divBdr>
            <w:top w:val="none" w:sz="0" w:space="0" w:color="auto"/>
            <w:left w:val="none" w:sz="0" w:space="0" w:color="auto"/>
            <w:bottom w:val="none" w:sz="0" w:space="0" w:color="auto"/>
            <w:right w:val="none" w:sz="0" w:space="0" w:color="auto"/>
          </w:divBdr>
        </w:div>
      </w:divsChild>
    </w:div>
    <w:div w:id="1711609931">
      <w:marLeft w:val="0"/>
      <w:marRight w:val="0"/>
      <w:marTop w:val="0"/>
      <w:marBottom w:val="180"/>
      <w:divBdr>
        <w:top w:val="none" w:sz="0" w:space="0" w:color="auto"/>
        <w:left w:val="none" w:sz="0" w:space="0" w:color="auto"/>
        <w:bottom w:val="none" w:sz="0" w:space="0" w:color="auto"/>
        <w:right w:val="none" w:sz="0" w:space="0" w:color="auto"/>
      </w:divBdr>
    </w:div>
    <w:div w:id="1711758090">
      <w:marLeft w:val="0"/>
      <w:marRight w:val="0"/>
      <w:marTop w:val="100"/>
      <w:marBottom w:val="0"/>
      <w:divBdr>
        <w:top w:val="none" w:sz="0" w:space="0" w:color="auto"/>
        <w:left w:val="none" w:sz="0" w:space="0" w:color="auto"/>
        <w:bottom w:val="none" w:sz="0" w:space="0" w:color="auto"/>
        <w:right w:val="none" w:sz="0" w:space="0" w:color="auto"/>
      </w:divBdr>
      <w:divsChild>
        <w:div w:id="1923293645">
          <w:marLeft w:val="0"/>
          <w:marRight w:val="0"/>
          <w:marTop w:val="0"/>
          <w:marBottom w:val="0"/>
          <w:divBdr>
            <w:top w:val="none" w:sz="0" w:space="0" w:color="auto"/>
            <w:left w:val="none" w:sz="0" w:space="0" w:color="auto"/>
            <w:bottom w:val="none" w:sz="0" w:space="0" w:color="auto"/>
            <w:right w:val="none" w:sz="0" w:space="0" w:color="auto"/>
          </w:divBdr>
        </w:div>
        <w:div w:id="1173646025">
          <w:marLeft w:val="0"/>
          <w:marRight w:val="0"/>
          <w:marTop w:val="0"/>
          <w:marBottom w:val="0"/>
          <w:divBdr>
            <w:top w:val="none" w:sz="0" w:space="0" w:color="auto"/>
            <w:left w:val="none" w:sz="0" w:space="0" w:color="auto"/>
            <w:bottom w:val="none" w:sz="0" w:space="0" w:color="auto"/>
            <w:right w:val="none" w:sz="0" w:space="0" w:color="auto"/>
          </w:divBdr>
        </w:div>
        <w:div w:id="1221673432">
          <w:marLeft w:val="0"/>
          <w:marRight w:val="0"/>
          <w:marTop w:val="0"/>
          <w:marBottom w:val="0"/>
          <w:divBdr>
            <w:top w:val="none" w:sz="0" w:space="0" w:color="auto"/>
            <w:left w:val="none" w:sz="0" w:space="0" w:color="auto"/>
            <w:bottom w:val="none" w:sz="0" w:space="0" w:color="auto"/>
            <w:right w:val="none" w:sz="0" w:space="0" w:color="auto"/>
          </w:divBdr>
        </w:div>
        <w:div w:id="166604012">
          <w:marLeft w:val="0"/>
          <w:marRight w:val="0"/>
          <w:marTop w:val="0"/>
          <w:marBottom w:val="0"/>
          <w:divBdr>
            <w:top w:val="none" w:sz="0" w:space="0" w:color="auto"/>
            <w:left w:val="none" w:sz="0" w:space="0" w:color="auto"/>
            <w:bottom w:val="none" w:sz="0" w:space="0" w:color="auto"/>
            <w:right w:val="none" w:sz="0" w:space="0" w:color="auto"/>
          </w:divBdr>
        </w:div>
        <w:div w:id="2006009895">
          <w:marLeft w:val="0"/>
          <w:marRight w:val="0"/>
          <w:marTop w:val="0"/>
          <w:marBottom w:val="0"/>
          <w:divBdr>
            <w:top w:val="none" w:sz="0" w:space="0" w:color="auto"/>
            <w:left w:val="none" w:sz="0" w:space="0" w:color="auto"/>
            <w:bottom w:val="none" w:sz="0" w:space="0" w:color="auto"/>
            <w:right w:val="none" w:sz="0" w:space="0" w:color="auto"/>
          </w:divBdr>
        </w:div>
      </w:divsChild>
    </w:div>
    <w:div w:id="1711952637">
      <w:marLeft w:val="0"/>
      <w:marRight w:val="0"/>
      <w:marTop w:val="0"/>
      <w:marBottom w:val="240"/>
      <w:divBdr>
        <w:top w:val="none" w:sz="0" w:space="0" w:color="auto"/>
        <w:left w:val="none" w:sz="0" w:space="0" w:color="auto"/>
        <w:bottom w:val="none" w:sz="0" w:space="0" w:color="auto"/>
        <w:right w:val="none" w:sz="0" w:space="0" w:color="auto"/>
      </w:divBdr>
    </w:div>
    <w:div w:id="1712608742">
      <w:marLeft w:val="0"/>
      <w:marRight w:val="0"/>
      <w:marTop w:val="0"/>
      <w:marBottom w:val="0"/>
      <w:divBdr>
        <w:top w:val="none" w:sz="0" w:space="0" w:color="auto"/>
        <w:left w:val="none" w:sz="0" w:space="0" w:color="auto"/>
        <w:bottom w:val="none" w:sz="0" w:space="0" w:color="auto"/>
        <w:right w:val="none" w:sz="0" w:space="0" w:color="auto"/>
      </w:divBdr>
      <w:divsChild>
        <w:div w:id="740373854">
          <w:marLeft w:val="0"/>
          <w:marRight w:val="0"/>
          <w:marTop w:val="0"/>
          <w:marBottom w:val="0"/>
          <w:divBdr>
            <w:top w:val="none" w:sz="0" w:space="0" w:color="auto"/>
            <w:left w:val="none" w:sz="0" w:space="0" w:color="auto"/>
            <w:bottom w:val="none" w:sz="0" w:space="0" w:color="auto"/>
            <w:right w:val="none" w:sz="0" w:space="0" w:color="auto"/>
          </w:divBdr>
        </w:div>
      </w:divsChild>
    </w:div>
    <w:div w:id="1712611094">
      <w:marLeft w:val="0"/>
      <w:marRight w:val="0"/>
      <w:marTop w:val="0"/>
      <w:marBottom w:val="0"/>
      <w:divBdr>
        <w:top w:val="none" w:sz="0" w:space="0" w:color="auto"/>
        <w:left w:val="none" w:sz="0" w:space="0" w:color="auto"/>
        <w:bottom w:val="none" w:sz="0" w:space="0" w:color="auto"/>
        <w:right w:val="none" w:sz="0" w:space="0" w:color="auto"/>
      </w:divBdr>
    </w:div>
    <w:div w:id="1713648532">
      <w:marLeft w:val="0"/>
      <w:marRight w:val="0"/>
      <w:marTop w:val="0"/>
      <w:marBottom w:val="240"/>
      <w:divBdr>
        <w:top w:val="none" w:sz="0" w:space="0" w:color="auto"/>
        <w:left w:val="none" w:sz="0" w:space="0" w:color="auto"/>
        <w:bottom w:val="none" w:sz="0" w:space="0" w:color="auto"/>
        <w:right w:val="none" w:sz="0" w:space="0" w:color="auto"/>
      </w:divBdr>
    </w:div>
    <w:div w:id="1713848431">
      <w:marLeft w:val="0"/>
      <w:marRight w:val="0"/>
      <w:marTop w:val="0"/>
      <w:marBottom w:val="0"/>
      <w:divBdr>
        <w:top w:val="none" w:sz="0" w:space="0" w:color="auto"/>
        <w:left w:val="none" w:sz="0" w:space="0" w:color="auto"/>
        <w:bottom w:val="none" w:sz="0" w:space="0" w:color="auto"/>
        <w:right w:val="none" w:sz="0" w:space="0" w:color="auto"/>
      </w:divBdr>
    </w:div>
    <w:div w:id="1714385805">
      <w:marLeft w:val="0"/>
      <w:marRight w:val="0"/>
      <w:marTop w:val="0"/>
      <w:marBottom w:val="180"/>
      <w:divBdr>
        <w:top w:val="none" w:sz="0" w:space="0" w:color="auto"/>
        <w:left w:val="none" w:sz="0" w:space="0" w:color="auto"/>
        <w:bottom w:val="none" w:sz="0" w:space="0" w:color="auto"/>
        <w:right w:val="none" w:sz="0" w:space="0" w:color="auto"/>
      </w:divBdr>
    </w:div>
    <w:div w:id="1715078846">
      <w:marLeft w:val="0"/>
      <w:marRight w:val="0"/>
      <w:marTop w:val="120"/>
      <w:marBottom w:val="120"/>
      <w:divBdr>
        <w:top w:val="none" w:sz="0" w:space="0" w:color="auto"/>
        <w:left w:val="none" w:sz="0" w:space="0" w:color="auto"/>
        <w:bottom w:val="none" w:sz="0" w:space="0" w:color="auto"/>
        <w:right w:val="none" w:sz="0" w:space="0" w:color="auto"/>
      </w:divBdr>
    </w:div>
    <w:div w:id="1715081263">
      <w:marLeft w:val="0"/>
      <w:marRight w:val="0"/>
      <w:marTop w:val="0"/>
      <w:marBottom w:val="180"/>
      <w:divBdr>
        <w:top w:val="none" w:sz="0" w:space="0" w:color="auto"/>
        <w:left w:val="none" w:sz="0" w:space="0" w:color="auto"/>
        <w:bottom w:val="none" w:sz="0" w:space="0" w:color="auto"/>
        <w:right w:val="none" w:sz="0" w:space="0" w:color="auto"/>
      </w:divBdr>
    </w:div>
    <w:div w:id="1715154830">
      <w:marLeft w:val="0"/>
      <w:marRight w:val="0"/>
      <w:marTop w:val="0"/>
      <w:marBottom w:val="0"/>
      <w:divBdr>
        <w:top w:val="none" w:sz="0" w:space="0" w:color="auto"/>
        <w:left w:val="none" w:sz="0" w:space="0" w:color="auto"/>
        <w:bottom w:val="none" w:sz="0" w:space="0" w:color="auto"/>
        <w:right w:val="none" w:sz="0" w:space="0" w:color="auto"/>
      </w:divBdr>
    </w:div>
    <w:div w:id="1715229618">
      <w:marLeft w:val="0"/>
      <w:marRight w:val="0"/>
      <w:marTop w:val="0"/>
      <w:marBottom w:val="180"/>
      <w:divBdr>
        <w:top w:val="none" w:sz="0" w:space="0" w:color="auto"/>
        <w:left w:val="none" w:sz="0" w:space="0" w:color="auto"/>
        <w:bottom w:val="none" w:sz="0" w:space="0" w:color="auto"/>
        <w:right w:val="none" w:sz="0" w:space="0" w:color="auto"/>
      </w:divBdr>
    </w:div>
    <w:div w:id="1715231202">
      <w:marLeft w:val="0"/>
      <w:marRight w:val="0"/>
      <w:marTop w:val="180"/>
      <w:marBottom w:val="180"/>
      <w:divBdr>
        <w:top w:val="none" w:sz="0" w:space="0" w:color="auto"/>
        <w:left w:val="none" w:sz="0" w:space="0" w:color="auto"/>
        <w:bottom w:val="none" w:sz="0" w:space="0" w:color="auto"/>
        <w:right w:val="none" w:sz="0" w:space="0" w:color="auto"/>
      </w:divBdr>
    </w:div>
    <w:div w:id="1716196285">
      <w:marLeft w:val="0"/>
      <w:marRight w:val="0"/>
      <w:marTop w:val="0"/>
      <w:marBottom w:val="240"/>
      <w:divBdr>
        <w:top w:val="none" w:sz="0" w:space="0" w:color="auto"/>
        <w:left w:val="none" w:sz="0" w:space="0" w:color="auto"/>
        <w:bottom w:val="none" w:sz="0" w:space="0" w:color="auto"/>
        <w:right w:val="none" w:sz="0" w:space="0" w:color="auto"/>
      </w:divBdr>
    </w:div>
    <w:div w:id="1716663251">
      <w:marLeft w:val="0"/>
      <w:marRight w:val="0"/>
      <w:marTop w:val="180"/>
      <w:marBottom w:val="180"/>
      <w:divBdr>
        <w:top w:val="none" w:sz="0" w:space="0" w:color="auto"/>
        <w:left w:val="none" w:sz="0" w:space="0" w:color="auto"/>
        <w:bottom w:val="none" w:sz="0" w:space="0" w:color="auto"/>
        <w:right w:val="none" w:sz="0" w:space="0" w:color="auto"/>
      </w:divBdr>
    </w:div>
    <w:div w:id="1717122913">
      <w:marLeft w:val="0"/>
      <w:marRight w:val="0"/>
      <w:marTop w:val="0"/>
      <w:marBottom w:val="180"/>
      <w:divBdr>
        <w:top w:val="none" w:sz="0" w:space="0" w:color="auto"/>
        <w:left w:val="none" w:sz="0" w:space="0" w:color="auto"/>
        <w:bottom w:val="none" w:sz="0" w:space="0" w:color="auto"/>
        <w:right w:val="none" w:sz="0" w:space="0" w:color="auto"/>
      </w:divBdr>
    </w:div>
    <w:div w:id="1717466825">
      <w:marLeft w:val="0"/>
      <w:marRight w:val="0"/>
      <w:marTop w:val="0"/>
      <w:marBottom w:val="0"/>
      <w:divBdr>
        <w:top w:val="none" w:sz="0" w:space="0" w:color="auto"/>
        <w:left w:val="none" w:sz="0" w:space="0" w:color="auto"/>
        <w:bottom w:val="none" w:sz="0" w:space="0" w:color="auto"/>
        <w:right w:val="none" w:sz="0" w:space="0" w:color="auto"/>
      </w:divBdr>
    </w:div>
    <w:div w:id="1717898749">
      <w:marLeft w:val="0"/>
      <w:marRight w:val="0"/>
      <w:marTop w:val="0"/>
      <w:marBottom w:val="0"/>
      <w:divBdr>
        <w:top w:val="none" w:sz="0" w:space="0" w:color="auto"/>
        <w:left w:val="none" w:sz="0" w:space="0" w:color="auto"/>
        <w:bottom w:val="none" w:sz="0" w:space="0" w:color="auto"/>
        <w:right w:val="none" w:sz="0" w:space="0" w:color="auto"/>
      </w:divBdr>
      <w:divsChild>
        <w:div w:id="255410186">
          <w:marLeft w:val="0"/>
          <w:marRight w:val="0"/>
          <w:marTop w:val="0"/>
          <w:marBottom w:val="0"/>
          <w:divBdr>
            <w:top w:val="none" w:sz="0" w:space="0" w:color="auto"/>
            <w:left w:val="none" w:sz="0" w:space="0" w:color="auto"/>
            <w:bottom w:val="none" w:sz="0" w:space="0" w:color="auto"/>
            <w:right w:val="none" w:sz="0" w:space="0" w:color="auto"/>
          </w:divBdr>
        </w:div>
      </w:divsChild>
    </w:div>
    <w:div w:id="1718551284">
      <w:marLeft w:val="0"/>
      <w:marRight w:val="0"/>
      <w:marTop w:val="0"/>
      <w:marBottom w:val="180"/>
      <w:divBdr>
        <w:top w:val="none" w:sz="0" w:space="0" w:color="auto"/>
        <w:left w:val="none" w:sz="0" w:space="0" w:color="auto"/>
        <w:bottom w:val="none" w:sz="0" w:space="0" w:color="auto"/>
        <w:right w:val="none" w:sz="0" w:space="0" w:color="auto"/>
      </w:divBdr>
    </w:div>
    <w:div w:id="1718577840">
      <w:marLeft w:val="0"/>
      <w:marRight w:val="0"/>
      <w:marTop w:val="120"/>
      <w:marBottom w:val="240"/>
      <w:divBdr>
        <w:top w:val="none" w:sz="0" w:space="0" w:color="auto"/>
        <w:left w:val="none" w:sz="0" w:space="0" w:color="auto"/>
        <w:bottom w:val="none" w:sz="0" w:space="0" w:color="auto"/>
        <w:right w:val="none" w:sz="0" w:space="0" w:color="auto"/>
      </w:divBdr>
    </w:div>
    <w:div w:id="1719237588">
      <w:marLeft w:val="0"/>
      <w:marRight w:val="0"/>
      <w:marTop w:val="0"/>
      <w:marBottom w:val="0"/>
      <w:divBdr>
        <w:top w:val="none" w:sz="0" w:space="0" w:color="auto"/>
        <w:left w:val="none" w:sz="0" w:space="0" w:color="auto"/>
        <w:bottom w:val="none" w:sz="0" w:space="0" w:color="auto"/>
        <w:right w:val="none" w:sz="0" w:space="0" w:color="auto"/>
      </w:divBdr>
    </w:div>
    <w:div w:id="1720013357">
      <w:marLeft w:val="0"/>
      <w:marRight w:val="0"/>
      <w:marTop w:val="120"/>
      <w:marBottom w:val="120"/>
      <w:divBdr>
        <w:top w:val="none" w:sz="0" w:space="0" w:color="auto"/>
        <w:left w:val="none" w:sz="0" w:space="0" w:color="auto"/>
        <w:bottom w:val="none" w:sz="0" w:space="0" w:color="auto"/>
        <w:right w:val="none" w:sz="0" w:space="0" w:color="auto"/>
      </w:divBdr>
    </w:div>
    <w:div w:id="1722052146">
      <w:marLeft w:val="0"/>
      <w:marRight w:val="0"/>
      <w:marTop w:val="0"/>
      <w:marBottom w:val="180"/>
      <w:divBdr>
        <w:top w:val="none" w:sz="0" w:space="0" w:color="auto"/>
        <w:left w:val="none" w:sz="0" w:space="0" w:color="auto"/>
        <w:bottom w:val="none" w:sz="0" w:space="0" w:color="auto"/>
        <w:right w:val="none" w:sz="0" w:space="0" w:color="auto"/>
      </w:divBdr>
    </w:div>
    <w:div w:id="1722246461">
      <w:marLeft w:val="0"/>
      <w:marRight w:val="0"/>
      <w:marTop w:val="0"/>
      <w:marBottom w:val="0"/>
      <w:divBdr>
        <w:top w:val="none" w:sz="0" w:space="0" w:color="auto"/>
        <w:left w:val="none" w:sz="0" w:space="0" w:color="auto"/>
        <w:bottom w:val="none" w:sz="0" w:space="0" w:color="auto"/>
        <w:right w:val="none" w:sz="0" w:space="0" w:color="auto"/>
      </w:divBdr>
      <w:divsChild>
        <w:div w:id="184832909">
          <w:marLeft w:val="0"/>
          <w:marRight w:val="0"/>
          <w:marTop w:val="0"/>
          <w:marBottom w:val="0"/>
          <w:divBdr>
            <w:top w:val="none" w:sz="0" w:space="0" w:color="auto"/>
            <w:left w:val="none" w:sz="0" w:space="0" w:color="auto"/>
            <w:bottom w:val="none" w:sz="0" w:space="0" w:color="auto"/>
            <w:right w:val="none" w:sz="0" w:space="0" w:color="auto"/>
          </w:divBdr>
        </w:div>
      </w:divsChild>
    </w:div>
    <w:div w:id="1722823394">
      <w:marLeft w:val="0"/>
      <w:marRight w:val="0"/>
      <w:marTop w:val="0"/>
      <w:marBottom w:val="180"/>
      <w:divBdr>
        <w:top w:val="none" w:sz="0" w:space="0" w:color="auto"/>
        <w:left w:val="none" w:sz="0" w:space="0" w:color="auto"/>
        <w:bottom w:val="none" w:sz="0" w:space="0" w:color="auto"/>
        <w:right w:val="none" w:sz="0" w:space="0" w:color="auto"/>
      </w:divBdr>
    </w:div>
    <w:div w:id="1723871115">
      <w:marLeft w:val="0"/>
      <w:marRight w:val="0"/>
      <w:marTop w:val="0"/>
      <w:marBottom w:val="180"/>
      <w:divBdr>
        <w:top w:val="none" w:sz="0" w:space="0" w:color="auto"/>
        <w:left w:val="none" w:sz="0" w:space="0" w:color="auto"/>
        <w:bottom w:val="none" w:sz="0" w:space="0" w:color="auto"/>
        <w:right w:val="none" w:sz="0" w:space="0" w:color="auto"/>
      </w:divBdr>
    </w:div>
    <w:div w:id="1725136180">
      <w:marLeft w:val="0"/>
      <w:marRight w:val="0"/>
      <w:marTop w:val="0"/>
      <w:marBottom w:val="0"/>
      <w:divBdr>
        <w:top w:val="none" w:sz="0" w:space="0" w:color="auto"/>
        <w:left w:val="none" w:sz="0" w:space="0" w:color="auto"/>
        <w:bottom w:val="none" w:sz="0" w:space="0" w:color="auto"/>
        <w:right w:val="none" w:sz="0" w:space="0" w:color="auto"/>
      </w:divBdr>
      <w:divsChild>
        <w:div w:id="1694071936">
          <w:marLeft w:val="0"/>
          <w:marRight w:val="0"/>
          <w:marTop w:val="0"/>
          <w:marBottom w:val="0"/>
          <w:divBdr>
            <w:top w:val="none" w:sz="0" w:space="0" w:color="auto"/>
            <w:left w:val="none" w:sz="0" w:space="0" w:color="auto"/>
            <w:bottom w:val="none" w:sz="0" w:space="0" w:color="auto"/>
            <w:right w:val="none" w:sz="0" w:space="0" w:color="auto"/>
          </w:divBdr>
        </w:div>
      </w:divsChild>
    </w:div>
    <w:div w:id="1725174131">
      <w:marLeft w:val="0"/>
      <w:marRight w:val="0"/>
      <w:marTop w:val="0"/>
      <w:marBottom w:val="0"/>
      <w:divBdr>
        <w:top w:val="none" w:sz="0" w:space="0" w:color="auto"/>
        <w:left w:val="none" w:sz="0" w:space="0" w:color="auto"/>
        <w:bottom w:val="none" w:sz="0" w:space="0" w:color="auto"/>
        <w:right w:val="none" w:sz="0" w:space="0" w:color="auto"/>
      </w:divBdr>
      <w:divsChild>
        <w:div w:id="523906738">
          <w:marLeft w:val="0"/>
          <w:marRight w:val="0"/>
          <w:marTop w:val="0"/>
          <w:marBottom w:val="0"/>
          <w:divBdr>
            <w:top w:val="none" w:sz="0" w:space="0" w:color="auto"/>
            <w:left w:val="none" w:sz="0" w:space="0" w:color="auto"/>
            <w:bottom w:val="none" w:sz="0" w:space="0" w:color="auto"/>
            <w:right w:val="none" w:sz="0" w:space="0" w:color="auto"/>
          </w:divBdr>
        </w:div>
      </w:divsChild>
    </w:div>
    <w:div w:id="1727140899">
      <w:marLeft w:val="0"/>
      <w:marRight w:val="0"/>
      <w:marTop w:val="0"/>
      <w:marBottom w:val="0"/>
      <w:divBdr>
        <w:top w:val="none" w:sz="0" w:space="0" w:color="auto"/>
        <w:left w:val="none" w:sz="0" w:space="0" w:color="auto"/>
        <w:bottom w:val="none" w:sz="0" w:space="0" w:color="auto"/>
        <w:right w:val="none" w:sz="0" w:space="0" w:color="auto"/>
      </w:divBdr>
    </w:div>
    <w:div w:id="1729305007">
      <w:marLeft w:val="0"/>
      <w:marRight w:val="0"/>
      <w:marTop w:val="0"/>
      <w:marBottom w:val="0"/>
      <w:divBdr>
        <w:top w:val="none" w:sz="0" w:space="0" w:color="auto"/>
        <w:left w:val="none" w:sz="0" w:space="0" w:color="auto"/>
        <w:bottom w:val="none" w:sz="0" w:space="0" w:color="auto"/>
        <w:right w:val="none" w:sz="0" w:space="0" w:color="auto"/>
      </w:divBdr>
      <w:divsChild>
        <w:div w:id="1273392765">
          <w:marLeft w:val="0"/>
          <w:marRight w:val="0"/>
          <w:marTop w:val="0"/>
          <w:marBottom w:val="0"/>
          <w:divBdr>
            <w:top w:val="none" w:sz="0" w:space="0" w:color="auto"/>
            <w:left w:val="none" w:sz="0" w:space="0" w:color="auto"/>
            <w:bottom w:val="none" w:sz="0" w:space="0" w:color="auto"/>
            <w:right w:val="none" w:sz="0" w:space="0" w:color="auto"/>
          </w:divBdr>
        </w:div>
      </w:divsChild>
    </w:div>
    <w:div w:id="1729567303">
      <w:marLeft w:val="0"/>
      <w:marRight w:val="0"/>
      <w:marTop w:val="0"/>
      <w:marBottom w:val="0"/>
      <w:divBdr>
        <w:top w:val="none" w:sz="0" w:space="0" w:color="auto"/>
        <w:left w:val="none" w:sz="0" w:space="0" w:color="auto"/>
        <w:bottom w:val="none" w:sz="0" w:space="0" w:color="auto"/>
        <w:right w:val="none" w:sz="0" w:space="0" w:color="auto"/>
      </w:divBdr>
    </w:div>
    <w:div w:id="1730809677">
      <w:marLeft w:val="0"/>
      <w:marRight w:val="0"/>
      <w:marTop w:val="0"/>
      <w:marBottom w:val="180"/>
      <w:divBdr>
        <w:top w:val="none" w:sz="0" w:space="0" w:color="auto"/>
        <w:left w:val="none" w:sz="0" w:space="0" w:color="auto"/>
        <w:bottom w:val="none" w:sz="0" w:space="0" w:color="auto"/>
        <w:right w:val="none" w:sz="0" w:space="0" w:color="auto"/>
      </w:divBdr>
    </w:div>
    <w:div w:id="1730953144">
      <w:marLeft w:val="0"/>
      <w:marRight w:val="0"/>
      <w:marTop w:val="120"/>
      <w:marBottom w:val="120"/>
      <w:divBdr>
        <w:top w:val="none" w:sz="0" w:space="0" w:color="auto"/>
        <w:left w:val="none" w:sz="0" w:space="0" w:color="auto"/>
        <w:bottom w:val="none" w:sz="0" w:space="0" w:color="auto"/>
        <w:right w:val="none" w:sz="0" w:space="0" w:color="auto"/>
      </w:divBdr>
    </w:div>
    <w:div w:id="1731421848">
      <w:marLeft w:val="0"/>
      <w:marRight w:val="0"/>
      <w:marTop w:val="0"/>
      <w:marBottom w:val="180"/>
      <w:divBdr>
        <w:top w:val="none" w:sz="0" w:space="0" w:color="auto"/>
        <w:left w:val="none" w:sz="0" w:space="0" w:color="auto"/>
        <w:bottom w:val="none" w:sz="0" w:space="0" w:color="auto"/>
        <w:right w:val="none" w:sz="0" w:space="0" w:color="auto"/>
      </w:divBdr>
    </w:div>
    <w:div w:id="1732073167">
      <w:marLeft w:val="0"/>
      <w:marRight w:val="0"/>
      <w:marTop w:val="180"/>
      <w:marBottom w:val="180"/>
      <w:divBdr>
        <w:top w:val="none" w:sz="0" w:space="0" w:color="auto"/>
        <w:left w:val="none" w:sz="0" w:space="0" w:color="auto"/>
        <w:bottom w:val="none" w:sz="0" w:space="0" w:color="auto"/>
        <w:right w:val="none" w:sz="0" w:space="0" w:color="auto"/>
      </w:divBdr>
    </w:div>
    <w:div w:id="1735542080">
      <w:marLeft w:val="0"/>
      <w:marRight w:val="0"/>
      <w:marTop w:val="100"/>
      <w:marBottom w:val="240"/>
      <w:divBdr>
        <w:top w:val="none" w:sz="0" w:space="0" w:color="auto"/>
        <w:left w:val="none" w:sz="0" w:space="0" w:color="auto"/>
        <w:bottom w:val="none" w:sz="0" w:space="0" w:color="auto"/>
        <w:right w:val="none" w:sz="0" w:space="0" w:color="auto"/>
      </w:divBdr>
    </w:div>
    <w:div w:id="1735854492">
      <w:marLeft w:val="0"/>
      <w:marRight w:val="0"/>
      <w:marTop w:val="0"/>
      <w:marBottom w:val="0"/>
      <w:divBdr>
        <w:top w:val="none" w:sz="0" w:space="0" w:color="auto"/>
        <w:left w:val="none" w:sz="0" w:space="0" w:color="auto"/>
        <w:bottom w:val="none" w:sz="0" w:space="0" w:color="auto"/>
        <w:right w:val="none" w:sz="0" w:space="0" w:color="auto"/>
      </w:divBdr>
    </w:div>
    <w:div w:id="1736081078">
      <w:marLeft w:val="0"/>
      <w:marRight w:val="0"/>
      <w:marTop w:val="180"/>
      <w:marBottom w:val="180"/>
      <w:divBdr>
        <w:top w:val="none" w:sz="0" w:space="0" w:color="auto"/>
        <w:left w:val="none" w:sz="0" w:space="0" w:color="auto"/>
        <w:bottom w:val="none" w:sz="0" w:space="0" w:color="auto"/>
        <w:right w:val="none" w:sz="0" w:space="0" w:color="auto"/>
      </w:divBdr>
    </w:div>
    <w:div w:id="1737391025">
      <w:marLeft w:val="0"/>
      <w:marRight w:val="0"/>
      <w:marTop w:val="0"/>
      <w:marBottom w:val="180"/>
      <w:divBdr>
        <w:top w:val="none" w:sz="0" w:space="0" w:color="auto"/>
        <w:left w:val="none" w:sz="0" w:space="0" w:color="auto"/>
        <w:bottom w:val="none" w:sz="0" w:space="0" w:color="auto"/>
        <w:right w:val="none" w:sz="0" w:space="0" w:color="auto"/>
      </w:divBdr>
    </w:div>
    <w:div w:id="1739789601">
      <w:marLeft w:val="0"/>
      <w:marRight w:val="0"/>
      <w:marTop w:val="100"/>
      <w:marBottom w:val="0"/>
      <w:divBdr>
        <w:top w:val="none" w:sz="0" w:space="0" w:color="auto"/>
        <w:left w:val="none" w:sz="0" w:space="0" w:color="auto"/>
        <w:bottom w:val="none" w:sz="0" w:space="0" w:color="auto"/>
        <w:right w:val="none" w:sz="0" w:space="0" w:color="auto"/>
      </w:divBdr>
    </w:div>
    <w:div w:id="1739939552">
      <w:marLeft w:val="0"/>
      <w:marRight w:val="0"/>
      <w:marTop w:val="0"/>
      <w:marBottom w:val="0"/>
      <w:divBdr>
        <w:top w:val="none" w:sz="0" w:space="0" w:color="auto"/>
        <w:left w:val="none" w:sz="0" w:space="0" w:color="auto"/>
        <w:bottom w:val="none" w:sz="0" w:space="0" w:color="auto"/>
        <w:right w:val="none" w:sz="0" w:space="0" w:color="auto"/>
      </w:divBdr>
      <w:divsChild>
        <w:div w:id="289435064">
          <w:marLeft w:val="0"/>
          <w:marRight w:val="0"/>
          <w:marTop w:val="0"/>
          <w:marBottom w:val="0"/>
          <w:divBdr>
            <w:top w:val="none" w:sz="0" w:space="0" w:color="auto"/>
            <w:left w:val="none" w:sz="0" w:space="0" w:color="auto"/>
            <w:bottom w:val="none" w:sz="0" w:space="0" w:color="auto"/>
            <w:right w:val="none" w:sz="0" w:space="0" w:color="auto"/>
          </w:divBdr>
        </w:div>
      </w:divsChild>
    </w:div>
    <w:div w:id="1740010028">
      <w:marLeft w:val="0"/>
      <w:marRight w:val="0"/>
      <w:marTop w:val="0"/>
      <w:marBottom w:val="240"/>
      <w:divBdr>
        <w:top w:val="none" w:sz="0" w:space="0" w:color="auto"/>
        <w:left w:val="none" w:sz="0" w:space="0" w:color="auto"/>
        <w:bottom w:val="none" w:sz="0" w:space="0" w:color="auto"/>
        <w:right w:val="none" w:sz="0" w:space="0" w:color="auto"/>
      </w:divBdr>
    </w:div>
    <w:div w:id="1740515778">
      <w:marLeft w:val="0"/>
      <w:marRight w:val="0"/>
      <w:marTop w:val="0"/>
      <w:marBottom w:val="180"/>
      <w:divBdr>
        <w:top w:val="none" w:sz="0" w:space="0" w:color="auto"/>
        <w:left w:val="none" w:sz="0" w:space="0" w:color="auto"/>
        <w:bottom w:val="none" w:sz="0" w:space="0" w:color="auto"/>
        <w:right w:val="none" w:sz="0" w:space="0" w:color="auto"/>
      </w:divBdr>
    </w:div>
    <w:div w:id="1741706193">
      <w:marLeft w:val="0"/>
      <w:marRight w:val="0"/>
      <w:marTop w:val="0"/>
      <w:marBottom w:val="0"/>
      <w:divBdr>
        <w:top w:val="none" w:sz="0" w:space="0" w:color="auto"/>
        <w:left w:val="none" w:sz="0" w:space="0" w:color="auto"/>
        <w:bottom w:val="none" w:sz="0" w:space="0" w:color="auto"/>
        <w:right w:val="none" w:sz="0" w:space="0" w:color="auto"/>
      </w:divBdr>
    </w:div>
    <w:div w:id="1741977499">
      <w:marLeft w:val="0"/>
      <w:marRight w:val="0"/>
      <w:marTop w:val="0"/>
      <w:marBottom w:val="0"/>
      <w:divBdr>
        <w:top w:val="none" w:sz="0" w:space="0" w:color="auto"/>
        <w:left w:val="none" w:sz="0" w:space="0" w:color="auto"/>
        <w:bottom w:val="none" w:sz="0" w:space="0" w:color="auto"/>
        <w:right w:val="none" w:sz="0" w:space="0" w:color="auto"/>
      </w:divBdr>
      <w:divsChild>
        <w:div w:id="1594049443">
          <w:marLeft w:val="0"/>
          <w:marRight w:val="0"/>
          <w:marTop w:val="0"/>
          <w:marBottom w:val="0"/>
          <w:divBdr>
            <w:top w:val="none" w:sz="0" w:space="0" w:color="auto"/>
            <w:left w:val="none" w:sz="0" w:space="0" w:color="auto"/>
            <w:bottom w:val="none" w:sz="0" w:space="0" w:color="auto"/>
            <w:right w:val="none" w:sz="0" w:space="0" w:color="auto"/>
          </w:divBdr>
        </w:div>
      </w:divsChild>
    </w:div>
    <w:div w:id="1742629483">
      <w:marLeft w:val="0"/>
      <w:marRight w:val="0"/>
      <w:marTop w:val="120"/>
      <w:marBottom w:val="180"/>
      <w:divBdr>
        <w:top w:val="none" w:sz="0" w:space="0" w:color="auto"/>
        <w:left w:val="none" w:sz="0" w:space="0" w:color="auto"/>
        <w:bottom w:val="none" w:sz="0" w:space="0" w:color="auto"/>
        <w:right w:val="none" w:sz="0" w:space="0" w:color="auto"/>
      </w:divBdr>
    </w:div>
    <w:div w:id="1746107195">
      <w:marLeft w:val="0"/>
      <w:marRight w:val="0"/>
      <w:marTop w:val="120"/>
      <w:marBottom w:val="120"/>
      <w:divBdr>
        <w:top w:val="none" w:sz="0" w:space="0" w:color="auto"/>
        <w:left w:val="none" w:sz="0" w:space="0" w:color="auto"/>
        <w:bottom w:val="none" w:sz="0" w:space="0" w:color="auto"/>
        <w:right w:val="none" w:sz="0" w:space="0" w:color="auto"/>
      </w:divBdr>
    </w:div>
    <w:div w:id="1746608601">
      <w:marLeft w:val="0"/>
      <w:marRight w:val="0"/>
      <w:marTop w:val="0"/>
      <w:marBottom w:val="0"/>
      <w:divBdr>
        <w:top w:val="none" w:sz="0" w:space="0" w:color="auto"/>
        <w:left w:val="none" w:sz="0" w:space="0" w:color="auto"/>
        <w:bottom w:val="none" w:sz="0" w:space="0" w:color="auto"/>
        <w:right w:val="none" w:sz="0" w:space="0" w:color="auto"/>
      </w:divBdr>
    </w:div>
    <w:div w:id="1747920898">
      <w:marLeft w:val="0"/>
      <w:marRight w:val="0"/>
      <w:marTop w:val="0"/>
      <w:marBottom w:val="180"/>
      <w:divBdr>
        <w:top w:val="none" w:sz="0" w:space="0" w:color="auto"/>
        <w:left w:val="none" w:sz="0" w:space="0" w:color="auto"/>
        <w:bottom w:val="none" w:sz="0" w:space="0" w:color="auto"/>
        <w:right w:val="none" w:sz="0" w:space="0" w:color="auto"/>
      </w:divBdr>
    </w:div>
    <w:div w:id="1748307369">
      <w:marLeft w:val="0"/>
      <w:marRight w:val="0"/>
      <w:marTop w:val="0"/>
      <w:marBottom w:val="180"/>
      <w:divBdr>
        <w:top w:val="none" w:sz="0" w:space="0" w:color="auto"/>
        <w:left w:val="none" w:sz="0" w:space="0" w:color="auto"/>
        <w:bottom w:val="none" w:sz="0" w:space="0" w:color="auto"/>
        <w:right w:val="none" w:sz="0" w:space="0" w:color="auto"/>
      </w:divBdr>
    </w:div>
    <w:div w:id="1749418489">
      <w:marLeft w:val="0"/>
      <w:marRight w:val="0"/>
      <w:marTop w:val="0"/>
      <w:marBottom w:val="0"/>
      <w:divBdr>
        <w:top w:val="none" w:sz="0" w:space="0" w:color="auto"/>
        <w:left w:val="none" w:sz="0" w:space="0" w:color="auto"/>
        <w:bottom w:val="none" w:sz="0" w:space="0" w:color="auto"/>
        <w:right w:val="none" w:sz="0" w:space="0" w:color="auto"/>
      </w:divBdr>
    </w:div>
    <w:div w:id="1750498187">
      <w:marLeft w:val="0"/>
      <w:marRight w:val="0"/>
      <w:marTop w:val="0"/>
      <w:marBottom w:val="180"/>
      <w:divBdr>
        <w:top w:val="none" w:sz="0" w:space="0" w:color="auto"/>
        <w:left w:val="none" w:sz="0" w:space="0" w:color="auto"/>
        <w:bottom w:val="none" w:sz="0" w:space="0" w:color="auto"/>
        <w:right w:val="none" w:sz="0" w:space="0" w:color="auto"/>
      </w:divBdr>
    </w:div>
    <w:div w:id="1751195791">
      <w:marLeft w:val="0"/>
      <w:marRight w:val="0"/>
      <w:marTop w:val="0"/>
      <w:marBottom w:val="180"/>
      <w:divBdr>
        <w:top w:val="none" w:sz="0" w:space="0" w:color="auto"/>
        <w:left w:val="none" w:sz="0" w:space="0" w:color="auto"/>
        <w:bottom w:val="none" w:sz="0" w:space="0" w:color="auto"/>
        <w:right w:val="none" w:sz="0" w:space="0" w:color="auto"/>
      </w:divBdr>
    </w:div>
    <w:div w:id="1751349239">
      <w:marLeft w:val="0"/>
      <w:marRight w:val="0"/>
      <w:marTop w:val="0"/>
      <w:marBottom w:val="0"/>
      <w:divBdr>
        <w:top w:val="none" w:sz="0" w:space="0" w:color="auto"/>
        <w:left w:val="none" w:sz="0" w:space="0" w:color="auto"/>
        <w:bottom w:val="none" w:sz="0" w:space="0" w:color="auto"/>
        <w:right w:val="none" w:sz="0" w:space="0" w:color="auto"/>
      </w:divBdr>
      <w:divsChild>
        <w:div w:id="1874346048">
          <w:marLeft w:val="0"/>
          <w:marRight w:val="0"/>
          <w:marTop w:val="0"/>
          <w:marBottom w:val="0"/>
          <w:divBdr>
            <w:top w:val="none" w:sz="0" w:space="0" w:color="auto"/>
            <w:left w:val="none" w:sz="0" w:space="0" w:color="auto"/>
            <w:bottom w:val="none" w:sz="0" w:space="0" w:color="auto"/>
            <w:right w:val="none" w:sz="0" w:space="0" w:color="auto"/>
          </w:divBdr>
        </w:div>
      </w:divsChild>
    </w:div>
    <w:div w:id="1751388095">
      <w:marLeft w:val="0"/>
      <w:marRight w:val="0"/>
      <w:marTop w:val="0"/>
      <w:marBottom w:val="180"/>
      <w:divBdr>
        <w:top w:val="none" w:sz="0" w:space="0" w:color="auto"/>
        <w:left w:val="none" w:sz="0" w:space="0" w:color="auto"/>
        <w:bottom w:val="none" w:sz="0" w:space="0" w:color="auto"/>
        <w:right w:val="none" w:sz="0" w:space="0" w:color="auto"/>
      </w:divBdr>
    </w:div>
    <w:div w:id="1751466190">
      <w:marLeft w:val="0"/>
      <w:marRight w:val="0"/>
      <w:marTop w:val="120"/>
      <w:marBottom w:val="120"/>
      <w:divBdr>
        <w:top w:val="none" w:sz="0" w:space="0" w:color="auto"/>
        <w:left w:val="none" w:sz="0" w:space="0" w:color="auto"/>
        <w:bottom w:val="none" w:sz="0" w:space="0" w:color="auto"/>
        <w:right w:val="none" w:sz="0" w:space="0" w:color="auto"/>
      </w:divBdr>
    </w:div>
    <w:div w:id="1752969039">
      <w:marLeft w:val="0"/>
      <w:marRight w:val="0"/>
      <w:marTop w:val="0"/>
      <w:marBottom w:val="240"/>
      <w:divBdr>
        <w:top w:val="none" w:sz="0" w:space="0" w:color="auto"/>
        <w:left w:val="none" w:sz="0" w:space="0" w:color="auto"/>
        <w:bottom w:val="none" w:sz="0" w:space="0" w:color="auto"/>
        <w:right w:val="none" w:sz="0" w:space="0" w:color="auto"/>
      </w:divBdr>
    </w:div>
    <w:div w:id="1752970023">
      <w:marLeft w:val="0"/>
      <w:marRight w:val="0"/>
      <w:marTop w:val="0"/>
      <w:marBottom w:val="240"/>
      <w:divBdr>
        <w:top w:val="none" w:sz="0" w:space="0" w:color="auto"/>
        <w:left w:val="none" w:sz="0" w:space="0" w:color="auto"/>
        <w:bottom w:val="none" w:sz="0" w:space="0" w:color="auto"/>
        <w:right w:val="none" w:sz="0" w:space="0" w:color="auto"/>
      </w:divBdr>
    </w:div>
    <w:div w:id="1754233888">
      <w:marLeft w:val="0"/>
      <w:marRight w:val="0"/>
      <w:marTop w:val="180"/>
      <w:marBottom w:val="240"/>
      <w:divBdr>
        <w:top w:val="none" w:sz="0" w:space="0" w:color="auto"/>
        <w:left w:val="none" w:sz="0" w:space="0" w:color="auto"/>
        <w:bottom w:val="none" w:sz="0" w:space="0" w:color="auto"/>
        <w:right w:val="none" w:sz="0" w:space="0" w:color="auto"/>
      </w:divBdr>
    </w:div>
    <w:div w:id="1756121973">
      <w:marLeft w:val="0"/>
      <w:marRight w:val="0"/>
      <w:marTop w:val="0"/>
      <w:marBottom w:val="180"/>
      <w:divBdr>
        <w:top w:val="none" w:sz="0" w:space="0" w:color="auto"/>
        <w:left w:val="none" w:sz="0" w:space="0" w:color="auto"/>
        <w:bottom w:val="none" w:sz="0" w:space="0" w:color="auto"/>
        <w:right w:val="none" w:sz="0" w:space="0" w:color="auto"/>
      </w:divBdr>
    </w:div>
    <w:div w:id="1756509621">
      <w:marLeft w:val="0"/>
      <w:marRight w:val="0"/>
      <w:marTop w:val="0"/>
      <w:marBottom w:val="240"/>
      <w:divBdr>
        <w:top w:val="none" w:sz="0" w:space="0" w:color="auto"/>
        <w:left w:val="none" w:sz="0" w:space="0" w:color="auto"/>
        <w:bottom w:val="none" w:sz="0" w:space="0" w:color="auto"/>
        <w:right w:val="none" w:sz="0" w:space="0" w:color="auto"/>
      </w:divBdr>
    </w:div>
    <w:div w:id="1756782197">
      <w:marLeft w:val="0"/>
      <w:marRight w:val="0"/>
      <w:marTop w:val="0"/>
      <w:marBottom w:val="180"/>
      <w:divBdr>
        <w:top w:val="none" w:sz="0" w:space="0" w:color="auto"/>
        <w:left w:val="none" w:sz="0" w:space="0" w:color="auto"/>
        <w:bottom w:val="none" w:sz="0" w:space="0" w:color="auto"/>
        <w:right w:val="none" w:sz="0" w:space="0" w:color="auto"/>
      </w:divBdr>
    </w:div>
    <w:div w:id="1759055479">
      <w:marLeft w:val="0"/>
      <w:marRight w:val="0"/>
      <w:marTop w:val="180"/>
      <w:marBottom w:val="180"/>
      <w:divBdr>
        <w:top w:val="none" w:sz="0" w:space="0" w:color="auto"/>
        <w:left w:val="none" w:sz="0" w:space="0" w:color="auto"/>
        <w:bottom w:val="none" w:sz="0" w:space="0" w:color="auto"/>
        <w:right w:val="none" w:sz="0" w:space="0" w:color="auto"/>
      </w:divBdr>
    </w:div>
    <w:div w:id="1759209863">
      <w:marLeft w:val="0"/>
      <w:marRight w:val="0"/>
      <w:marTop w:val="0"/>
      <w:marBottom w:val="180"/>
      <w:divBdr>
        <w:top w:val="none" w:sz="0" w:space="0" w:color="auto"/>
        <w:left w:val="none" w:sz="0" w:space="0" w:color="auto"/>
        <w:bottom w:val="none" w:sz="0" w:space="0" w:color="auto"/>
        <w:right w:val="none" w:sz="0" w:space="0" w:color="auto"/>
      </w:divBdr>
    </w:div>
    <w:div w:id="1760105295">
      <w:marLeft w:val="0"/>
      <w:marRight w:val="0"/>
      <w:marTop w:val="0"/>
      <w:marBottom w:val="180"/>
      <w:divBdr>
        <w:top w:val="none" w:sz="0" w:space="0" w:color="auto"/>
        <w:left w:val="none" w:sz="0" w:space="0" w:color="auto"/>
        <w:bottom w:val="none" w:sz="0" w:space="0" w:color="auto"/>
        <w:right w:val="none" w:sz="0" w:space="0" w:color="auto"/>
      </w:divBdr>
    </w:div>
    <w:div w:id="1760710048">
      <w:marLeft w:val="0"/>
      <w:marRight w:val="0"/>
      <w:marTop w:val="0"/>
      <w:marBottom w:val="240"/>
      <w:divBdr>
        <w:top w:val="none" w:sz="0" w:space="0" w:color="auto"/>
        <w:left w:val="none" w:sz="0" w:space="0" w:color="auto"/>
        <w:bottom w:val="none" w:sz="0" w:space="0" w:color="auto"/>
        <w:right w:val="none" w:sz="0" w:space="0" w:color="auto"/>
      </w:divBdr>
    </w:div>
    <w:div w:id="1760834867">
      <w:marLeft w:val="0"/>
      <w:marRight w:val="0"/>
      <w:marTop w:val="0"/>
      <w:marBottom w:val="0"/>
      <w:divBdr>
        <w:top w:val="none" w:sz="0" w:space="0" w:color="auto"/>
        <w:left w:val="none" w:sz="0" w:space="0" w:color="auto"/>
        <w:bottom w:val="none" w:sz="0" w:space="0" w:color="auto"/>
        <w:right w:val="none" w:sz="0" w:space="0" w:color="auto"/>
      </w:divBdr>
    </w:div>
    <w:div w:id="1761102313">
      <w:marLeft w:val="0"/>
      <w:marRight w:val="0"/>
      <w:marTop w:val="0"/>
      <w:marBottom w:val="240"/>
      <w:divBdr>
        <w:top w:val="none" w:sz="0" w:space="0" w:color="auto"/>
        <w:left w:val="none" w:sz="0" w:space="0" w:color="auto"/>
        <w:bottom w:val="none" w:sz="0" w:space="0" w:color="auto"/>
        <w:right w:val="none" w:sz="0" w:space="0" w:color="auto"/>
      </w:divBdr>
    </w:div>
    <w:div w:id="1762598948">
      <w:marLeft w:val="0"/>
      <w:marRight w:val="0"/>
      <w:marTop w:val="0"/>
      <w:marBottom w:val="0"/>
      <w:divBdr>
        <w:top w:val="none" w:sz="0" w:space="0" w:color="auto"/>
        <w:left w:val="none" w:sz="0" w:space="0" w:color="auto"/>
        <w:bottom w:val="none" w:sz="0" w:space="0" w:color="auto"/>
        <w:right w:val="none" w:sz="0" w:space="0" w:color="auto"/>
      </w:divBdr>
    </w:div>
    <w:div w:id="1762683150">
      <w:marLeft w:val="0"/>
      <w:marRight w:val="0"/>
      <w:marTop w:val="120"/>
      <w:marBottom w:val="120"/>
      <w:divBdr>
        <w:top w:val="none" w:sz="0" w:space="0" w:color="auto"/>
        <w:left w:val="none" w:sz="0" w:space="0" w:color="auto"/>
        <w:bottom w:val="none" w:sz="0" w:space="0" w:color="auto"/>
        <w:right w:val="none" w:sz="0" w:space="0" w:color="auto"/>
      </w:divBdr>
    </w:div>
    <w:div w:id="1763333543">
      <w:marLeft w:val="0"/>
      <w:marRight w:val="0"/>
      <w:marTop w:val="0"/>
      <w:marBottom w:val="0"/>
      <w:divBdr>
        <w:top w:val="none" w:sz="0" w:space="0" w:color="auto"/>
        <w:left w:val="none" w:sz="0" w:space="0" w:color="auto"/>
        <w:bottom w:val="none" w:sz="0" w:space="0" w:color="auto"/>
        <w:right w:val="none" w:sz="0" w:space="0" w:color="auto"/>
      </w:divBdr>
    </w:div>
    <w:div w:id="1764720306">
      <w:marLeft w:val="0"/>
      <w:marRight w:val="0"/>
      <w:marTop w:val="0"/>
      <w:marBottom w:val="0"/>
      <w:divBdr>
        <w:top w:val="none" w:sz="0" w:space="0" w:color="auto"/>
        <w:left w:val="none" w:sz="0" w:space="0" w:color="auto"/>
        <w:bottom w:val="none" w:sz="0" w:space="0" w:color="auto"/>
        <w:right w:val="none" w:sz="0" w:space="0" w:color="auto"/>
      </w:divBdr>
    </w:div>
    <w:div w:id="1765109200">
      <w:marLeft w:val="0"/>
      <w:marRight w:val="0"/>
      <w:marTop w:val="0"/>
      <w:marBottom w:val="0"/>
      <w:divBdr>
        <w:top w:val="none" w:sz="0" w:space="0" w:color="auto"/>
        <w:left w:val="none" w:sz="0" w:space="0" w:color="auto"/>
        <w:bottom w:val="none" w:sz="0" w:space="0" w:color="auto"/>
        <w:right w:val="none" w:sz="0" w:space="0" w:color="auto"/>
      </w:divBdr>
      <w:divsChild>
        <w:div w:id="354960615">
          <w:marLeft w:val="0"/>
          <w:marRight w:val="0"/>
          <w:marTop w:val="0"/>
          <w:marBottom w:val="0"/>
          <w:divBdr>
            <w:top w:val="none" w:sz="0" w:space="0" w:color="auto"/>
            <w:left w:val="none" w:sz="0" w:space="0" w:color="auto"/>
            <w:bottom w:val="none" w:sz="0" w:space="0" w:color="auto"/>
            <w:right w:val="none" w:sz="0" w:space="0" w:color="auto"/>
          </w:divBdr>
        </w:div>
      </w:divsChild>
    </w:div>
    <w:div w:id="1765807596">
      <w:marLeft w:val="0"/>
      <w:marRight w:val="0"/>
      <w:marTop w:val="100"/>
      <w:marBottom w:val="0"/>
      <w:divBdr>
        <w:top w:val="none" w:sz="0" w:space="0" w:color="auto"/>
        <w:left w:val="none" w:sz="0" w:space="0" w:color="auto"/>
        <w:bottom w:val="none" w:sz="0" w:space="0" w:color="auto"/>
        <w:right w:val="none" w:sz="0" w:space="0" w:color="auto"/>
      </w:divBdr>
    </w:div>
    <w:div w:id="1765955497">
      <w:marLeft w:val="0"/>
      <w:marRight w:val="0"/>
      <w:marTop w:val="0"/>
      <w:marBottom w:val="0"/>
      <w:divBdr>
        <w:top w:val="none" w:sz="0" w:space="0" w:color="auto"/>
        <w:left w:val="none" w:sz="0" w:space="0" w:color="auto"/>
        <w:bottom w:val="none" w:sz="0" w:space="0" w:color="auto"/>
        <w:right w:val="none" w:sz="0" w:space="0" w:color="auto"/>
      </w:divBdr>
      <w:divsChild>
        <w:div w:id="1791515343">
          <w:marLeft w:val="0"/>
          <w:marRight w:val="0"/>
          <w:marTop w:val="0"/>
          <w:marBottom w:val="0"/>
          <w:divBdr>
            <w:top w:val="none" w:sz="0" w:space="0" w:color="auto"/>
            <w:left w:val="none" w:sz="0" w:space="0" w:color="auto"/>
            <w:bottom w:val="none" w:sz="0" w:space="0" w:color="auto"/>
            <w:right w:val="none" w:sz="0" w:space="0" w:color="auto"/>
          </w:divBdr>
        </w:div>
      </w:divsChild>
    </w:div>
    <w:div w:id="1766026887">
      <w:marLeft w:val="0"/>
      <w:marRight w:val="0"/>
      <w:marTop w:val="0"/>
      <w:marBottom w:val="180"/>
      <w:divBdr>
        <w:top w:val="none" w:sz="0" w:space="0" w:color="auto"/>
        <w:left w:val="none" w:sz="0" w:space="0" w:color="auto"/>
        <w:bottom w:val="none" w:sz="0" w:space="0" w:color="auto"/>
        <w:right w:val="none" w:sz="0" w:space="0" w:color="auto"/>
      </w:divBdr>
    </w:div>
    <w:div w:id="1766153327">
      <w:marLeft w:val="0"/>
      <w:marRight w:val="0"/>
      <w:marTop w:val="0"/>
      <w:marBottom w:val="240"/>
      <w:divBdr>
        <w:top w:val="none" w:sz="0" w:space="0" w:color="auto"/>
        <w:left w:val="none" w:sz="0" w:space="0" w:color="auto"/>
        <w:bottom w:val="none" w:sz="0" w:space="0" w:color="auto"/>
        <w:right w:val="none" w:sz="0" w:space="0" w:color="auto"/>
      </w:divBdr>
    </w:div>
    <w:div w:id="1768424535">
      <w:marLeft w:val="0"/>
      <w:marRight w:val="0"/>
      <w:marTop w:val="0"/>
      <w:marBottom w:val="0"/>
      <w:divBdr>
        <w:top w:val="none" w:sz="0" w:space="0" w:color="auto"/>
        <w:left w:val="none" w:sz="0" w:space="0" w:color="auto"/>
        <w:bottom w:val="none" w:sz="0" w:space="0" w:color="auto"/>
        <w:right w:val="none" w:sz="0" w:space="0" w:color="auto"/>
      </w:divBdr>
    </w:div>
    <w:div w:id="1769040647">
      <w:marLeft w:val="0"/>
      <w:marRight w:val="0"/>
      <w:marTop w:val="0"/>
      <w:marBottom w:val="180"/>
      <w:divBdr>
        <w:top w:val="none" w:sz="0" w:space="0" w:color="auto"/>
        <w:left w:val="none" w:sz="0" w:space="0" w:color="auto"/>
        <w:bottom w:val="none" w:sz="0" w:space="0" w:color="auto"/>
        <w:right w:val="none" w:sz="0" w:space="0" w:color="auto"/>
      </w:divBdr>
    </w:div>
    <w:div w:id="1771244846">
      <w:marLeft w:val="0"/>
      <w:marRight w:val="0"/>
      <w:marTop w:val="0"/>
      <w:marBottom w:val="240"/>
      <w:divBdr>
        <w:top w:val="none" w:sz="0" w:space="0" w:color="auto"/>
        <w:left w:val="none" w:sz="0" w:space="0" w:color="auto"/>
        <w:bottom w:val="none" w:sz="0" w:space="0" w:color="auto"/>
        <w:right w:val="none" w:sz="0" w:space="0" w:color="auto"/>
      </w:divBdr>
    </w:div>
    <w:div w:id="1771778946">
      <w:marLeft w:val="0"/>
      <w:marRight w:val="0"/>
      <w:marTop w:val="0"/>
      <w:marBottom w:val="240"/>
      <w:divBdr>
        <w:top w:val="none" w:sz="0" w:space="0" w:color="auto"/>
        <w:left w:val="none" w:sz="0" w:space="0" w:color="auto"/>
        <w:bottom w:val="none" w:sz="0" w:space="0" w:color="auto"/>
        <w:right w:val="none" w:sz="0" w:space="0" w:color="auto"/>
      </w:divBdr>
    </w:div>
    <w:div w:id="1772314762">
      <w:marLeft w:val="0"/>
      <w:marRight w:val="0"/>
      <w:marTop w:val="0"/>
      <w:marBottom w:val="0"/>
      <w:divBdr>
        <w:top w:val="none" w:sz="0" w:space="0" w:color="auto"/>
        <w:left w:val="none" w:sz="0" w:space="0" w:color="auto"/>
        <w:bottom w:val="none" w:sz="0" w:space="0" w:color="auto"/>
        <w:right w:val="none" w:sz="0" w:space="0" w:color="auto"/>
      </w:divBdr>
    </w:div>
    <w:div w:id="1774013994">
      <w:marLeft w:val="0"/>
      <w:marRight w:val="0"/>
      <w:marTop w:val="0"/>
      <w:marBottom w:val="180"/>
      <w:divBdr>
        <w:top w:val="none" w:sz="0" w:space="0" w:color="auto"/>
        <w:left w:val="none" w:sz="0" w:space="0" w:color="auto"/>
        <w:bottom w:val="none" w:sz="0" w:space="0" w:color="auto"/>
        <w:right w:val="none" w:sz="0" w:space="0" w:color="auto"/>
      </w:divBdr>
    </w:div>
    <w:div w:id="1774937534">
      <w:marLeft w:val="0"/>
      <w:marRight w:val="0"/>
      <w:marTop w:val="180"/>
      <w:marBottom w:val="180"/>
      <w:divBdr>
        <w:top w:val="none" w:sz="0" w:space="0" w:color="auto"/>
        <w:left w:val="none" w:sz="0" w:space="0" w:color="auto"/>
        <w:bottom w:val="none" w:sz="0" w:space="0" w:color="auto"/>
        <w:right w:val="none" w:sz="0" w:space="0" w:color="auto"/>
      </w:divBdr>
    </w:div>
    <w:div w:id="1775201615">
      <w:marLeft w:val="0"/>
      <w:marRight w:val="0"/>
      <w:marTop w:val="180"/>
      <w:marBottom w:val="180"/>
      <w:divBdr>
        <w:top w:val="none" w:sz="0" w:space="0" w:color="auto"/>
        <w:left w:val="none" w:sz="0" w:space="0" w:color="auto"/>
        <w:bottom w:val="none" w:sz="0" w:space="0" w:color="auto"/>
        <w:right w:val="none" w:sz="0" w:space="0" w:color="auto"/>
      </w:divBdr>
    </w:div>
    <w:div w:id="1775327009">
      <w:marLeft w:val="0"/>
      <w:marRight w:val="0"/>
      <w:marTop w:val="0"/>
      <w:marBottom w:val="0"/>
      <w:divBdr>
        <w:top w:val="none" w:sz="0" w:space="0" w:color="auto"/>
        <w:left w:val="none" w:sz="0" w:space="0" w:color="auto"/>
        <w:bottom w:val="none" w:sz="0" w:space="0" w:color="auto"/>
        <w:right w:val="none" w:sz="0" w:space="0" w:color="auto"/>
      </w:divBdr>
      <w:divsChild>
        <w:div w:id="611016183">
          <w:marLeft w:val="0"/>
          <w:marRight w:val="0"/>
          <w:marTop w:val="0"/>
          <w:marBottom w:val="0"/>
          <w:divBdr>
            <w:top w:val="none" w:sz="0" w:space="0" w:color="auto"/>
            <w:left w:val="none" w:sz="0" w:space="0" w:color="auto"/>
            <w:bottom w:val="none" w:sz="0" w:space="0" w:color="auto"/>
            <w:right w:val="none" w:sz="0" w:space="0" w:color="auto"/>
          </w:divBdr>
        </w:div>
      </w:divsChild>
    </w:div>
    <w:div w:id="1777825896">
      <w:marLeft w:val="0"/>
      <w:marRight w:val="0"/>
      <w:marTop w:val="180"/>
      <w:marBottom w:val="180"/>
      <w:divBdr>
        <w:top w:val="none" w:sz="0" w:space="0" w:color="auto"/>
        <w:left w:val="none" w:sz="0" w:space="0" w:color="auto"/>
        <w:bottom w:val="none" w:sz="0" w:space="0" w:color="auto"/>
        <w:right w:val="none" w:sz="0" w:space="0" w:color="auto"/>
      </w:divBdr>
    </w:div>
    <w:div w:id="1778211939">
      <w:marLeft w:val="0"/>
      <w:marRight w:val="0"/>
      <w:marTop w:val="0"/>
      <w:marBottom w:val="180"/>
      <w:divBdr>
        <w:top w:val="none" w:sz="0" w:space="0" w:color="auto"/>
        <w:left w:val="none" w:sz="0" w:space="0" w:color="auto"/>
        <w:bottom w:val="none" w:sz="0" w:space="0" w:color="auto"/>
        <w:right w:val="none" w:sz="0" w:space="0" w:color="auto"/>
      </w:divBdr>
    </w:div>
    <w:div w:id="1778216119">
      <w:marLeft w:val="0"/>
      <w:marRight w:val="0"/>
      <w:marTop w:val="0"/>
      <w:marBottom w:val="240"/>
      <w:divBdr>
        <w:top w:val="none" w:sz="0" w:space="0" w:color="auto"/>
        <w:left w:val="none" w:sz="0" w:space="0" w:color="auto"/>
        <w:bottom w:val="none" w:sz="0" w:space="0" w:color="auto"/>
        <w:right w:val="none" w:sz="0" w:space="0" w:color="auto"/>
      </w:divBdr>
      <w:divsChild>
        <w:div w:id="397674156">
          <w:marLeft w:val="0"/>
          <w:marRight w:val="0"/>
          <w:marTop w:val="0"/>
          <w:marBottom w:val="0"/>
          <w:divBdr>
            <w:top w:val="none" w:sz="0" w:space="0" w:color="auto"/>
            <w:left w:val="none" w:sz="0" w:space="0" w:color="auto"/>
            <w:bottom w:val="none" w:sz="0" w:space="0" w:color="auto"/>
            <w:right w:val="none" w:sz="0" w:space="0" w:color="auto"/>
          </w:divBdr>
        </w:div>
      </w:divsChild>
    </w:div>
    <w:div w:id="1779909329">
      <w:marLeft w:val="0"/>
      <w:marRight w:val="0"/>
      <w:marTop w:val="0"/>
      <w:marBottom w:val="0"/>
      <w:divBdr>
        <w:top w:val="none" w:sz="0" w:space="0" w:color="auto"/>
        <w:left w:val="none" w:sz="0" w:space="0" w:color="auto"/>
        <w:bottom w:val="none" w:sz="0" w:space="0" w:color="auto"/>
        <w:right w:val="none" w:sz="0" w:space="0" w:color="auto"/>
      </w:divBdr>
    </w:div>
    <w:div w:id="1781222189">
      <w:marLeft w:val="0"/>
      <w:marRight w:val="0"/>
      <w:marTop w:val="100"/>
      <w:marBottom w:val="180"/>
      <w:divBdr>
        <w:top w:val="none" w:sz="0" w:space="0" w:color="auto"/>
        <w:left w:val="none" w:sz="0" w:space="0" w:color="auto"/>
        <w:bottom w:val="none" w:sz="0" w:space="0" w:color="auto"/>
        <w:right w:val="none" w:sz="0" w:space="0" w:color="auto"/>
      </w:divBdr>
    </w:div>
    <w:div w:id="1781339941">
      <w:marLeft w:val="0"/>
      <w:marRight w:val="0"/>
      <w:marTop w:val="0"/>
      <w:marBottom w:val="240"/>
      <w:divBdr>
        <w:top w:val="none" w:sz="0" w:space="0" w:color="auto"/>
        <w:left w:val="none" w:sz="0" w:space="0" w:color="auto"/>
        <w:bottom w:val="none" w:sz="0" w:space="0" w:color="auto"/>
        <w:right w:val="none" w:sz="0" w:space="0" w:color="auto"/>
      </w:divBdr>
    </w:div>
    <w:div w:id="1781560516">
      <w:marLeft w:val="0"/>
      <w:marRight w:val="0"/>
      <w:marTop w:val="0"/>
      <w:marBottom w:val="180"/>
      <w:divBdr>
        <w:top w:val="none" w:sz="0" w:space="0" w:color="auto"/>
        <w:left w:val="none" w:sz="0" w:space="0" w:color="auto"/>
        <w:bottom w:val="none" w:sz="0" w:space="0" w:color="auto"/>
        <w:right w:val="none" w:sz="0" w:space="0" w:color="auto"/>
      </w:divBdr>
    </w:div>
    <w:div w:id="1781802073">
      <w:marLeft w:val="0"/>
      <w:marRight w:val="0"/>
      <w:marTop w:val="100"/>
      <w:marBottom w:val="0"/>
      <w:divBdr>
        <w:top w:val="none" w:sz="0" w:space="0" w:color="auto"/>
        <w:left w:val="none" w:sz="0" w:space="0" w:color="auto"/>
        <w:bottom w:val="none" w:sz="0" w:space="0" w:color="auto"/>
        <w:right w:val="none" w:sz="0" w:space="0" w:color="auto"/>
      </w:divBdr>
    </w:div>
    <w:div w:id="1782148011">
      <w:marLeft w:val="0"/>
      <w:marRight w:val="0"/>
      <w:marTop w:val="0"/>
      <w:marBottom w:val="0"/>
      <w:divBdr>
        <w:top w:val="none" w:sz="0" w:space="0" w:color="auto"/>
        <w:left w:val="none" w:sz="0" w:space="0" w:color="auto"/>
        <w:bottom w:val="none" w:sz="0" w:space="0" w:color="auto"/>
        <w:right w:val="none" w:sz="0" w:space="0" w:color="auto"/>
      </w:divBdr>
    </w:div>
    <w:div w:id="1782339188">
      <w:marLeft w:val="0"/>
      <w:marRight w:val="0"/>
      <w:marTop w:val="0"/>
      <w:marBottom w:val="160"/>
      <w:divBdr>
        <w:top w:val="none" w:sz="0" w:space="0" w:color="auto"/>
        <w:left w:val="none" w:sz="0" w:space="0" w:color="auto"/>
        <w:bottom w:val="none" w:sz="0" w:space="0" w:color="auto"/>
        <w:right w:val="none" w:sz="0" w:space="0" w:color="auto"/>
      </w:divBdr>
    </w:div>
    <w:div w:id="1783376142">
      <w:marLeft w:val="0"/>
      <w:marRight w:val="0"/>
      <w:marTop w:val="0"/>
      <w:marBottom w:val="0"/>
      <w:divBdr>
        <w:top w:val="none" w:sz="0" w:space="0" w:color="auto"/>
        <w:left w:val="none" w:sz="0" w:space="0" w:color="auto"/>
        <w:bottom w:val="none" w:sz="0" w:space="0" w:color="auto"/>
        <w:right w:val="none" w:sz="0" w:space="0" w:color="auto"/>
      </w:divBdr>
    </w:div>
    <w:div w:id="1784885801">
      <w:marLeft w:val="0"/>
      <w:marRight w:val="0"/>
      <w:marTop w:val="180"/>
      <w:marBottom w:val="180"/>
      <w:divBdr>
        <w:top w:val="none" w:sz="0" w:space="0" w:color="auto"/>
        <w:left w:val="none" w:sz="0" w:space="0" w:color="auto"/>
        <w:bottom w:val="none" w:sz="0" w:space="0" w:color="auto"/>
        <w:right w:val="none" w:sz="0" w:space="0" w:color="auto"/>
      </w:divBdr>
    </w:div>
    <w:div w:id="1785610071">
      <w:marLeft w:val="0"/>
      <w:marRight w:val="0"/>
      <w:marTop w:val="0"/>
      <w:marBottom w:val="0"/>
      <w:divBdr>
        <w:top w:val="none" w:sz="0" w:space="0" w:color="auto"/>
        <w:left w:val="none" w:sz="0" w:space="0" w:color="auto"/>
        <w:bottom w:val="none" w:sz="0" w:space="0" w:color="auto"/>
        <w:right w:val="none" w:sz="0" w:space="0" w:color="auto"/>
      </w:divBdr>
    </w:div>
    <w:div w:id="1787389743">
      <w:marLeft w:val="0"/>
      <w:marRight w:val="0"/>
      <w:marTop w:val="0"/>
      <w:marBottom w:val="180"/>
      <w:divBdr>
        <w:top w:val="none" w:sz="0" w:space="0" w:color="auto"/>
        <w:left w:val="none" w:sz="0" w:space="0" w:color="auto"/>
        <w:bottom w:val="none" w:sz="0" w:space="0" w:color="auto"/>
        <w:right w:val="none" w:sz="0" w:space="0" w:color="auto"/>
      </w:divBdr>
    </w:div>
    <w:div w:id="1788547988">
      <w:marLeft w:val="0"/>
      <w:marRight w:val="0"/>
      <w:marTop w:val="0"/>
      <w:marBottom w:val="180"/>
      <w:divBdr>
        <w:top w:val="none" w:sz="0" w:space="0" w:color="auto"/>
        <w:left w:val="none" w:sz="0" w:space="0" w:color="auto"/>
        <w:bottom w:val="none" w:sz="0" w:space="0" w:color="auto"/>
        <w:right w:val="none" w:sz="0" w:space="0" w:color="auto"/>
      </w:divBdr>
    </w:div>
    <w:div w:id="1790082620">
      <w:marLeft w:val="0"/>
      <w:marRight w:val="0"/>
      <w:marTop w:val="0"/>
      <w:marBottom w:val="0"/>
      <w:divBdr>
        <w:top w:val="none" w:sz="0" w:space="0" w:color="auto"/>
        <w:left w:val="none" w:sz="0" w:space="0" w:color="auto"/>
        <w:bottom w:val="none" w:sz="0" w:space="0" w:color="auto"/>
        <w:right w:val="none" w:sz="0" w:space="0" w:color="auto"/>
      </w:divBdr>
    </w:div>
    <w:div w:id="1790468766">
      <w:marLeft w:val="0"/>
      <w:marRight w:val="0"/>
      <w:marTop w:val="100"/>
      <w:marBottom w:val="0"/>
      <w:divBdr>
        <w:top w:val="none" w:sz="0" w:space="0" w:color="auto"/>
        <w:left w:val="none" w:sz="0" w:space="0" w:color="auto"/>
        <w:bottom w:val="none" w:sz="0" w:space="0" w:color="auto"/>
        <w:right w:val="none" w:sz="0" w:space="0" w:color="auto"/>
      </w:divBdr>
    </w:div>
    <w:div w:id="1790472967">
      <w:marLeft w:val="0"/>
      <w:marRight w:val="0"/>
      <w:marTop w:val="0"/>
      <w:marBottom w:val="20"/>
      <w:divBdr>
        <w:top w:val="none" w:sz="0" w:space="0" w:color="auto"/>
        <w:left w:val="none" w:sz="0" w:space="0" w:color="auto"/>
        <w:bottom w:val="none" w:sz="0" w:space="0" w:color="auto"/>
        <w:right w:val="none" w:sz="0" w:space="0" w:color="auto"/>
      </w:divBdr>
    </w:div>
    <w:div w:id="1791052773">
      <w:marLeft w:val="0"/>
      <w:marRight w:val="0"/>
      <w:marTop w:val="100"/>
      <w:marBottom w:val="0"/>
      <w:divBdr>
        <w:top w:val="none" w:sz="0" w:space="0" w:color="auto"/>
        <w:left w:val="none" w:sz="0" w:space="0" w:color="auto"/>
        <w:bottom w:val="none" w:sz="0" w:space="0" w:color="auto"/>
        <w:right w:val="none" w:sz="0" w:space="0" w:color="auto"/>
      </w:divBdr>
    </w:div>
    <w:div w:id="1791127685">
      <w:marLeft w:val="0"/>
      <w:marRight w:val="0"/>
      <w:marTop w:val="120"/>
      <w:marBottom w:val="120"/>
      <w:divBdr>
        <w:top w:val="none" w:sz="0" w:space="0" w:color="auto"/>
        <w:left w:val="none" w:sz="0" w:space="0" w:color="auto"/>
        <w:bottom w:val="none" w:sz="0" w:space="0" w:color="auto"/>
        <w:right w:val="none" w:sz="0" w:space="0" w:color="auto"/>
      </w:divBdr>
    </w:div>
    <w:div w:id="1791826844">
      <w:marLeft w:val="0"/>
      <w:marRight w:val="0"/>
      <w:marTop w:val="0"/>
      <w:marBottom w:val="0"/>
      <w:divBdr>
        <w:top w:val="none" w:sz="0" w:space="0" w:color="auto"/>
        <w:left w:val="none" w:sz="0" w:space="0" w:color="auto"/>
        <w:bottom w:val="none" w:sz="0" w:space="0" w:color="auto"/>
        <w:right w:val="none" w:sz="0" w:space="0" w:color="auto"/>
      </w:divBdr>
      <w:divsChild>
        <w:div w:id="1802113748">
          <w:marLeft w:val="0"/>
          <w:marRight w:val="0"/>
          <w:marTop w:val="0"/>
          <w:marBottom w:val="0"/>
          <w:divBdr>
            <w:top w:val="none" w:sz="0" w:space="0" w:color="auto"/>
            <w:left w:val="none" w:sz="0" w:space="0" w:color="auto"/>
            <w:bottom w:val="none" w:sz="0" w:space="0" w:color="auto"/>
            <w:right w:val="none" w:sz="0" w:space="0" w:color="auto"/>
          </w:divBdr>
        </w:div>
      </w:divsChild>
    </w:div>
    <w:div w:id="1793085276">
      <w:marLeft w:val="0"/>
      <w:marRight w:val="0"/>
      <w:marTop w:val="0"/>
      <w:marBottom w:val="240"/>
      <w:divBdr>
        <w:top w:val="none" w:sz="0" w:space="0" w:color="auto"/>
        <w:left w:val="none" w:sz="0" w:space="0" w:color="auto"/>
        <w:bottom w:val="none" w:sz="0" w:space="0" w:color="auto"/>
        <w:right w:val="none" w:sz="0" w:space="0" w:color="auto"/>
      </w:divBdr>
    </w:div>
    <w:div w:id="1793549721">
      <w:marLeft w:val="0"/>
      <w:marRight w:val="0"/>
      <w:marTop w:val="60"/>
      <w:marBottom w:val="120"/>
      <w:divBdr>
        <w:top w:val="none" w:sz="0" w:space="0" w:color="auto"/>
        <w:left w:val="none" w:sz="0" w:space="0" w:color="auto"/>
        <w:bottom w:val="none" w:sz="0" w:space="0" w:color="auto"/>
        <w:right w:val="none" w:sz="0" w:space="0" w:color="auto"/>
      </w:divBdr>
    </w:div>
    <w:div w:id="1793553220">
      <w:marLeft w:val="0"/>
      <w:marRight w:val="0"/>
      <w:marTop w:val="100"/>
      <w:marBottom w:val="0"/>
      <w:divBdr>
        <w:top w:val="none" w:sz="0" w:space="0" w:color="auto"/>
        <w:left w:val="none" w:sz="0" w:space="0" w:color="auto"/>
        <w:bottom w:val="none" w:sz="0" w:space="0" w:color="auto"/>
        <w:right w:val="none" w:sz="0" w:space="0" w:color="auto"/>
      </w:divBdr>
      <w:divsChild>
        <w:div w:id="1246064872">
          <w:marLeft w:val="0"/>
          <w:marRight w:val="0"/>
          <w:marTop w:val="0"/>
          <w:marBottom w:val="180"/>
          <w:divBdr>
            <w:top w:val="none" w:sz="0" w:space="0" w:color="auto"/>
            <w:left w:val="none" w:sz="0" w:space="0" w:color="auto"/>
            <w:bottom w:val="none" w:sz="0" w:space="0" w:color="auto"/>
            <w:right w:val="none" w:sz="0" w:space="0" w:color="auto"/>
          </w:divBdr>
        </w:div>
      </w:divsChild>
    </w:div>
    <w:div w:id="1793671414">
      <w:marLeft w:val="0"/>
      <w:marRight w:val="0"/>
      <w:marTop w:val="0"/>
      <w:marBottom w:val="240"/>
      <w:divBdr>
        <w:top w:val="none" w:sz="0" w:space="0" w:color="auto"/>
        <w:left w:val="none" w:sz="0" w:space="0" w:color="auto"/>
        <w:bottom w:val="none" w:sz="0" w:space="0" w:color="auto"/>
        <w:right w:val="none" w:sz="0" w:space="0" w:color="auto"/>
      </w:divBdr>
    </w:div>
    <w:div w:id="1793861076">
      <w:marLeft w:val="0"/>
      <w:marRight w:val="0"/>
      <w:marTop w:val="0"/>
      <w:marBottom w:val="240"/>
      <w:divBdr>
        <w:top w:val="none" w:sz="0" w:space="0" w:color="auto"/>
        <w:left w:val="none" w:sz="0" w:space="0" w:color="auto"/>
        <w:bottom w:val="none" w:sz="0" w:space="0" w:color="auto"/>
        <w:right w:val="none" w:sz="0" w:space="0" w:color="auto"/>
      </w:divBdr>
    </w:div>
    <w:div w:id="1794471778">
      <w:marLeft w:val="0"/>
      <w:marRight w:val="0"/>
      <w:marTop w:val="0"/>
      <w:marBottom w:val="180"/>
      <w:divBdr>
        <w:top w:val="none" w:sz="0" w:space="0" w:color="auto"/>
        <w:left w:val="none" w:sz="0" w:space="0" w:color="auto"/>
        <w:bottom w:val="none" w:sz="0" w:space="0" w:color="auto"/>
        <w:right w:val="none" w:sz="0" w:space="0" w:color="auto"/>
      </w:divBdr>
    </w:div>
    <w:div w:id="1795634163">
      <w:marLeft w:val="0"/>
      <w:marRight w:val="0"/>
      <w:marTop w:val="120"/>
      <w:marBottom w:val="120"/>
      <w:divBdr>
        <w:top w:val="none" w:sz="0" w:space="0" w:color="auto"/>
        <w:left w:val="none" w:sz="0" w:space="0" w:color="auto"/>
        <w:bottom w:val="none" w:sz="0" w:space="0" w:color="auto"/>
        <w:right w:val="none" w:sz="0" w:space="0" w:color="auto"/>
      </w:divBdr>
    </w:div>
    <w:div w:id="1795831226">
      <w:marLeft w:val="0"/>
      <w:marRight w:val="0"/>
      <w:marTop w:val="100"/>
      <w:marBottom w:val="0"/>
      <w:divBdr>
        <w:top w:val="none" w:sz="0" w:space="0" w:color="auto"/>
        <w:left w:val="none" w:sz="0" w:space="0" w:color="auto"/>
        <w:bottom w:val="none" w:sz="0" w:space="0" w:color="auto"/>
        <w:right w:val="none" w:sz="0" w:space="0" w:color="auto"/>
      </w:divBdr>
    </w:div>
    <w:div w:id="1796219615">
      <w:marLeft w:val="0"/>
      <w:marRight w:val="0"/>
      <w:marTop w:val="0"/>
      <w:marBottom w:val="0"/>
      <w:divBdr>
        <w:top w:val="none" w:sz="0" w:space="0" w:color="auto"/>
        <w:left w:val="none" w:sz="0" w:space="0" w:color="auto"/>
        <w:bottom w:val="none" w:sz="0" w:space="0" w:color="auto"/>
        <w:right w:val="none" w:sz="0" w:space="0" w:color="auto"/>
      </w:divBdr>
    </w:div>
    <w:div w:id="1796867606">
      <w:marLeft w:val="0"/>
      <w:marRight w:val="0"/>
      <w:marTop w:val="0"/>
      <w:marBottom w:val="0"/>
      <w:divBdr>
        <w:top w:val="none" w:sz="0" w:space="0" w:color="auto"/>
        <w:left w:val="none" w:sz="0" w:space="0" w:color="auto"/>
        <w:bottom w:val="none" w:sz="0" w:space="0" w:color="auto"/>
        <w:right w:val="none" w:sz="0" w:space="0" w:color="auto"/>
      </w:divBdr>
    </w:div>
    <w:div w:id="1797019771">
      <w:marLeft w:val="0"/>
      <w:marRight w:val="0"/>
      <w:marTop w:val="0"/>
      <w:marBottom w:val="0"/>
      <w:divBdr>
        <w:top w:val="none" w:sz="0" w:space="0" w:color="auto"/>
        <w:left w:val="none" w:sz="0" w:space="0" w:color="auto"/>
        <w:bottom w:val="none" w:sz="0" w:space="0" w:color="auto"/>
        <w:right w:val="none" w:sz="0" w:space="0" w:color="auto"/>
      </w:divBdr>
    </w:div>
    <w:div w:id="1797210153">
      <w:marLeft w:val="0"/>
      <w:marRight w:val="0"/>
      <w:marTop w:val="0"/>
      <w:marBottom w:val="0"/>
      <w:divBdr>
        <w:top w:val="none" w:sz="0" w:space="0" w:color="auto"/>
        <w:left w:val="none" w:sz="0" w:space="0" w:color="auto"/>
        <w:bottom w:val="none" w:sz="0" w:space="0" w:color="auto"/>
        <w:right w:val="none" w:sz="0" w:space="0" w:color="auto"/>
      </w:divBdr>
    </w:div>
    <w:div w:id="1797522083">
      <w:marLeft w:val="0"/>
      <w:marRight w:val="0"/>
      <w:marTop w:val="180"/>
      <w:marBottom w:val="180"/>
      <w:divBdr>
        <w:top w:val="none" w:sz="0" w:space="0" w:color="auto"/>
        <w:left w:val="none" w:sz="0" w:space="0" w:color="auto"/>
        <w:bottom w:val="none" w:sz="0" w:space="0" w:color="auto"/>
        <w:right w:val="none" w:sz="0" w:space="0" w:color="auto"/>
      </w:divBdr>
    </w:div>
    <w:div w:id="1798907586">
      <w:marLeft w:val="0"/>
      <w:marRight w:val="0"/>
      <w:marTop w:val="0"/>
      <w:marBottom w:val="240"/>
      <w:divBdr>
        <w:top w:val="none" w:sz="0" w:space="0" w:color="auto"/>
        <w:left w:val="none" w:sz="0" w:space="0" w:color="auto"/>
        <w:bottom w:val="none" w:sz="0" w:space="0" w:color="auto"/>
        <w:right w:val="none" w:sz="0" w:space="0" w:color="auto"/>
      </w:divBdr>
    </w:div>
    <w:div w:id="1799446763">
      <w:marLeft w:val="0"/>
      <w:marRight w:val="0"/>
      <w:marTop w:val="0"/>
      <w:marBottom w:val="180"/>
      <w:divBdr>
        <w:top w:val="none" w:sz="0" w:space="0" w:color="auto"/>
        <w:left w:val="none" w:sz="0" w:space="0" w:color="auto"/>
        <w:bottom w:val="none" w:sz="0" w:space="0" w:color="auto"/>
        <w:right w:val="none" w:sz="0" w:space="0" w:color="auto"/>
      </w:divBdr>
    </w:div>
    <w:div w:id="1799449385">
      <w:marLeft w:val="0"/>
      <w:marRight w:val="0"/>
      <w:marTop w:val="0"/>
      <w:marBottom w:val="180"/>
      <w:divBdr>
        <w:top w:val="none" w:sz="0" w:space="0" w:color="auto"/>
        <w:left w:val="none" w:sz="0" w:space="0" w:color="auto"/>
        <w:bottom w:val="none" w:sz="0" w:space="0" w:color="auto"/>
        <w:right w:val="none" w:sz="0" w:space="0" w:color="auto"/>
      </w:divBdr>
    </w:div>
    <w:div w:id="1800537507">
      <w:marLeft w:val="0"/>
      <w:marRight w:val="0"/>
      <w:marTop w:val="0"/>
      <w:marBottom w:val="180"/>
      <w:divBdr>
        <w:top w:val="none" w:sz="0" w:space="0" w:color="auto"/>
        <w:left w:val="none" w:sz="0" w:space="0" w:color="auto"/>
        <w:bottom w:val="none" w:sz="0" w:space="0" w:color="auto"/>
        <w:right w:val="none" w:sz="0" w:space="0" w:color="auto"/>
      </w:divBdr>
    </w:div>
    <w:div w:id="1800801260">
      <w:marLeft w:val="0"/>
      <w:marRight w:val="0"/>
      <w:marTop w:val="0"/>
      <w:marBottom w:val="240"/>
      <w:divBdr>
        <w:top w:val="none" w:sz="0" w:space="0" w:color="auto"/>
        <w:left w:val="none" w:sz="0" w:space="0" w:color="auto"/>
        <w:bottom w:val="none" w:sz="0" w:space="0" w:color="auto"/>
        <w:right w:val="none" w:sz="0" w:space="0" w:color="auto"/>
      </w:divBdr>
    </w:div>
    <w:div w:id="1801026518">
      <w:marLeft w:val="0"/>
      <w:marRight w:val="0"/>
      <w:marTop w:val="0"/>
      <w:marBottom w:val="0"/>
      <w:divBdr>
        <w:top w:val="none" w:sz="0" w:space="0" w:color="auto"/>
        <w:left w:val="none" w:sz="0" w:space="0" w:color="auto"/>
        <w:bottom w:val="none" w:sz="0" w:space="0" w:color="auto"/>
        <w:right w:val="none" w:sz="0" w:space="0" w:color="auto"/>
      </w:divBdr>
      <w:divsChild>
        <w:div w:id="349645553">
          <w:marLeft w:val="0"/>
          <w:marRight w:val="0"/>
          <w:marTop w:val="0"/>
          <w:marBottom w:val="0"/>
          <w:divBdr>
            <w:top w:val="none" w:sz="0" w:space="0" w:color="auto"/>
            <w:left w:val="none" w:sz="0" w:space="0" w:color="auto"/>
            <w:bottom w:val="none" w:sz="0" w:space="0" w:color="auto"/>
            <w:right w:val="none" w:sz="0" w:space="0" w:color="auto"/>
          </w:divBdr>
        </w:div>
      </w:divsChild>
    </w:div>
    <w:div w:id="1801192800">
      <w:marLeft w:val="0"/>
      <w:marRight w:val="0"/>
      <w:marTop w:val="0"/>
      <w:marBottom w:val="180"/>
      <w:divBdr>
        <w:top w:val="none" w:sz="0" w:space="0" w:color="auto"/>
        <w:left w:val="none" w:sz="0" w:space="0" w:color="auto"/>
        <w:bottom w:val="none" w:sz="0" w:space="0" w:color="auto"/>
        <w:right w:val="none" w:sz="0" w:space="0" w:color="auto"/>
      </w:divBdr>
    </w:div>
    <w:div w:id="1801723397">
      <w:marLeft w:val="0"/>
      <w:marRight w:val="0"/>
      <w:marTop w:val="0"/>
      <w:marBottom w:val="0"/>
      <w:divBdr>
        <w:top w:val="none" w:sz="0" w:space="0" w:color="auto"/>
        <w:left w:val="none" w:sz="0" w:space="0" w:color="auto"/>
        <w:bottom w:val="none" w:sz="0" w:space="0" w:color="auto"/>
        <w:right w:val="none" w:sz="0" w:space="0" w:color="auto"/>
      </w:divBdr>
      <w:divsChild>
        <w:div w:id="1537306371">
          <w:marLeft w:val="0"/>
          <w:marRight w:val="0"/>
          <w:marTop w:val="0"/>
          <w:marBottom w:val="0"/>
          <w:divBdr>
            <w:top w:val="none" w:sz="0" w:space="0" w:color="auto"/>
            <w:left w:val="none" w:sz="0" w:space="0" w:color="auto"/>
            <w:bottom w:val="none" w:sz="0" w:space="0" w:color="auto"/>
            <w:right w:val="none" w:sz="0" w:space="0" w:color="auto"/>
          </w:divBdr>
        </w:div>
      </w:divsChild>
    </w:div>
    <w:div w:id="1801804155">
      <w:marLeft w:val="0"/>
      <w:marRight w:val="0"/>
      <w:marTop w:val="180"/>
      <w:marBottom w:val="180"/>
      <w:divBdr>
        <w:top w:val="none" w:sz="0" w:space="0" w:color="auto"/>
        <w:left w:val="none" w:sz="0" w:space="0" w:color="auto"/>
        <w:bottom w:val="none" w:sz="0" w:space="0" w:color="auto"/>
        <w:right w:val="none" w:sz="0" w:space="0" w:color="auto"/>
      </w:divBdr>
    </w:div>
    <w:div w:id="1802382947">
      <w:marLeft w:val="0"/>
      <w:marRight w:val="0"/>
      <w:marTop w:val="0"/>
      <w:marBottom w:val="0"/>
      <w:divBdr>
        <w:top w:val="none" w:sz="0" w:space="0" w:color="auto"/>
        <w:left w:val="none" w:sz="0" w:space="0" w:color="auto"/>
        <w:bottom w:val="none" w:sz="0" w:space="0" w:color="auto"/>
        <w:right w:val="none" w:sz="0" w:space="0" w:color="auto"/>
      </w:divBdr>
    </w:div>
    <w:div w:id="1802531424">
      <w:marLeft w:val="0"/>
      <w:marRight w:val="0"/>
      <w:marTop w:val="0"/>
      <w:marBottom w:val="240"/>
      <w:divBdr>
        <w:top w:val="none" w:sz="0" w:space="0" w:color="auto"/>
        <w:left w:val="none" w:sz="0" w:space="0" w:color="auto"/>
        <w:bottom w:val="none" w:sz="0" w:space="0" w:color="auto"/>
        <w:right w:val="none" w:sz="0" w:space="0" w:color="auto"/>
      </w:divBdr>
    </w:div>
    <w:div w:id="1803304853">
      <w:marLeft w:val="0"/>
      <w:marRight w:val="0"/>
      <w:marTop w:val="0"/>
      <w:marBottom w:val="0"/>
      <w:divBdr>
        <w:top w:val="none" w:sz="0" w:space="0" w:color="auto"/>
        <w:left w:val="none" w:sz="0" w:space="0" w:color="auto"/>
        <w:bottom w:val="none" w:sz="0" w:space="0" w:color="auto"/>
        <w:right w:val="none" w:sz="0" w:space="0" w:color="auto"/>
      </w:divBdr>
    </w:div>
    <w:div w:id="1803577408">
      <w:marLeft w:val="0"/>
      <w:marRight w:val="0"/>
      <w:marTop w:val="0"/>
      <w:marBottom w:val="180"/>
      <w:divBdr>
        <w:top w:val="none" w:sz="0" w:space="0" w:color="auto"/>
        <w:left w:val="none" w:sz="0" w:space="0" w:color="auto"/>
        <w:bottom w:val="none" w:sz="0" w:space="0" w:color="auto"/>
        <w:right w:val="none" w:sz="0" w:space="0" w:color="auto"/>
      </w:divBdr>
    </w:div>
    <w:div w:id="1805197170">
      <w:marLeft w:val="0"/>
      <w:marRight w:val="0"/>
      <w:marTop w:val="0"/>
      <w:marBottom w:val="0"/>
      <w:divBdr>
        <w:top w:val="none" w:sz="0" w:space="0" w:color="auto"/>
        <w:left w:val="none" w:sz="0" w:space="0" w:color="auto"/>
        <w:bottom w:val="none" w:sz="0" w:space="0" w:color="auto"/>
        <w:right w:val="none" w:sz="0" w:space="0" w:color="auto"/>
      </w:divBdr>
      <w:divsChild>
        <w:div w:id="291836458">
          <w:marLeft w:val="0"/>
          <w:marRight w:val="0"/>
          <w:marTop w:val="0"/>
          <w:marBottom w:val="0"/>
          <w:divBdr>
            <w:top w:val="none" w:sz="0" w:space="0" w:color="auto"/>
            <w:left w:val="none" w:sz="0" w:space="0" w:color="auto"/>
            <w:bottom w:val="none" w:sz="0" w:space="0" w:color="auto"/>
            <w:right w:val="none" w:sz="0" w:space="0" w:color="auto"/>
          </w:divBdr>
        </w:div>
      </w:divsChild>
    </w:div>
    <w:div w:id="1805391109">
      <w:marLeft w:val="0"/>
      <w:marRight w:val="0"/>
      <w:marTop w:val="0"/>
      <w:marBottom w:val="0"/>
      <w:divBdr>
        <w:top w:val="none" w:sz="0" w:space="0" w:color="auto"/>
        <w:left w:val="none" w:sz="0" w:space="0" w:color="auto"/>
        <w:bottom w:val="none" w:sz="0" w:space="0" w:color="auto"/>
        <w:right w:val="none" w:sz="0" w:space="0" w:color="auto"/>
      </w:divBdr>
      <w:divsChild>
        <w:div w:id="1118380054">
          <w:marLeft w:val="0"/>
          <w:marRight w:val="0"/>
          <w:marTop w:val="0"/>
          <w:marBottom w:val="0"/>
          <w:divBdr>
            <w:top w:val="none" w:sz="0" w:space="0" w:color="auto"/>
            <w:left w:val="none" w:sz="0" w:space="0" w:color="auto"/>
            <w:bottom w:val="none" w:sz="0" w:space="0" w:color="auto"/>
            <w:right w:val="none" w:sz="0" w:space="0" w:color="auto"/>
          </w:divBdr>
        </w:div>
      </w:divsChild>
    </w:div>
    <w:div w:id="1805926100">
      <w:marLeft w:val="0"/>
      <w:marRight w:val="0"/>
      <w:marTop w:val="0"/>
      <w:marBottom w:val="0"/>
      <w:divBdr>
        <w:top w:val="none" w:sz="0" w:space="0" w:color="auto"/>
        <w:left w:val="none" w:sz="0" w:space="0" w:color="auto"/>
        <w:bottom w:val="none" w:sz="0" w:space="0" w:color="auto"/>
        <w:right w:val="none" w:sz="0" w:space="0" w:color="auto"/>
      </w:divBdr>
    </w:div>
    <w:div w:id="1806893944">
      <w:marLeft w:val="0"/>
      <w:marRight w:val="0"/>
      <w:marTop w:val="0"/>
      <w:marBottom w:val="0"/>
      <w:divBdr>
        <w:top w:val="none" w:sz="0" w:space="0" w:color="auto"/>
        <w:left w:val="none" w:sz="0" w:space="0" w:color="auto"/>
        <w:bottom w:val="none" w:sz="0" w:space="0" w:color="auto"/>
        <w:right w:val="none" w:sz="0" w:space="0" w:color="auto"/>
      </w:divBdr>
      <w:divsChild>
        <w:div w:id="2122651339">
          <w:marLeft w:val="0"/>
          <w:marRight w:val="0"/>
          <w:marTop w:val="0"/>
          <w:marBottom w:val="0"/>
          <w:divBdr>
            <w:top w:val="none" w:sz="0" w:space="0" w:color="auto"/>
            <w:left w:val="none" w:sz="0" w:space="0" w:color="auto"/>
            <w:bottom w:val="none" w:sz="0" w:space="0" w:color="auto"/>
            <w:right w:val="none" w:sz="0" w:space="0" w:color="auto"/>
          </w:divBdr>
        </w:div>
      </w:divsChild>
    </w:div>
    <w:div w:id="1808889412">
      <w:marLeft w:val="0"/>
      <w:marRight w:val="0"/>
      <w:marTop w:val="0"/>
      <w:marBottom w:val="240"/>
      <w:divBdr>
        <w:top w:val="none" w:sz="0" w:space="0" w:color="auto"/>
        <w:left w:val="none" w:sz="0" w:space="0" w:color="auto"/>
        <w:bottom w:val="none" w:sz="0" w:space="0" w:color="auto"/>
        <w:right w:val="none" w:sz="0" w:space="0" w:color="auto"/>
      </w:divBdr>
    </w:div>
    <w:div w:id="1809278410">
      <w:marLeft w:val="0"/>
      <w:marRight w:val="0"/>
      <w:marTop w:val="0"/>
      <w:marBottom w:val="180"/>
      <w:divBdr>
        <w:top w:val="none" w:sz="0" w:space="0" w:color="auto"/>
        <w:left w:val="none" w:sz="0" w:space="0" w:color="auto"/>
        <w:bottom w:val="none" w:sz="0" w:space="0" w:color="auto"/>
        <w:right w:val="none" w:sz="0" w:space="0" w:color="auto"/>
      </w:divBdr>
    </w:div>
    <w:div w:id="1809475313">
      <w:marLeft w:val="0"/>
      <w:marRight w:val="0"/>
      <w:marTop w:val="0"/>
      <w:marBottom w:val="0"/>
      <w:divBdr>
        <w:top w:val="none" w:sz="0" w:space="0" w:color="auto"/>
        <w:left w:val="none" w:sz="0" w:space="0" w:color="auto"/>
        <w:bottom w:val="none" w:sz="0" w:space="0" w:color="auto"/>
        <w:right w:val="none" w:sz="0" w:space="0" w:color="auto"/>
      </w:divBdr>
    </w:div>
    <w:div w:id="1810703222">
      <w:marLeft w:val="0"/>
      <w:marRight w:val="0"/>
      <w:marTop w:val="0"/>
      <w:marBottom w:val="0"/>
      <w:divBdr>
        <w:top w:val="none" w:sz="0" w:space="0" w:color="auto"/>
        <w:left w:val="none" w:sz="0" w:space="0" w:color="auto"/>
        <w:bottom w:val="none" w:sz="0" w:space="0" w:color="auto"/>
        <w:right w:val="none" w:sz="0" w:space="0" w:color="auto"/>
      </w:divBdr>
      <w:divsChild>
        <w:div w:id="1921283880">
          <w:marLeft w:val="0"/>
          <w:marRight w:val="0"/>
          <w:marTop w:val="0"/>
          <w:marBottom w:val="0"/>
          <w:divBdr>
            <w:top w:val="none" w:sz="0" w:space="0" w:color="auto"/>
            <w:left w:val="none" w:sz="0" w:space="0" w:color="auto"/>
            <w:bottom w:val="none" w:sz="0" w:space="0" w:color="auto"/>
            <w:right w:val="none" w:sz="0" w:space="0" w:color="auto"/>
          </w:divBdr>
        </w:div>
      </w:divsChild>
    </w:div>
    <w:div w:id="1811898173">
      <w:marLeft w:val="0"/>
      <w:marRight w:val="0"/>
      <w:marTop w:val="180"/>
      <w:marBottom w:val="180"/>
      <w:divBdr>
        <w:top w:val="none" w:sz="0" w:space="0" w:color="auto"/>
        <w:left w:val="none" w:sz="0" w:space="0" w:color="auto"/>
        <w:bottom w:val="none" w:sz="0" w:space="0" w:color="auto"/>
        <w:right w:val="none" w:sz="0" w:space="0" w:color="auto"/>
      </w:divBdr>
    </w:div>
    <w:div w:id="1812016378">
      <w:marLeft w:val="0"/>
      <w:marRight w:val="0"/>
      <w:marTop w:val="0"/>
      <w:marBottom w:val="0"/>
      <w:divBdr>
        <w:top w:val="none" w:sz="0" w:space="0" w:color="auto"/>
        <w:left w:val="none" w:sz="0" w:space="0" w:color="auto"/>
        <w:bottom w:val="none" w:sz="0" w:space="0" w:color="auto"/>
        <w:right w:val="none" w:sz="0" w:space="0" w:color="auto"/>
      </w:divBdr>
      <w:divsChild>
        <w:div w:id="1961380695">
          <w:marLeft w:val="0"/>
          <w:marRight w:val="0"/>
          <w:marTop w:val="0"/>
          <w:marBottom w:val="0"/>
          <w:divBdr>
            <w:top w:val="none" w:sz="0" w:space="0" w:color="auto"/>
            <w:left w:val="none" w:sz="0" w:space="0" w:color="auto"/>
            <w:bottom w:val="none" w:sz="0" w:space="0" w:color="auto"/>
            <w:right w:val="none" w:sz="0" w:space="0" w:color="auto"/>
          </w:divBdr>
        </w:div>
      </w:divsChild>
    </w:div>
    <w:div w:id="1812018001">
      <w:marLeft w:val="0"/>
      <w:marRight w:val="0"/>
      <w:marTop w:val="0"/>
      <w:marBottom w:val="0"/>
      <w:divBdr>
        <w:top w:val="none" w:sz="0" w:space="0" w:color="auto"/>
        <w:left w:val="none" w:sz="0" w:space="0" w:color="auto"/>
        <w:bottom w:val="none" w:sz="0" w:space="0" w:color="auto"/>
        <w:right w:val="none" w:sz="0" w:space="0" w:color="auto"/>
      </w:divBdr>
    </w:div>
    <w:div w:id="1812138073">
      <w:marLeft w:val="0"/>
      <w:marRight w:val="0"/>
      <w:marTop w:val="0"/>
      <w:marBottom w:val="180"/>
      <w:divBdr>
        <w:top w:val="none" w:sz="0" w:space="0" w:color="auto"/>
        <w:left w:val="none" w:sz="0" w:space="0" w:color="auto"/>
        <w:bottom w:val="none" w:sz="0" w:space="0" w:color="auto"/>
        <w:right w:val="none" w:sz="0" w:space="0" w:color="auto"/>
      </w:divBdr>
    </w:div>
    <w:div w:id="1813524400">
      <w:marLeft w:val="0"/>
      <w:marRight w:val="0"/>
      <w:marTop w:val="0"/>
      <w:marBottom w:val="0"/>
      <w:divBdr>
        <w:top w:val="none" w:sz="0" w:space="0" w:color="auto"/>
        <w:left w:val="none" w:sz="0" w:space="0" w:color="auto"/>
        <w:bottom w:val="none" w:sz="0" w:space="0" w:color="auto"/>
        <w:right w:val="none" w:sz="0" w:space="0" w:color="auto"/>
      </w:divBdr>
    </w:div>
    <w:div w:id="1814525323">
      <w:marLeft w:val="0"/>
      <w:marRight w:val="0"/>
      <w:marTop w:val="0"/>
      <w:marBottom w:val="180"/>
      <w:divBdr>
        <w:top w:val="none" w:sz="0" w:space="0" w:color="auto"/>
        <w:left w:val="none" w:sz="0" w:space="0" w:color="auto"/>
        <w:bottom w:val="none" w:sz="0" w:space="0" w:color="auto"/>
        <w:right w:val="none" w:sz="0" w:space="0" w:color="auto"/>
      </w:divBdr>
    </w:div>
    <w:div w:id="1814829146">
      <w:marLeft w:val="0"/>
      <w:marRight w:val="0"/>
      <w:marTop w:val="0"/>
      <w:marBottom w:val="0"/>
      <w:divBdr>
        <w:top w:val="none" w:sz="0" w:space="0" w:color="auto"/>
        <w:left w:val="none" w:sz="0" w:space="0" w:color="auto"/>
        <w:bottom w:val="none" w:sz="0" w:space="0" w:color="auto"/>
        <w:right w:val="none" w:sz="0" w:space="0" w:color="auto"/>
      </w:divBdr>
      <w:divsChild>
        <w:div w:id="1620649759">
          <w:marLeft w:val="0"/>
          <w:marRight w:val="0"/>
          <w:marTop w:val="0"/>
          <w:marBottom w:val="0"/>
          <w:divBdr>
            <w:top w:val="none" w:sz="0" w:space="0" w:color="auto"/>
            <w:left w:val="none" w:sz="0" w:space="0" w:color="auto"/>
            <w:bottom w:val="none" w:sz="0" w:space="0" w:color="auto"/>
            <w:right w:val="none" w:sz="0" w:space="0" w:color="auto"/>
          </w:divBdr>
        </w:div>
      </w:divsChild>
    </w:div>
    <w:div w:id="1815021516">
      <w:marLeft w:val="0"/>
      <w:marRight w:val="0"/>
      <w:marTop w:val="0"/>
      <w:marBottom w:val="0"/>
      <w:divBdr>
        <w:top w:val="none" w:sz="0" w:space="0" w:color="auto"/>
        <w:left w:val="none" w:sz="0" w:space="0" w:color="auto"/>
        <w:bottom w:val="none" w:sz="0" w:space="0" w:color="auto"/>
        <w:right w:val="none" w:sz="0" w:space="0" w:color="auto"/>
      </w:divBdr>
      <w:divsChild>
        <w:div w:id="2059234671">
          <w:marLeft w:val="0"/>
          <w:marRight w:val="0"/>
          <w:marTop w:val="0"/>
          <w:marBottom w:val="0"/>
          <w:divBdr>
            <w:top w:val="none" w:sz="0" w:space="0" w:color="auto"/>
            <w:left w:val="none" w:sz="0" w:space="0" w:color="auto"/>
            <w:bottom w:val="none" w:sz="0" w:space="0" w:color="auto"/>
            <w:right w:val="none" w:sz="0" w:space="0" w:color="auto"/>
          </w:divBdr>
          <w:divsChild>
            <w:div w:id="30212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8799">
      <w:marLeft w:val="0"/>
      <w:marRight w:val="0"/>
      <w:marTop w:val="0"/>
      <w:marBottom w:val="180"/>
      <w:divBdr>
        <w:top w:val="none" w:sz="0" w:space="0" w:color="auto"/>
        <w:left w:val="none" w:sz="0" w:space="0" w:color="auto"/>
        <w:bottom w:val="none" w:sz="0" w:space="0" w:color="auto"/>
        <w:right w:val="none" w:sz="0" w:space="0" w:color="auto"/>
      </w:divBdr>
    </w:div>
    <w:div w:id="1815637866">
      <w:marLeft w:val="0"/>
      <w:marRight w:val="0"/>
      <w:marTop w:val="0"/>
      <w:marBottom w:val="240"/>
      <w:divBdr>
        <w:top w:val="none" w:sz="0" w:space="0" w:color="auto"/>
        <w:left w:val="none" w:sz="0" w:space="0" w:color="auto"/>
        <w:bottom w:val="none" w:sz="0" w:space="0" w:color="auto"/>
        <w:right w:val="none" w:sz="0" w:space="0" w:color="auto"/>
      </w:divBdr>
    </w:div>
    <w:div w:id="1815877094">
      <w:marLeft w:val="0"/>
      <w:marRight w:val="0"/>
      <w:marTop w:val="0"/>
      <w:marBottom w:val="240"/>
      <w:divBdr>
        <w:top w:val="none" w:sz="0" w:space="0" w:color="auto"/>
        <w:left w:val="none" w:sz="0" w:space="0" w:color="auto"/>
        <w:bottom w:val="none" w:sz="0" w:space="0" w:color="auto"/>
        <w:right w:val="none" w:sz="0" w:space="0" w:color="auto"/>
      </w:divBdr>
    </w:div>
    <w:div w:id="1816288897">
      <w:marLeft w:val="0"/>
      <w:marRight w:val="0"/>
      <w:marTop w:val="0"/>
      <w:marBottom w:val="0"/>
      <w:divBdr>
        <w:top w:val="none" w:sz="0" w:space="0" w:color="auto"/>
        <w:left w:val="none" w:sz="0" w:space="0" w:color="auto"/>
        <w:bottom w:val="none" w:sz="0" w:space="0" w:color="auto"/>
        <w:right w:val="none" w:sz="0" w:space="0" w:color="auto"/>
      </w:divBdr>
      <w:divsChild>
        <w:div w:id="39021104">
          <w:marLeft w:val="0"/>
          <w:marRight w:val="0"/>
          <w:marTop w:val="0"/>
          <w:marBottom w:val="0"/>
          <w:divBdr>
            <w:top w:val="none" w:sz="0" w:space="0" w:color="auto"/>
            <w:left w:val="none" w:sz="0" w:space="0" w:color="auto"/>
            <w:bottom w:val="none" w:sz="0" w:space="0" w:color="auto"/>
            <w:right w:val="none" w:sz="0" w:space="0" w:color="auto"/>
          </w:divBdr>
        </w:div>
      </w:divsChild>
    </w:div>
    <w:div w:id="1816331888">
      <w:marLeft w:val="0"/>
      <w:marRight w:val="0"/>
      <w:marTop w:val="0"/>
      <w:marBottom w:val="0"/>
      <w:divBdr>
        <w:top w:val="none" w:sz="0" w:space="0" w:color="auto"/>
        <w:left w:val="none" w:sz="0" w:space="0" w:color="auto"/>
        <w:bottom w:val="none" w:sz="0" w:space="0" w:color="auto"/>
        <w:right w:val="none" w:sz="0" w:space="0" w:color="auto"/>
      </w:divBdr>
      <w:divsChild>
        <w:div w:id="1019358060">
          <w:marLeft w:val="0"/>
          <w:marRight w:val="0"/>
          <w:marTop w:val="0"/>
          <w:marBottom w:val="0"/>
          <w:divBdr>
            <w:top w:val="none" w:sz="0" w:space="0" w:color="auto"/>
            <w:left w:val="none" w:sz="0" w:space="0" w:color="auto"/>
            <w:bottom w:val="none" w:sz="0" w:space="0" w:color="auto"/>
            <w:right w:val="none" w:sz="0" w:space="0" w:color="auto"/>
          </w:divBdr>
        </w:div>
      </w:divsChild>
    </w:div>
    <w:div w:id="1817720967">
      <w:marLeft w:val="0"/>
      <w:marRight w:val="0"/>
      <w:marTop w:val="0"/>
      <w:marBottom w:val="240"/>
      <w:divBdr>
        <w:top w:val="none" w:sz="0" w:space="0" w:color="auto"/>
        <w:left w:val="none" w:sz="0" w:space="0" w:color="auto"/>
        <w:bottom w:val="none" w:sz="0" w:space="0" w:color="auto"/>
        <w:right w:val="none" w:sz="0" w:space="0" w:color="auto"/>
      </w:divBdr>
    </w:div>
    <w:div w:id="1818037304">
      <w:marLeft w:val="0"/>
      <w:marRight w:val="0"/>
      <w:marTop w:val="0"/>
      <w:marBottom w:val="0"/>
      <w:divBdr>
        <w:top w:val="none" w:sz="0" w:space="0" w:color="auto"/>
        <w:left w:val="none" w:sz="0" w:space="0" w:color="auto"/>
        <w:bottom w:val="none" w:sz="0" w:space="0" w:color="auto"/>
        <w:right w:val="none" w:sz="0" w:space="0" w:color="auto"/>
      </w:divBdr>
    </w:div>
    <w:div w:id="1818257791">
      <w:marLeft w:val="0"/>
      <w:marRight w:val="0"/>
      <w:marTop w:val="0"/>
      <w:marBottom w:val="240"/>
      <w:divBdr>
        <w:top w:val="none" w:sz="0" w:space="0" w:color="auto"/>
        <w:left w:val="none" w:sz="0" w:space="0" w:color="auto"/>
        <w:bottom w:val="none" w:sz="0" w:space="0" w:color="auto"/>
        <w:right w:val="none" w:sz="0" w:space="0" w:color="auto"/>
      </w:divBdr>
    </w:div>
    <w:div w:id="1818298891">
      <w:marLeft w:val="0"/>
      <w:marRight w:val="0"/>
      <w:marTop w:val="0"/>
      <w:marBottom w:val="180"/>
      <w:divBdr>
        <w:top w:val="none" w:sz="0" w:space="0" w:color="auto"/>
        <w:left w:val="none" w:sz="0" w:space="0" w:color="auto"/>
        <w:bottom w:val="none" w:sz="0" w:space="0" w:color="auto"/>
        <w:right w:val="none" w:sz="0" w:space="0" w:color="auto"/>
      </w:divBdr>
    </w:div>
    <w:div w:id="1818641438">
      <w:marLeft w:val="0"/>
      <w:marRight w:val="0"/>
      <w:marTop w:val="0"/>
      <w:marBottom w:val="0"/>
      <w:divBdr>
        <w:top w:val="none" w:sz="0" w:space="0" w:color="auto"/>
        <w:left w:val="none" w:sz="0" w:space="0" w:color="auto"/>
        <w:bottom w:val="none" w:sz="0" w:space="0" w:color="auto"/>
        <w:right w:val="none" w:sz="0" w:space="0" w:color="auto"/>
      </w:divBdr>
      <w:divsChild>
        <w:div w:id="1861234554">
          <w:marLeft w:val="0"/>
          <w:marRight w:val="0"/>
          <w:marTop w:val="0"/>
          <w:marBottom w:val="0"/>
          <w:divBdr>
            <w:top w:val="none" w:sz="0" w:space="0" w:color="auto"/>
            <w:left w:val="none" w:sz="0" w:space="0" w:color="auto"/>
            <w:bottom w:val="none" w:sz="0" w:space="0" w:color="auto"/>
            <w:right w:val="none" w:sz="0" w:space="0" w:color="auto"/>
          </w:divBdr>
        </w:div>
      </w:divsChild>
    </w:div>
    <w:div w:id="1819416798">
      <w:marLeft w:val="0"/>
      <w:marRight w:val="0"/>
      <w:marTop w:val="0"/>
      <w:marBottom w:val="180"/>
      <w:divBdr>
        <w:top w:val="none" w:sz="0" w:space="0" w:color="auto"/>
        <w:left w:val="none" w:sz="0" w:space="0" w:color="auto"/>
        <w:bottom w:val="none" w:sz="0" w:space="0" w:color="auto"/>
        <w:right w:val="none" w:sz="0" w:space="0" w:color="auto"/>
      </w:divBdr>
    </w:div>
    <w:div w:id="1820263776">
      <w:marLeft w:val="0"/>
      <w:marRight w:val="0"/>
      <w:marTop w:val="0"/>
      <w:marBottom w:val="180"/>
      <w:divBdr>
        <w:top w:val="none" w:sz="0" w:space="0" w:color="auto"/>
        <w:left w:val="none" w:sz="0" w:space="0" w:color="auto"/>
        <w:bottom w:val="none" w:sz="0" w:space="0" w:color="auto"/>
        <w:right w:val="none" w:sz="0" w:space="0" w:color="auto"/>
      </w:divBdr>
    </w:div>
    <w:div w:id="1821265951">
      <w:marLeft w:val="0"/>
      <w:marRight w:val="0"/>
      <w:marTop w:val="0"/>
      <w:marBottom w:val="0"/>
      <w:divBdr>
        <w:top w:val="none" w:sz="0" w:space="0" w:color="auto"/>
        <w:left w:val="none" w:sz="0" w:space="0" w:color="auto"/>
        <w:bottom w:val="none" w:sz="0" w:space="0" w:color="auto"/>
        <w:right w:val="none" w:sz="0" w:space="0" w:color="auto"/>
      </w:divBdr>
      <w:divsChild>
        <w:div w:id="665939168">
          <w:marLeft w:val="0"/>
          <w:marRight w:val="0"/>
          <w:marTop w:val="0"/>
          <w:marBottom w:val="0"/>
          <w:divBdr>
            <w:top w:val="none" w:sz="0" w:space="0" w:color="auto"/>
            <w:left w:val="none" w:sz="0" w:space="0" w:color="auto"/>
            <w:bottom w:val="none" w:sz="0" w:space="0" w:color="auto"/>
            <w:right w:val="none" w:sz="0" w:space="0" w:color="auto"/>
          </w:divBdr>
        </w:div>
      </w:divsChild>
    </w:div>
    <w:div w:id="1822115362">
      <w:marLeft w:val="0"/>
      <w:marRight w:val="0"/>
      <w:marTop w:val="100"/>
      <w:marBottom w:val="0"/>
      <w:divBdr>
        <w:top w:val="none" w:sz="0" w:space="0" w:color="auto"/>
        <w:left w:val="none" w:sz="0" w:space="0" w:color="auto"/>
        <w:bottom w:val="none" w:sz="0" w:space="0" w:color="auto"/>
        <w:right w:val="none" w:sz="0" w:space="0" w:color="auto"/>
      </w:divBdr>
      <w:divsChild>
        <w:div w:id="1295019870">
          <w:marLeft w:val="0"/>
          <w:marRight w:val="0"/>
          <w:marTop w:val="0"/>
          <w:marBottom w:val="0"/>
          <w:divBdr>
            <w:top w:val="none" w:sz="0" w:space="0" w:color="auto"/>
            <w:left w:val="none" w:sz="0" w:space="0" w:color="auto"/>
            <w:bottom w:val="none" w:sz="0" w:space="0" w:color="auto"/>
            <w:right w:val="none" w:sz="0" w:space="0" w:color="auto"/>
          </w:divBdr>
        </w:div>
        <w:div w:id="9455502">
          <w:marLeft w:val="0"/>
          <w:marRight w:val="0"/>
          <w:marTop w:val="0"/>
          <w:marBottom w:val="0"/>
          <w:divBdr>
            <w:top w:val="none" w:sz="0" w:space="0" w:color="auto"/>
            <w:left w:val="none" w:sz="0" w:space="0" w:color="auto"/>
            <w:bottom w:val="none" w:sz="0" w:space="0" w:color="auto"/>
            <w:right w:val="none" w:sz="0" w:space="0" w:color="auto"/>
          </w:divBdr>
        </w:div>
        <w:div w:id="959381927">
          <w:marLeft w:val="0"/>
          <w:marRight w:val="0"/>
          <w:marTop w:val="0"/>
          <w:marBottom w:val="0"/>
          <w:divBdr>
            <w:top w:val="none" w:sz="0" w:space="0" w:color="auto"/>
            <w:left w:val="none" w:sz="0" w:space="0" w:color="auto"/>
            <w:bottom w:val="none" w:sz="0" w:space="0" w:color="auto"/>
            <w:right w:val="none" w:sz="0" w:space="0" w:color="auto"/>
          </w:divBdr>
        </w:div>
        <w:div w:id="1808743552">
          <w:marLeft w:val="0"/>
          <w:marRight w:val="0"/>
          <w:marTop w:val="0"/>
          <w:marBottom w:val="0"/>
          <w:divBdr>
            <w:top w:val="none" w:sz="0" w:space="0" w:color="auto"/>
            <w:left w:val="none" w:sz="0" w:space="0" w:color="auto"/>
            <w:bottom w:val="none" w:sz="0" w:space="0" w:color="auto"/>
            <w:right w:val="none" w:sz="0" w:space="0" w:color="auto"/>
          </w:divBdr>
        </w:div>
        <w:div w:id="458383512">
          <w:marLeft w:val="0"/>
          <w:marRight w:val="0"/>
          <w:marTop w:val="0"/>
          <w:marBottom w:val="0"/>
          <w:divBdr>
            <w:top w:val="none" w:sz="0" w:space="0" w:color="auto"/>
            <w:left w:val="none" w:sz="0" w:space="0" w:color="auto"/>
            <w:bottom w:val="none" w:sz="0" w:space="0" w:color="auto"/>
            <w:right w:val="none" w:sz="0" w:space="0" w:color="auto"/>
          </w:divBdr>
        </w:div>
      </w:divsChild>
    </w:div>
    <w:div w:id="1822651032">
      <w:marLeft w:val="0"/>
      <w:marRight w:val="0"/>
      <w:marTop w:val="0"/>
      <w:marBottom w:val="0"/>
      <w:divBdr>
        <w:top w:val="none" w:sz="0" w:space="0" w:color="auto"/>
        <w:left w:val="none" w:sz="0" w:space="0" w:color="auto"/>
        <w:bottom w:val="none" w:sz="0" w:space="0" w:color="auto"/>
        <w:right w:val="none" w:sz="0" w:space="0" w:color="auto"/>
      </w:divBdr>
    </w:div>
    <w:div w:id="1823768572">
      <w:marLeft w:val="0"/>
      <w:marRight w:val="0"/>
      <w:marTop w:val="180"/>
      <w:marBottom w:val="180"/>
      <w:divBdr>
        <w:top w:val="none" w:sz="0" w:space="0" w:color="auto"/>
        <w:left w:val="none" w:sz="0" w:space="0" w:color="auto"/>
        <w:bottom w:val="none" w:sz="0" w:space="0" w:color="auto"/>
        <w:right w:val="none" w:sz="0" w:space="0" w:color="auto"/>
      </w:divBdr>
    </w:div>
    <w:div w:id="1824084714">
      <w:marLeft w:val="0"/>
      <w:marRight w:val="0"/>
      <w:marTop w:val="0"/>
      <w:marBottom w:val="0"/>
      <w:divBdr>
        <w:top w:val="none" w:sz="0" w:space="0" w:color="auto"/>
        <w:left w:val="none" w:sz="0" w:space="0" w:color="auto"/>
        <w:bottom w:val="none" w:sz="0" w:space="0" w:color="auto"/>
        <w:right w:val="none" w:sz="0" w:space="0" w:color="auto"/>
      </w:divBdr>
      <w:divsChild>
        <w:div w:id="1947812728">
          <w:marLeft w:val="0"/>
          <w:marRight w:val="0"/>
          <w:marTop w:val="0"/>
          <w:marBottom w:val="0"/>
          <w:divBdr>
            <w:top w:val="none" w:sz="0" w:space="0" w:color="auto"/>
            <w:left w:val="none" w:sz="0" w:space="0" w:color="auto"/>
            <w:bottom w:val="none" w:sz="0" w:space="0" w:color="auto"/>
            <w:right w:val="none" w:sz="0" w:space="0" w:color="auto"/>
          </w:divBdr>
        </w:div>
      </w:divsChild>
    </w:div>
    <w:div w:id="1824158680">
      <w:marLeft w:val="0"/>
      <w:marRight w:val="0"/>
      <w:marTop w:val="0"/>
      <w:marBottom w:val="240"/>
      <w:divBdr>
        <w:top w:val="none" w:sz="0" w:space="0" w:color="auto"/>
        <w:left w:val="none" w:sz="0" w:space="0" w:color="auto"/>
        <w:bottom w:val="none" w:sz="0" w:space="0" w:color="auto"/>
        <w:right w:val="none" w:sz="0" w:space="0" w:color="auto"/>
      </w:divBdr>
    </w:div>
    <w:div w:id="1824616529">
      <w:marLeft w:val="0"/>
      <w:marRight w:val="0"/>
      <w:marTop w:val="0"/>
      <w:marBottom w:val="0"/>
      <w:divBdr>
        <w:top w:val="none" w:sz="0" w:space="0" w:color="auto"/>
        <w:left w:val="none" w:sz="0" w:space="0" w:color="auto"/>
        <w:bottom w:val="none" w:sz="0" w:space="0" w:color="auto"/>
        <w:right w:val="none" w:sz="0" w:space="0" w:color="auto"/>
      </w:divBdr>
      <w:divsChild>
        <w:div w:id="891624746">
          <w:marLeft w:val="0"/>
          <w:marRight w:val="0"/>
          <w:marTop w:val="0"/>
          <w:marBottom w:val="0"/>
          <w:divBdr>
            <w:top w:val="none" w:sz="0" w:space="0" w:color="auto"/>
            <w:left w:val="none" w:sz="0" w:space="0" w:color="auto"/>
            <w:bottom w:val="none" w:sz="0" w:space="0" w:color="auto"/>
            <w:right w:val="none" w:sz="0" w:space="0" w:color="auto"/>
          </w:divBdr>
        </w:div>
      </w:divsChild>
    </w:div>
    <w:div w:id="1826043666">
      <w:marLeft w:val="0"/>
      <w:marRight w:val="0"/>
      <w:marTop w:val="0"/>
      <w:marBottom w:val="0"/>
      <w:divBdr>
        <w:top w:val="none" w:sz="0" w:space="0" w:color="auto"/>
        <w:left w:val="none" w:sz="0" w:space="0" w:color="auto"/>
        <w:bottom w:val="none" w:sz="0" w:space="0" w:color="auto"/>
        <w:right w:val="none" w:sz="0" w:space="0" w:color="auto"/>
      </w:divBdr>
    </w:div>
    <w:div w:id="1827164812">
      <w:marLeft w:val="0"/>
      <w:marRight w:val="0"/>
      <w:marTop w:val="120"/>
      <w:marBottom w:val="240"/>
      <w:divBdr>
        <w:top w:val="none" w:sz="0" w:space="0" w:color="auto"/>
        <w:left w:val="none" w:sz="0" w:space="0" w:color="auto"/>
        <w:bottom w:val="none" w:sz="0" w:space="0" w:color="auto"/>
        <w:right w:val="none" w:sz="0" w:space="0" w:color="auto"/>
      </w:divBdr>
    </w:div>
    <w:div w:id="1827209990">
      <w:marLeft w:val="0"/>
      <w:marRight w:val="0"/>
      <w:marTop w:val="0"/>
      <w:marBottom w:val="180"/>
      <w:divBdr>
        <w:top w:val="none" w:sz="0" w:space="0" w:color="auto"/>
        <w:left w:val="none" w:sz="0" w:space="0" w:color="auto"/>
        <w:bottom w:val="none" w:sz="0" w:space="0" w:color="auto"/>
        <w:right w:val="none" w:sz="0" w:space="0" w:color="auto"/>
      </w:divBdr>
    </w:div>
    <w:div w:id="1827361729">
      <w:marLeft w:val="0"/>
      <w:marRight w:val="0"/>
      <w:marTop w:val="0"/>
      <w:marBottom w:val="240"/>
      <w:divBdr>
        <w:top w:val="none" w:sz="0" w:space="0" w:color="auto"/>
        <w:left w:val="none" w:sz="0" w:space="0" w:color="auto"/>
        <w:bottom w:val="none" w:sz="0" w:space="0" w:color="auto"/>
        <w:right w:val="none" w:sz="0" w:space="0" w:color="auto"/>
      </w:divBdr>
    </w:div>
    <w:div w:id="1828011897">
      <w:marLeft w:val="0"/>
      <w:marRight w:val="0"/>
      <w:marTop w:val="0"/>
      <w:marBottom w:val="0"/>
      <w:divBdr>
        <w:top w:val="none" w:sz="0" w:space="0" w:color="auto"/>
        <w:left w:val="none" w:sz="0" w:space="0" w:color="auto"/>
        <w:bottom w:val="none" w:sz="0" w:space="0" w:color="auto"/>
        <w:right w:val="none" w:sz="0" w:space="0" w:color="auto"/>
      </w:divBdr>
      <w:divsChild>
        <w:div w:id="147133261">
          <w:marLeft w:val="0"/>
          <w:marRight w:val="0"/>
          <w:marTop w:val="0"/>
          <w:marBottom w:val="0"/>
          <w:divBdr>
            <w:top w:val="none" w:sz="0" w:space="0" w:color="auto"/>
            <w:left w:val="none" w:sz="0" w:space="0" w:color="auto"/>
            <w:bottom w:val="none" w:sz="0" w:space="0" w:color="auto"/>
            <w:right w:val="none" w:sz="0" w:space="0" w:color="auto"/>
          </w:divBdr>
        </w:div>
      </w:divsChild>
    </w:div>
    <w:div w:id="1828205977">
      <w:marLeft w:val="0"/>
      <w:marRight w:val="0"/>
      <w:marTop w:val="0"/>
      <w:marBottom w:val="0"/>
      <w:divBdr>
        <w:top w:val="none" w:sz="0" w:space="0" w:color="auto"/>
        <w:left w:val="none" w:sz="0" w:space="0" w:color="auto"/>
        <w:bottom w:val="none" w:sz="0" w:space="0" w:color="auto"/>
        <w:right w:val="none" w:sz="0" w:space="0" w:color="auto"/>
      </w:divBdr>
      <w:divsChild>
        <w:div w:id="2021933740">
          <w:marLeft w:val="0"/>
          <w:marRight w:val="0"/>
          <w:marTop w:val="0"/>
          <w:marBottom w:val="0"/>
          <w:divBdr>
            <w:top w:val="none" w:sz="0" w:space="0" w:color="auto"/>
            <w:left w:val="none" w:sz="0" w:space="0" w:color="auto"/>
            <w:bottom w:val="none" w:sz="0" w:space="0" w:color="auto"/>
            <w:right w:val="none" w:sz="0" w:space="0" w:color="auto"/>
          </w:divBdr>
        </w:div>
      </w:divsChild>
    </w:div>
    <w:div w:id="1828745084">
      <w:marLeft w:val="0"/>
      <w:marRight w:val="0"/>
      <w:marTop w:val="0"/>
      <w:marBottom w:val="0"/>
      <w:divBdr>
        <w:top w:val="none" w:sz="0" w:space="0" w:color="auto"/>
        <w:left w:val="none" w:sz="0" w:space="0" w:color="auto"/>
        <w:bottom w:val="none" w:sz="0" w:space="0" w:color="auto"/>
        <w:right w:val="none" w:sz="0" w:space="0" w:color="auto"/>
      </w:divBdr>
      <w:divsChild>
        <w:div w:id="1667510942">
          <w:marLeft w:val="0"/>
          <w:marRight w:val="0"/>
          <w:marTop w:val="0"/>
          <w:marBottom w:val="0"/>
          <w:divBdr>
            <w:top w:val="none" w:sz="0" w:space="0" w:color="auto"/>
            <w:left w:val="none" w:sz="0" w:space="0" w:color="auto"/>
            <w:bottom w:val="none" w:sz="0" w:space="0" w:color="auto"/>
            <w:right w:val="none" w:sz="0" w:space="0" w:color="auto"/>
          </w:divBdr>
        </w:div>
      </w:divsChild>
    </w:div>
    <w:div w:id="1828865038">
      <w:marLeft w:val="0"/>
      <w:marRight w:val="0"/>
      <w:marTop w:val="0"/>
      <w:marBottom w:val="180"/>
      <w:divBdr>
        <w:top w:val="none" w:sz="0" w:space="0" w:color="auto"/>
        <w:left w:val="none" w:sz="0" w:space="0" w:color="auto"/>
        <w:bottom w:val="none" w:sz="0" w:space="0" w:color="auto"/>
        <w:right w:val="none" w:sz="0" w:space="0" w:color="auto"/>
      </w:divBdr>
    </w:div>
    <w:div w:id="1829397177">
      <w:marLeft w:val="0"/>
      <w:marRight w:val="0"/>
      <w:marTop w:val="0"/>
      <w:marBottom w:val="240"/>
      <w:divBdr>
        <w:top w:val="none" w:sz="0" w:space="0" w:color="auto"/>
        <w:left w:val="none" w:sz="0" w:space="0" w:color="auto"/>
        <w:bottom w:val="none" w:sz="0" w:space="0" w:color="auto"/>
        <w:right w:val="none" w:sz="0" w:space="0" w:color="auto"/>
      </w:divBdr>
    </w:div>
    <w:div w:id="1830826763">
      <w:marLeft w:val="0"/>
      <w:marRight w:val="0"/>
      <w:marTop w:val="0"/>
      <w:marBottom w:val="0"/>
      <w:divBdr>
        <w:top w:val="none" w:sz="0" w:space="0" w:color="auto"/>
        <w:left w:val="none" w:sz="0" w:space="0" w:color="auto"/>
        <w:bottom w:val="none" w:sz="0" w:space="0" w:color="auto"/>
        <w:right w:val="none" w:sz="0" w:space="0" w:color="auto"/>
      </w:divBdr>
      <w:divsChild>
        <w:div w:id="1495871724">
          <w:marLeft w:val="0"/>
          <w:marRight w:val="0"/>
          <w:marTop w:val="0"/>
          <w:marBottom w:val="0"/>
          <w:divBdr>
            <w:top w:val="none" w:sz="0" w:space="0" w:color="auto"/>
            <w:left w:val="none" w:sz="0" w:space="0" w:color="auto"/>
            <w:bottom w:val="none" w:sz="0" w:space="0" w:color="auto"/>
            <w:right w:val="none" w:sz="0" w:space="0" w:color="auto"/>
          </w:divBdr>
        </w:div>
      </w:divsChild>
    </w:div>
    <w:div w:id="1831555574">
      <w:marLeft w:val="0"/>
      <w:marRight w:val="0"/>
      <w:marTop w:val="0"/>
      <w:marBottom w:val="0"/>
      <w:divBdr>
        <w:top w:val="none" w:sz="0" w:space="0" w:color="auto"/>
        <w:left w:val="none" w:sz="0" w:space="0" w:color="auto"/>
        <w:bottom w:val="none" w:sz="0" w:space="0" w:color="auto"/>
        <w:right w:val="none" w:sz="0" w:space="0" w:color="auto"/>
      </w:divBdr>
    </w:div>
    <w:div w:id="1832332428">
      <w:marLeft w:val="0"/>
      <w:marRight w:val="0"/>
      <w:marTop w:val="0"/>
      <w:marBottom w:val="240"/>
      <w:divBdr>
        <w:top w:val="none" w:sz="0" w:space="0" w:color="auto"/>
        <w:left w:val="none" w:sz="0" w:space="0" w:color="auto"/>
        <w:bottom w:val="none" w:sz="0" w:space="0" w:color="auto"/>
        <w:right w:val="none" w:sz="0" w:space="0" w:color="auto"/>
      </w:divBdr>
    </w:div>
    <w:div w:id="1832677652">
      <w:marLeft w:val="0"/>
      <w:marRight w:val="0"/>
      <w:marTop w:val="0"/>
      <w:marBottom w:val="0"/>
      <w:divBdr>
        <w:top w:val="none" w:sz="0" w:space="0" w:color="auto"/>
        <w:left w:val="none" w:sz="0" w:space="0" w:color="auto"/>
        <w:bottom w:val="none" w:sz="0" w:space="0" w:color="auto"/>
        <w:right w:val="none" w:sz="0" w:space="0" w:color="auto"/>
      </w:divBdr>
    </w:div>
    <w:div w:id="1832745926">
      <w:marLeft w:val="0"/>
      <w:marRight w:val="0"/>
      <w:marTop w:val="180"/>
      <w:marBottom w:val="180"/>
      <w:divBdr>
        <w:top w:val="none" w:sz="0" w:space="0" w:color="auto"/>
        <w:left w:val="none" w:sz="0" w:space="0" w:color="auto"/>
        <w:bottom w:val="none" w:sz="0" w:space="0" w:color="auto"/>
        <w:right w:val="none" w:sz="0" w:space="0" w:color="auto"/>
      </w:divBdr>
    </w:div>
    <w:div w:id="1833788447">
      <w:marLeft w:val="0"/>
      <w:marRight w:val="0"/>
      <w:marTop w:val="0"/>
      <w:marBottom w:val="0"/>
      <w:divBdr>
        <w:top w:val="none" w:sz="0" w:space="0" w:color="auto"/>
        <w:left w:val="none" w:sz="0" w:space="0" w:color="auto"/>
        <w:bottom w:val="none" w:sz="0" w:space="0" w:color="auto"/>
        <w:right w:val="none" w:sz="0" w:space="0" w:color="auto"/>
      </w:divBdr>
    </w:div>
    <w:div w:id="1834642208">
      <w:marLeft w:val="0"/>
      <w:marRight w:val="0"/>
      <w:marTop w:val="0"/>
      <w:marBottom w:val="180"/>
      <w:divBdr>
        <w:top w:val="none" w:sz="0" w:space="0" w:color="auto"/>
        <w:left w:val="none" w:sz="0" w:space="0" w:color="auto"/>
        <w:bottom w:val="none" w:sz="0" w:space="0" w:color="auto"/>
        <w:right w:val="none" w:sz="0" w:space="0" w:color="auto"/>
      </w:divBdr>
    </w:div>
    <w:div w:id="1835299821">
      <w:marLeft w:val="0"/>
      <w:marRight w:val="0"/>
      <w:marTop w:val="120"/>
      <w:marBottom w:val="120"/>
      <w:divBdr>
        <w:top w:val="none" w:sz="0" w:space="0" w:color="auto"/>
        <w:left w:val="none" w:sz="0" w:space="0" w:color="auto"/>
        <w:bottom w:val="none" w:sz="0" w:space="0" w:color="auto"/>
        <w:right w:val="none" w:sz="0" w:space="0" w:color="auto"/>
      </w:divBdr>
    </w:div>
    <w:div w:id="1837501091">
      <w:marLeft w:val="0"/>
      <w:marRight w:val="0"/>
      <w:marTop w:val="0"/>
      <w:marBottom w:val="0"/>
      <w:divBdr>
        <w:top w:val="none" w:sz="0" w:space="0" w:color="auto"/>
        <w:left w:val="none" w:sz="0" w:space="0" w:color="auto"/>
        <w:bottom w:val="none" w:sz="0" w:space="0" w:color="auto"/>
        <w:right w:val="none" w:sz="0" w:space="0" w:color="auto"/>
      </w:divBdr>
    </w:div>
    <w:div w:id="1837721900">
      <w:marLeft w:val="0"/>
      <w:marRight w:val="0"/>
      <w:marTop w:val="100"/>
      <w:marBottom w:val="240"/>
      <w:divBdr>
        <w:top w:val="none" w:sz="0" w:space="0" w:color="auto"/>
        <w:left w:val="none" w:sz="0" w:space="0" w:color="auto"/>
        <w:bottom w:val="none" w:sz="0" w:space="0" w:color="auto"/>
        <w:right w:val="none" w:sz="0" w:space="0" w:color="auto"/>
      </w:divBdr>
      <w:divsChild>
        <w:div w:id="1522162637">
          <w:marLeft w:val="0"/>
          <w:marRight w:val="0"/>
          <w:marTop w:val="0"/>
          <w:marBottom w:val="0"/>
          <w:divBdr>
            <w:top w:val="none" w:sz="0" w:space="0" w:color="auto"/>
            <w:left w:val="none" w:sz="0" w:space="0" w:color="auto"/>
            <w:bottom w:val="none" w:sz="0" w:space="0" w:color="auto"/>
            <w:right w:val="none" w:sz="0" w:space="0" w:color="auto"/>
          </w:divBdr>
        </w:div>
      </w:divsChild>
    </w:div>
    <w:div w:id="1840196594">
      <w:marLeft w:val="0"/>
      <w:marRight w:val="0"/>
      <w:marTop w:val="0"/>
      <w:marBottom w:val="0"/>
      <w:divBdr>
        <w:top w:val="none" w:sz="0" w:space="0" w:color="auto"/>
        <w:left w:val="none" w:sz="0" w:space="0" w:color="auto"/>
        <w:bottom w:val="none" w:sz="0" w:space="0" w:color="auto"/>
        <w:right w:val="none" w:sz="0" w:space="0" w:color="auto"/>
      </w:divBdr>
    </w:div>
    <w:div w:id="1840268551">
      <w:marLeft w:val="0"/>
      <w:marRight w:val="0"/>
      <w:marTop w:val="0"/>
      <w:marBottom w:val="180"/>
      <w:divBdr>
        <w:top w:val="none" w:sz="0" w:space="0" w:color="auto"/>
        <w:left w:val="none" w:sz="0" w:space="0" w:color="auto"/>
        <w:bottom w:val="none" w:sz="0" w:space="0" w:color="auto"/>
        <w:right w:val="none" w:sz="0" w:space="0" w:color="auto"/>
      </w:divBdr>
    </w:div>
    <w:div w:id="1840340373">
      <w:marLeft w:val="0"/>
      <w:marRight w:val="0"/>
      <w:marTop w:val="0"/>
      <w:marBottom w:val="0"/>
      <w:divBdr>
        <w:top w:val="none" w:sz="0" w:space="0" w:color="auto"/>
        <w:left w:val="none" w:sz="0" w:space="0" w:color="auto"/>
        <w:bottom w:val="none" w:sz="0" w:space="0" w:color="auto"/>
        <w:right w:val="none" w:sz="0" w:space="0" w:color="auto"/>
      </w:divBdr>
    </w:div>
    <w:div w:id="1840389398">
      <w:marLeft w:val="0"/>
      <w:marRight w:val="0"/>
      <w:marTop w:val="0"/>
      <w:marBottom w:val="240"/>
      <w:divBdr>
        <w:top w:val="none" w:sz="0" w:space="0" w:color="auto"/>
        <w:left w:val="none" w:sz="0" w:space="0" w:color="auto"/>
        <w:bottom w:val="none" w:sz="0" w:space="0" w:color="auto"/>
        <w:right w:val="none" w:sz="0" w:space="0" w:color="auto"/>
      </w:divBdr>
    </w:div>
    <w:div w:id="1840921611">
      <w:marLeft w:val="0"/>
      <w:marRight w:val="0"/>
      <w:marTop w:val="0"/>
      <w:marBottom w:val="0"/>
      <w:divBdr>
        <w:top w:val="none" w:sz="0" w:space="0" w:color="auto"/>
        <w:left w:val="none" w:sz="0" w:space="0" w:color="auto"/>
        <w:bottom w:val="none" w:sz="0" w:space="0" w:color="auto"/>
        <w:right w:val="none" w:sz="0" w:space="0" w:color="auto"/>
      </w:divBdr>
    </w:div>
    <w:div w:id="1841774263">
      <w:marLeft w:val="0"/>
      <w:marRight w:val="0"/>
      <w:marTop w:val="0"/>
      <w:marBottom w:val="0"/>
      <w:divBdr>
        <w:top w:val="none" w:sz="0" w:space="0" w:color="auto"/>
        <w:left w:val="none" w:sz="0" w:space="0" w:color="auto"/>
        <w:bottom w:val="none" w:sz="0" w:space="0" w:color="auto"/>
        <w:right w:val="none" w:sz="0" w:space="0" w:color="auto"/>
      </w:divBdr>
      <w:divsChild>
        <w:div w:id="1824346184">
          <w:marLeft w:val="0"/>
          <w:marRight w:val="0"/>
          <w:marTop w:val="0"/>
          <w:marBottom w:val="0"/>
          <w:divBdr>
            <w:top w:val="none" w:sz="0" w:space="0" w:color="auto"/>
            <w:left w:val="none" w:sz="0" w:space="0" w:color="auto"/>
            <w:bottom w:val="none" w:sz="0" w:space="0" w:color="auto"/>
            <w:right w:val="none" w:sz="0" w:space="0" w:color="auto"/>
          </w:divBdr>
        </w:div>
      </w:divsChild>
    </w:div>
    <w:div w:id="1842044234">
      <w:marLeft w:val="0"/>
      <w:marRight w:val="0"/>
      <w:marTop w:val="180"/>
      <w:marBottom w:val="180"/>
      <w:divBdr>
        <w:top w:val="none" w:sz="0" w:space="0" w:color="auto"/>
        <w:left w:val="none" w:sz="0" w:space="0" w:color="auto"/>
        <w:bottom w:val="none" w:sz="0" w:space="0" w:color="auto"/>
        <w:right w:val="none" w:sz="0" w:space="0" w:color="auto"/>
      </w:divBdr>
    </w:div>
    <w:div w:id="1842155189">
      <w:marLeft w:val="0"/>
      <w:marRight w:val="0"/>
      <w:marTop w:val="0"/>
      <w:marBottom w:val="0"/>
      <w:divBdr>
        <w:top w:val="none" w:sz="0" w:space="0" w:color="auto"/>
        <w:left w:val="none" w:sz="0" w:space="0" w:color="auto"/>
        <w:bottom w:val="none" w:sz="0" w:space="0" w:color="auto"/>
        <w:right w:val="none" w:sz="0" w:space="0" w:color="auto"/>
      </w:divBdr>
      <w:divsChild>
        <w:div w:id="312880337">
          <w:marLeft w:val="0"/>
          <w:marRight w:val="0"/>
          <w:marTop w:val="0"/>
          <w:marBottom w:val="0"/>
          <w:divBdr>
            <w:top w:val="none" w:sz="0" w:space="0" w:color="auto"/>
            <w:left w:val="none" w:sz="0" w:space="0" w:color="auto"/>
            <w:bottom w:val="none" w:sz="0" w:space="0" w:color="auto"/>
            <w:right w:val="none" w:sz="0" w:space="0" w:color="auto"/>
          </w:divBdr>
        </w:div>
      </w:divsChild>
    </w:div>
    <w:div w:id="1843354959">
      <w:marLeft w:val="0"/>
      <w:marRight w:val="0"/>
      <w:marTop w:val="180"/>
      <w:marBottom w:val="180"/>
      <w:divBdr>
        <w:top w:val="none" w:sz="0" w:space="0" w:color="auto"/>
        <w:left w:val="none" w:sz="0" w:space="0" w:color="auto"/>
        <w:bottom w:val="none" w:sz="0" w:space="0" w:color="auto"/>
        <w:right w:val="none" w:sz="0" w:space="0" w:color="auto"/>
      </w:divBdr>
    </w:div>
    <w:div w:id="1844271730">
      <w:marLeft w:val="0"/>
      <w:marRight w:val="0"/>
      <w:marTop w:val="120"/>
      <w:marBottom w:val="120"/>
      <w:divBdr>
        <w:top w:val="none" w:sz="0" w:space="0" w:color="auto"/>
        <w:left w:val="none" w:sz="0" w:space="0" w:color="auto"/>
        <w:bottom w:val="none" w:sz="0" w:space="0" w:color="auto"/>
        <w:right w:val="none" w:sz="0" w:space="0" w:color="auto"/>
      </w:divBdr>
    </w:div>
    <w:div w:id="1845514784">
      <w:marLeft w:val="0"/>
      <w:marRight w:val="0"/>
      <w:marTop w:val="0"/>
      <w:marBottom w:val="0"/>
      <w:divBdr>
        <w:top w:val="none" w:sz="0" w:space="0" w:color="auto"/>
        <w:left w:val="none" w:sz="0" w:space="0" w:color="auto"/>
        <w:bottom w:val="none" w:sz="0" w:space="0" w:color="auto"/>
        <w:right w:val="none" w:sz="0" w:space="0" w:color="auto"/>
      </w:divBdr>
    </w:div>
    <w:div w:id="1846049071">
      <w:marLeft w:val="0"/>
      <w:marRight w:val="0"/>
      <w:marTop w:val="0"/>
      <w:marBottom w:val="180"/>
      <w:divBdr>
        <w:top w:val="none" w:sz="0" w:space="0" w:color="auto"/>
        <w:left w:val="none" w:sz="0" w:space="0" w:color="auto"/>
        <w:bottom w:val="none" w:sz="0" w:space="0" w:color="auto"/>
        <w:right w:val="none" w:sz="0" w:space="0" w:color="auto"/>
      </w:divBdr>
    </w:div>
    <w:div w:id="1846895968">
      <w:marLeft w:val="0"/>
      <w:marRight w:val="0"/>
      <w:marTop w:val="120"/>
      <w:marBottom w:val="120"/>
      <w:divBdr>
        <w:top w:val="none" w:sz="0" w:space="0" w:color="auto"/>
        <w:left w:val="none" w:sz="0" w:space="0" w:color="auto"/>
        <w:bottom w:val="none" w:sz="0" w:space="0" w:color="auto"/>
        <w:right w:val="none" w:sz="0" w:space="0" w:color="auto"/>
      </w:divBdr>
    </w:div>
    <w:div w:id="1847161224">
      <w:marLeft w:val="0"/>
      <w:marRight w:val="0"/>
      <w:marTop w:val="0"/>
      <w:marBottom w:val="0"/>
      <w:divBdr>
        <w:top w:val="none" w:sz="0" w:space="0" w:color="auto"/>
        <w:left w:val="none" w:sz="0" w:space="0" w:color="auto"/>
        <w:bottom w:val="none" w:sz="0" w:space="0" w:color="auto"/>
        <w:right w:val="none" w:sz="0" w:space="0" w:color="auto"/>
      </w:divBdr>
    </w:div>
    <w:div w:id="1847213035">
      <w:marLeft w:val="0"/>
      <w:marRight w:val="0"/>
      <w:marTop w:val="0"/>
      <w:marBottom w:val="0"/>
      <w:divBdr>
        <w:top w:val="none" w:sz="0" w:space="0" w:color="auto"/>
        <w:left w:val="none" w:sz="0" w:space="0" w:color="auto"/>
        <w:bottom w:val="none" w:sz="0" w:space="0" w:color="auto"/>
        <w:right w:val="none" w:sz="0" w:space="0" w:color="auto"/>
      </w:divBdr>
      <w:divsChild>
        <w:div w:id="23022113">
          <w:marLeft w:val="0"/>
          <w:marRight w:val="0"/>
          <w:marTop w:val="0"/>
          <w:marBottom w:val="0"/>
          <w:divBdr>
            <w:top w:val="none" w:sz="0" w:space="0" w:color="auto"/>
            <w:left w:val="none" w:sz="0" w:space="0" w:color="auto"/>
            <w:bottom w:val="none" w:sz="0" w:space="0" w:color="auto"/>
            <w:right w:val="none" w:sz="0" w:space="0" w:color="auto"/>
          </w:divBdr>
        </w:div>
      </w:divsChild>
    </w:div>
    <w:div w:id="1848474109">
      <w:marLeft w:val="0"/>
      <w:marRight w:val="0"/>
      <w:marTop w:val="180"/>
      <w:marBottom w:val="180"/>
      <w:divBdr>
        <w:top w:val="none" w:sz="0" w:space="0" w:color="auto"/>
        <w:left w:val="none" w:sz="0" w:space="0" w:color="auto"/>
        <w:bottom w:val="none" w:sz="0" w:space="0" w:color="auto"/>
        <w:right w:val="none" w:sz="0" w:space="0" w:color="auto"/>
      </w:divBdr>
    </w:div>
    <w:div w:id="1849363618">
      <w:marLeft w:val="0"/>
      <w:marRight w:val="0"/>
      <w:marTop w:val="0"/>
      <w:marBottom w:val="0"/>
      <w:divBdr>
        <w:top w:val="none" w:sz="0" w:space="0" w:color="auto"/>
        <w:left w:val="none" w:sz="0" w:space="0" w:color="auto"/>
        <w:bottom w:val="none" w:sz="0" w:space="0" w:color="auto"/>
        <w:right w:val="none" w:sz="0" w:space="0" w:color="auto"/>
      </w:divBdr>
      <w:divsChild>
        <w:div w:id="900097291">
          <w:marLeft w:val="0"/>
          <w:marRight w:val="0"/>
          <w:marTop w:val="0"/>
          <w:marBottom w:val="0"/>
          <w:divBdr>
            <w:top w:val="none" w:sz="0" w:space="0" w:color="auto"/>
            <w:left w:val="none" w:sz="0" w:space="0" w:color="auto"/>
            <w:bottom w:val="none" w:sz="0" w:space="0" w:color="auto"/>
            <w:right w:val="none" w:sz="0" w:space="0" w:color="auto"/>
          </w:divBdr>
        </w:div>
      </w:divsChild>
    </w:div>
    <w:div w:id="1850100444">
      <w:marLeft w:val="0"/>
      <w:marRight w:val="0"/>
      <w:marTop w:val="0"/>
      <w:marBottom w:val="0"/>
      <w:divBdr>
        <w:top w:val="none" w:sz="0" w:space="0" w:color="auto"/>
        <w:left w:val="none" w:sz="0" w:space="0" w:color="auto"/>
        <w:bottom w:val="none" w:sz="0" w:space="0" w:color="auto"/>
        <w:right w:val="none" w:sz="0" w:space="0" w:color="auto"/>
      </w:divBdr>
    </w:div>
    <w:div w:id="1850212673">
      <w:marLeft w:val="0"/>
      <w:marRight w:val="0"/>
      <w:marTop w:val="0"/>
      <w:marBottom w:val="180"/>
      <w:divBdr>
        <w:top w:val="none" w:sz="0" w:space="0" w:color="auto"/>
        <w:left w:val="none" w:sz="0" w:space="0" w:color="auto"/>
        <w:bottom w:val="none" w:sz="0" w:space="0" w:color="auto"/>
        <w:right w:val="none" w:sz="0" w:space="0" w:color="auto"/>
      </w:divBdr>
    </w:div>
    <w:div w:id="1850756853">
      <w:marLeft w:val="0"/>
      <w:marRight w:val="0"/>
      <w:marTop w:val="0"/>
      <w:marBottom w:val="0"/>
      <w:divBdr>
        <w:top w:val="none" w:sz="0" w:space="0" w:color="auto"/>
        <w:left w:val="none" w:sz="0" w:space="0" w:color="auto"/>
        <w:bottom w:val="none" w:sz="0" w:space="0" w:color="auto"/>
        <w:right w:val="none" w:sz="0" w:space="0" w:color="auto"/>
      </w:divBdr>
    </w:div>
    <w:div w:id="1850833845">
      <w:marLeft w:val="0"/>
      <w:marRight w:val="0"/>
      <w:marTop w:val="0"/>
      <w:marBottom w:val="0"/>
      <w:divBdr>
        <w:top w:val="none" w:sz="0" w:space="0" w:color="auto"/>
        <w:left w:val="none" w:sz="0" w:space="0" w:color="auto"/>
        <w:bottom w:val="none" w:sz="0" w:space="0" w:color="auto"/>
        <w:right w:val="none" w:sz="0" w:space="0" w:color="auto"/>
      </w:divBdr>
      <w:divsChild>
        <w:div w:id="1794400439">
          <w:marLeft w:val="0"/>
          <w:marRight w:val="0"/>
          <w:marTop w:val="0"/>
          <w:marBottom w:val="0"/>
          <w:divBdr>
            <w:top w:val="none" w:sz="0" w:space="0" w:color="auto"/>
            <w:left w:val="none" w:sz="0" w:space="0" w:color="auto"/>
            <w:bottom w:val="none" w:sz="0" w:space="0" w:color="auto"/>
            <w:right w:val="none" w:sz="0" w:space="0" w:color="auto"/>
          </w:divBdr>
        </w:div>
      </w:divsChild>
    </w:div>
    <w:div w:id="1851335577">
      <w:marLeft w:val="0"/>
      <w:marRight w:val="0"/>
      <w:marTop w:val="0"/>
      <w:marBottom w:val="180"/>
      <w:divBdr>
        <w:top w:val="none" w:sz="0" w:space="0" w:color="auto"/>
        <w:left w:val="none" w:sz="0" w:space="0" w:color="auto"/>
        <w:bottom w:val="none" w:sz="0" w:space="0" w:color="auto"/>
        <w:right w:val="none" w:sz="0" w:space="0" w:color="auto"/>
      </w:divBdr>
    </w:div>
    <w:div w:id="1854879106">
      <w:marLeft w:val="0"/>
      <w:marRight w:val="0"/>
      <w:marTop w:val="0"/>
      <w:marBottom w:val="240"/>
      <w:divBdr>
        <w:top w:val="none" w:sz="0" w:space="0" w:color="auto"/>
        <w:left w:val="none" w:sz="0" w:space="0" w:color="auto"/>
        <w:bottom w:val="none" w:sz="0" w:space="0" w:color="auto"/>
        <w:right w:val="none" w:sz="0" w:space="0" w:color="auto"/>
      </w:divBdr>
    </w:div>
    <w:div w:id="1855991884">
      <w:marLeft w:val="0"/>
      <w:marRight w:val="0"/>
      <w:marTop w:val="120"/>
      <w:marBottom w:val="120"/>
      <w:divBdr>
        <w:top w:val="none" w:sz="0" w:space="0" w:color="auto"/>
        <w:left w:val="none" w:sz="0" w:space="0" w:color="auto"/>
        <w:bottom w:val="none" w:sz="0" w:space="0" w:color="auto"/>
        <w:right w:val="none" w:sz="0" w:space="0" w:color="auto"/>
      </w:divBdr>
    </w:div>
    <w:div w:id="1857159852">
      <w:marLeft w:val="0"/>
      <w:marRight w:val="0"/>
      <w:marTop w:val="0"/>
      <w:marBottom w:val="240"/>
      <w:divBdr>
        <w:top w:val="none" w:sz="0" w:space="0" w:color="auto"/>
        <w:left w:val="none" w:sz="0" w:space="0" w:color="auto"/>
        <w:bottom w:val="none" w:sz="0" w:space="0" w:color="auto"/>
        <w:right w:val="none" w:sz="0" w:space="0" w:color="auto"/>
      </w:divBdr>
    </w:div>
    <w:div w:id="1857426174">
      <w:marLeft w:val="0"/>
      <w:marRight w:val="0"/>
      <w:marTop w:val="100"/>
      <w:marBottom w:val="0"/>
      <w:divBdr>
        <w:top w:val="none" w:sz="0" w:space="0" w:color="auto"/>
        <w:left w:val="none" w:sz="0" w:space="0" w:color="auto"/>
        <w:bottom w:val="none" w:sz="0" w:space="0" w:color="auto"/>
        <w:right w:val="none" w:sz="0" w:space="0" w:color="auto"/>
      </w:divBdr>
    </w:div>
    <w:div w:id="1857500366">
      <w:marLeft w:val="0"/>
      <w:marRight w:val="0"/>
      <w:marTop w:val="180"/>
      <w:marBottom w:val="180"/>
      <w:divBdr>
        <w:top w:val="none" w:sz="0" w:space="0" w:color="auto"/>
        <w:left w:val="none" w:sz="0" w:space="0" w:color="auto"/>
        <w:bottom w:val="none" w:sz="0" w:space="0" w:color="auto"/>
        <w:right w:val="none" w:sz="0" w:space="0" w:color="auto"/>
      </w:divBdr>
    </w:div>
    <w:div w:id="1858157796">
      <w:marLeft w:val="0"/>
      <w:marRight w:val="0"/>
      <w:marTop w:val="180"/>
      <w:marBottom w:val="180"/>
      <w:divBdr>
        <w:top w:val="none" w:sz="0" w:space="0" w:color="auto"/>
        <w:left w:val="none" w:sz="0" w:space="0" w:color="auto"/>
        <w:bottom w:val="none" w:sz="0" w:space="0" w:color="auto"/>
        <w:right w:val="none" w:sz="0" w:space="0" w:color="auto"/>
      </w:divBdr>
    </w:div>
    <w:div w:id="1859734419">
      <w:marLeft w:val="0"/>
      <w:marRight w:val="0"/>
      <w:marTop w:val="0"/>
      <w:marBottom w:val="240"/>
      <w:divBdr>
        <w:top w:val="none" w:sz="0" w:space="0" w:color="auto"/>
        <w:left w:val="none" w:sz="0" w:space="0" w:color="auto"/>
        <w:bottom w:val="none" w:sz="0" w:space="0" w:color="auto"/>
        <w:right w:val="none" w:sz="0" w:space="0" w:color="auto"/>
      </w:divBdr>
    </w:div>
    <w:div w:id="1859848652">
      <w:marLeft w:val="0"/>
      <w:marRight w:val="0"/>
      <w:marTop w:val="0"/>
      <w:marBottom w:val="0"/>
      <w:divBdr>
        <w:top w:val="none" w:sz="0" w:space="0" w:color="auto"/>
        <w:left w:val="none" w:sz="0" w:space="0" w:color="auto"/>
        <w:bottom w:val="none" w:sz="0" w:space="0" w:color="auto"/>
        <w:right w:val="none" w:sz="0" w:space="0" w:color="auto"/>
      </w:divBdr>
      <w:divsChild>
        <w:div w:id="586160513">
          <w:marLeft w:val="0"/>
          <w:marRight w:val="0"/>
          <w:marTop w:val="0"/>
          <w:marBottom w:val="0"/>
          <w:divBdr>
            <w:top w:val="none" w:sz="0" w:space="0" w:color="auto"/>
            <w:left w:val="none" w:sz="0" w:space="0" w:color="auto"/>
            <w:bottom w:val="none" w:sz="0" w:space="0" w:color="auto"/>
            <w:right w:val="none" w:sz="0" w:space="0" w:color="auto"/>
          </w:divBdr>
        </w:div>
      </w:divsChild>
    </w:div>
    <w:div w:id="1861506967">
      <w:marLeft w:val="0"/>
      <w:marRight w:val="0"/>
      <w:marTop w:val="0"/>
      <w:marBottom w:val="180"/>
      <w:divBdr>
        <w:top w:val="none" w:sz="0" w:space="0" w:color="auto"/>
        <w:left w:val="none" w:sz="0" w:space="0" w:color="auto"/>
        <w:bottom w:val="none" w:sz="0" w:space="0" w:color="auto"/>
        <w:right w:val="none" w:sz="0" w:space="0" w:color="auto"/>
      </w:divBdr>
    </w:div>
    <w:div w:id="1862357936">
      <w:marLeft w:val="0"/>
      <w:marRight w:val="0"/>
      <w:marTop w:val="0"/>
      <w:marBottom w:val="240"/>
      <w:divBdr>
        <w:top w:val="none" w:sz="0" w:space="0" w:color="auto"/>
        <w:left w:val="none" w:sz="0" w:space="0" w:color="auto"/>
        <w:bottom w:val="none" w:sz="0" w:space="0" w:color="auto"/>
        <w:right w:val="none" w:sz="0" w:space="0" w:color="auto"/>
      </w:divBdr>
    </w:div>
    <w:div w:id="1862932653">
      <w:marLeft w:val="0"/>
      <w:marRight w:val="0"/>
      <w:marTop w:val="0"/>
      <w:marBottom w:val="240"/>
      <w:divBdr>
        <w:top w:val="none" w:sz="0" w:space="0" w:color="auto"/>
        <w:left w:val="none" w:sz="0" w:space="0" w:color="auto"/>
        <w:bottom w:val="none" w:sz="0" w:space="0" w:color="auto"/>
        <w:right w:val="none" w:sz="0" w:space="0" w:color="auto"/>
      </w:divBdr>
    </w:div>
    <w:div w:id="1863593538">
      <w:marLeft w:val="0"/>
      <w:marRight w:val="0"/>
      <w:marTop w:val="0"/>
      <w:marBottom w:val="180"/>
      <w:divBdr>
        <w:top w:val="none" w:sz="0" w:space="0" w:color="auto"/>
        <w:left w:val="none" w:sz="0" w:space="0" w:color="auto"/>
        <w:bottom w:val="none" w:sz="0" w:space="0" w:color="auto"/>
        <w:right w:val="none" w:sz="0" w:space="0" w:color="auto"/>
      </w:divBdr>
    </w:div>
    <w:div w:id="1863670392">
      <w:marLeft w:val="0"/>
      <w:marRight w:val="0"/>
      <w:marTop w:val="0"/>
      <w:marBottom w:val="180"/>
      <w:divBdr>
        <w:top w:val="none" w:sz="0" w:space="0" w:color="auto"/>
        <w:left w:val="none" w:sz="0" w:space="0" w:color="auto"/>
        <w:bottom w:val="none" w:sz="0" w:space="0" w:color="auto"/>
        <w:right w:val="none" w:sz="0" w:space="0" w:color="auto"/>
      </w:divBdr>
    </w:div>
    <w:div w:id="1863976090">
      <w:marLeft w:val="0"/>
      <w:marRight w:val="0"/>
      <w:marTop w:val="0"/>
      <w:marBottom w:val="0"/>
      <w:divBdr>
        <w:top w:val="none" w:sz="0" w:space="0" w:color="auto"/>
        <w:left w:val="none" w:sz="0" w:space="0" w:color="auto"/>
        <w:bottom w:val="none" w:sz="0" w:space="0" w:color="auto"/>
        <w:right w:val="none" w:sz="0" w:space="0" w:color="auto"/>
      </w:divBdr>
    </w:div>
    <w:div w:id="1864049626">
      <w:marLeft w:val="0"/>
      <w:marRight w:val="0"/>
      <w:marTop w:val="0"/>
      <w:marBottom w:val="180"/>
      <w:divBdr>
        <w:top w:val="none" w:sz="0" w:space="0" w:color="auto"/>
        <w:left w:val="none" w:sz="0" w:space="0" w:color="auto"/>
        <w:bottom w:val="none" w:sz="0" w:space="0" w:color="auto"/>
        <w:right w:val="none" w:sz="0" w:space="0" w:color="auto"/>
      </w:divBdr>
    </w:div>
    <w:div w:id="1864591366">
      <w:marLeft w:val="0"/>
      <w:marRight w:val="0"/>
      <w:marTop w:val="0"/>
      <w:marBottom w:val="180"/>
      <w:divBdr>
        <w:top w:val="none" w:sz="0" w:space="0" w:color="auto"/>
        <w:left w:val="none" w:sz="0" w:space="0" w:color="auto"/>
        <w:bottom w:val="none" w:sz="0" w:space="0" w:color="auto"/>
        <w:right w:val="none" w:sz="0" w:space="0" w:color="auto"/>
      </w:divBdr>
    </w:div>
    <w:div w:id="1864708245">
      <w:marLeft w:val="0"/>
      <w:marRight w:val="0"/>
      <w:marTop w:val="0"/>
      <w:marBottom w:val="240"/>
      <w:divBdr>
        <w:top w:val="none" w:sz="0" w:space="0" w:color="auto"/>
        <w:left w:val="none" w:sz="0" w:space="0" w:color="auto"/>
        <w:bottom w:val="none" w:sz="0" w:space="0" w:color="auto"/>
        <w:right w:val="none" w:sz="0" w:space="0" w:color="auto"/>
      </w:divBdr>
    </w:div>
    <w:div w:id="1864899750">
      <w:marLeft w:val="0"/>
      <w:marRight w:val="0"/>
      <w:marTop w:val="0"/>
      <w:marBottom w:val="0"/>
      <w:divBdr>
        <w:top w:val="none" w:sz="0" w:space="0" w:color="auto"/>
        <w:left w:val="none" w:sz="0" w:space="0" w:color="auto"/>
        <w:bottom w:val="none" w:sz="0" w:space="0" w:color="auto"/>
        <w:right w:val="none" w:sz="0" w:space="0" w:color="auto"/>
      </w:divBdr>
      <w:divsChild>
        <w:div w:id="1686053883">
          <w:marLeft w:val="0"/>
          <w:marRight w:val="0"/>
          <w:marTop w:val="0"/>
          <w:marBottom w:val="0"/>
          <w:divBdr>
            <w:top w:val="none" w:sz="0" w:space="0" w:color="auto"/>
            <w:left w:val="none" w:sz="0" w:space="0" w:color="auto"/>
            <w:bottom w:val="none" w:sz="0" w:space="0" w:color="auto"/>
            <w:right w:val="none" w:sz="0" w:space="0" w:color="auto"/>
          </w:divBdr>
        </w:div>
      </w:divsChild>
    </w:div>
    <w:div w:id="1865941283">
      <w:marLeft w:val="0"/>
      <w:marRight w:val="0"/>
      <w:marTop w:val="0"/>
      <w:marBottom w:val="0"/>
      <w:divBdr>
        <w:top w:val="none" w:sz="0" w:space="0" w:color="auto"/>
        <w:left w:val="none" w:sz="0" w:space="0" w:color="auto"/>
        <w:bottom w:val="none" w:sz="0" w:space="0" w:color="auto"/>
        <w:right w:val="none" w:sz="0" w:space="0" w:color="auto"/>
      </w:divBdr>
    </w:div>
    <w:div w:id="1867936862">
      <w:marLeft w:val="0"/>
      <w:marRight w:val="0"/>
      <w:marTop w:val="0"/>
      <w:marBottom w:val="180"/>
      <w:divBdr>
        <w:top w:val="none" w:sz="0" w:space="0" w:color="auto"/>
        <w:left w:val="none" w:sz="0" w:space="0" w:color="auto"/>
        <w:bottom w:val="none" w:sz="0" w:space="0" w:color="auto"/>
        <w:right w:val="none" w:sz="0" w:space="0" w:color="auto"/>
      </w:divBdr>
    </w:div>
    <w:div w:id="1868060654">
      <w:marLeft w:val="0"/>
      <w:marRight w:val="0"/>
      <w:marTop w:val="0"/>
      <w:marBottom w:val="180"/>
      <w:divBdr>
        <w:top w:val="none" w:sz="0" w:space="0" w:color="auto"/>
        <w:left w:val="none" w:sz="0" w:space="0" w:color="auto"/>
        <w:bottom w:val="none" w:sz="0" w:space="0" w:color="auto"/>
        <w:right w:val="none" w:sz="0" w:space="0" w:color="auto"/>
      </w:divBdr>
    </w:div>
    <w:div w:id="1869102230">
      <w:marLeft w:val="0"/>
      <w:marRight w:val="0"/>
      <w:marTop w:val="0"/>
      <w:marBottom w:val="0"/>
      <w:divBdr>
        <w:top w:val="none" w:sz="0" w:space="0" w:color="auto"/>
        <w:left w:val="none" w:sz="0" w:space="0" w:color="auto"/>
        <w:bottom w:val="none" w:sz="0" w:space="0" w:color="auto"/>
        <w:right w:val="none" w:sz="0" w:space="0" w:color="auto"/>
      </w:divBdr>
      <w:divsChild>
        <w:div w:id="2012950828">
          <w:marLeft w:val="0"/>
          <w:marRight w:val="0"/>
          <w:marTop w:val="0"/>
          <w:marBottom w:val="0"/>
          <w:divBdr>
            <w:top w:val="none" w:sz="0" w:space="0" w:color="auto"/>
            <w:left w:val="none" w:sz="0" w:space="0" w:color="auto"/>
            <w:bottom w:val="none" w:sz="0" w:space="0" w:color="auto"/>
            <w:right w:val="none" w:sz="0" w:space="0" w:color="auto"/>
          </w:divBdr>
        </w:div>
      </w:divsChild>
    </w:div>
    <w:div w:id="1869220083">
      <w:marLeft w:val="0"/>
      <w:marRight w:val="0"/>
      <w:marTop w:val="0"/>
      <w:marBottom w:val="0"/>
      <w:divBdr>
        <w:top w:val="none" w:sz="0" w:space="0" w:color="auto"/>
        <w:left w:val="none" w:sz="0" w:space="0" w:color="auto"/>
        <w:bottom w:val="none" w:sz="0" w:space="0" w:color="auto"/>
        <w:right w:val="none" w:sz="0" w:space="0" w:color="auto"/>
      </w:divBdr>
      <w:divsChild>
        <w:div w:id="237176658">
          <w:marLeft w:val="0"/>
          <w:marRight w:val="0"/>
          <w:marTop w:val="0"/>
          <w:marBottom w:val="0"/>
          <w:divBdr>
            <w:top w:val="none" w:sz="0" w:space="0" w:color="auto"/>
            <w:left w:val="none" w:sz="0" w:space="0" w:color="auto"/>
            <w:bottom w:val="none" w:sz="0" w:space="0" w:color="auto"/>
            <w:right w:val="none" w:sz="0" w:space="0" w:color="auto"/>
          </w:divBdr>
        </w:div>
      </w:divsChild>
    </w:div>
    <w:div w:id="1870024625">
      <w:marLeft w:val="0"/>
      <w:marRight w:val="0"/>
      <w:marTop w:val="0"/>
      <w:marBottom w:val="240"/>
      <w:divBdr>
        <w:top w:val="none" w:sz="0" w:space="0" w:color="auto"/>
        <w:left w:val="none" w:sz="0" w:space="0" w:color="auto"/>
        <w:bottom w:val="none" w:sz="0" w:space="0" w:color="auto"/>
        <w:right w:val="none" w:sz="0" w:space="0" w:color="auto"/>
      </w:divBdr>
    </w:div>
    <w:div w:id="1870217817">
      <w:marLeft w:val="0"/>
      <w:marRight w:val="0"/>
      <w:marTop w:val="0"/>
      <w:marBottom w:val="180"/>
      <w:divBdr>
        <w:top w:val="none" w:sz="0" w:space="0" w:color="auto"/>
        <w:left w:val="none" w:sz="0" w:space="0" w:color="auto"/>
        <w:bottom w:val="none" w:sz="0" w:space="0" w:color="auto"/>
        <w:right w:val="none" w:sz="0" w:space="0" w:color="auto"/>
      </w:divBdr>
    </w:div>
    <w:div w:id="1871258629">
      <w:marLeft w:val="0"/>
      <w:marRight w:val="0"/>
      <w:marTop w:val="0"/>
      <w:marBottom w:val="0"/>
      <w:divBdr>
        <w:top w:val="none" w:sz="0" w:space="0" w:color="auto"/>
        <w:left w:val="none" w:sz="0" w:space="0" w:color="auto"/>
        <w:bottom w:val="none" w:sz="0" w:space="0" w:color="auto"/>
        <w:right w:val="none" w:sz="0" w:space="0" w:color="auto"/>
      </w:divBdr>
    </w:div>
    <w:div w:id="1871990720">
      <w:marLeft w:val="0"/>
      <w:marRight w:val="0"/>
      <w:marTop w:val="0"/>
      <w:marBottom w:val="240"/>
      <w:divBdr>
        <w:top w:val="none" w:sz="0" w:space="0" w:color="auto"/>
        <w:left w:val="none" w:sz="0" w:space="0" w:color="auto"/>
        <w:bottom w:val="none" w:sz="0" w:space="0" w:color="auto"/>
        <w:right w:val="none" w:sz="0" w:space="0" w:color="auto"/>
      </w:divBdr>
    </w:div>
    <w:div w:id="1875342650">
      <w:marLeft w:val="0"/>
      <w:marRight w:val="0"/>
      <w:marTop w:val="0"/>
      <w:marBottom w:val="0"/>
      <w:divBdr>
        <w:top w:val="none" w:sz="0" w:space="0" w:color="auto"/>
        <w:left w:val="none" w:sz="0" w:space="0" w:color="auto"/>
        <w:bottom w:val="none" w:sz="0" w:space="0" w:color="auto"/>
        <w:right w:val="none" w:sz="0" w:space="0" w:color="auto"/>
      </w:divBdr>
      <w:divsChild>
        <w:div w:id="368844558">
          <w:marLeft w:val="0"/>
          <w:marRight w:val="0"/>
          <w:marTop w:val="0"/>
          <w:marBottom w:val="0"/>
          <w:divBdr>
            <w:top w:val="none" w:sz="0" w:space="0" w:color="auto"/>
            <w:left w:val="none" w:sz="0" w:space="0" w:color="auto"/>
            <w:bottom w:val="none" w:sz="0" w:space="0" w:color="auto"/>
            <w:right w:val="none" w:sz="0" w:space="0" w:color="auto"/>
          </w:divBdr>
        </w:div>
      </w:divsChild>
    </w:div>
    <w:div w:id="1875464260">
      <w:marLeft w:val="0"/>
      <w:marRight w:val="0"/>
      <w:marTop w:val="0"/>
      <w:marBottom w:val="180"/>
      <w:divBdr>
        <w:top w:val="none" w:sz="0" w:space="0" w:color="auto"/>
        <w:left w:val="none" w:sz="0" w:space="0" w:color="auto"/>
        <w:bottom w:val="none" w:sz="0" w:space="0" w:color="auto"/>
        <w:right w:val="none" w:sz="0" w:space="0" w:color="auto"/>
      </w:divBdr>
    </w:div>
    <w:div w:id="1876312369">
      <w:marLeft w:val="0"/>
      <w:marRight w:val="0"/>
      <w:marTop w:val="100"/>
      <w:marBottom w:val="180"/>
      <w:divBdr>
        <w:top w:val="none" w:sz="0" w:space="0" w:color="auto"/>
        <w:left w:val="none" w:sz="0" w:space="0" w:color="auto"/>
        <w:bottom w:val="none" w:sz="0" w:space="0" w:color="auto"/>
        <w:right w:val="none" w:sz="0" w:space="0" w:color="auto"/>
      </w:divBdr>
    </w:div>
    <w:div w:id="1876654323">
      <w:marLeft w:val="0"/>
      <w:marRight w:val="0"/>
      <w:marTop w:val="0"/>
      <w:marBottom w:val="180"/>
      <w:divBdr>
        <w:top w:val="none" w:sz="0" w:space="0" w:color="auto"/>
        <w:left w:val="none" w:sz="0" w:space="0" w:color="auto"/>
        <w:bottom w:val="none" w:sz="0" w:space="0" w:color="auto"/>
        <w:right w:val="none" w:sz="0" w:space="0" w:color="auto"/>
      </w:divBdr>
    </w:div>
    <w:div w:id="1877349202">
      <w:marLeft w:val="0"/>
      <w:marRight w:val="0"/>
      <w:marTop w:val="0"/>
      <w:marBottom w:val="240"/>
      <w:divBdr>
        <w:top w:val="none" w:sz="0" w:space="0" w:color="auto"/>
        <w:left w:val="none" w:sz="0" w:space="0" w:color="auto"/>
        <w:bottom w:val="none" w:sz="0" w:space="0" w:color="auto"/>
        <w:right w:val="none" w:sz="0" w:space="0" w:color="auto"/>
      </w:divBdr>
    </w:div>
    <w:div w:id="1880167781">
      <w:marLeft w:val="0"/>
      <w:marRight w:val="0"/>
      <w:marTop w:val="0"/>
      <w:marBottom w:val="0"/>
      <w:divBdr>
        <w:top w:val="none" w:sz="0" w:space="0" w:color="auto"/>
        <w:left w:val="none" w:sz="0" w:space="0" w:color="auto"/>
        <w:bottom w:val="none" w:sz="0" w:space="0" w:color="auto"/>
        <w:right w:val="none" w:sz="0" w:space="0" w:color="auto"/>
      </w:divBdr>
    </w:div>
    <w:div w:id="1880433545">
      <w:marLeft w:val="0"/>
      <w:marRight w:val="0"/>
      <w:marTop w:val="0"/>
      <w:marBottom w:val="0"/>
      <w:divBdr>
        <w:top w:val="none" w:sz="0" w:space="0" w:color="auto"/>
        <w:left w:val="none" w:sz="0" w:space="0" w:color="auto"/>
        <w:bottom w:val="none" w:sz="0" w:space="0" w:color="auto"/>
        <w:right w:val="none" w:sz="0" w:space="0" w:color="auto"/>
      </w:divBdr>
      <w:divsChild>
        <w:div w:id="1489328310">
          <w:marLeft w:val="0"/>
          <w:marRight w:val="0"/>
          <w:marTop w:val="0"/>
          <w:marBottom w:val="0"/>
          <w:divBdr>
            <w:top w:val="none" w:sz="0" w:space="0" w:color="auto"/>
            <w:left w:val="none" w:sz="0" w:space="0" w:color="auto"/>
            <w:bottom w:val="none" w:sz="0" w:space="0" w:color="auto"/>
            <w:right w:val="none" w:sz="0" w:space="0" w:color="auto"/>
          </w:divBdr>
        </w:div>
      </w:divsChild>
    </w:div>
    <w:div w:id="1881354737">
      <w:marLeft w:val="0"/>
      <w:marRight w:val="0"/>
      <w:marTop w:val="0"/>
      <w:marBottom w:val="240"/>
      <w:divBdr>
        <w:top w:val="none" w:sz="0" w:space="0" w:color="auto"/>
        <w:left w:val="none" w:sz="0" w:space="0" w:color="auto"/>
        <w:bottom w:val="none" w:sz="0" w:space="0" w:color="auto"/>
        <w:right w:val="none" w:sz="0" w:space="0" w:color="auto"/>
      </w:divBdr>
    </w:div>
    <w:div w:id="1881671248">
      <w:marLeft w:val="0"/>
      <w:marRight w:val="0"/>
      <w:marTop w:val="0"/>
      <w:marBottom w:val="0"/>
      <w:divBdr>
        <w:top w:val="none" w:sz="0" w:space="0" w:color="auto"/>
        <w:left w:val="none" w:sz="0" w:space="0" w:color="auto"/>
        <w:bottom w:val="none" w:sz="0" w:space="0" w:color="auto"/>
        <w:right w:val="none" w:sz="0" w:space="0" w:color="auto"/>
      </w:divBdr>
    </w:div>
    <w:div w:id="1882396226">
      <w:marLeft w:val="0"/>
      <w:marRight w:val="0"/>
      <w:marTop w:val="0"/>
      <w:marBottom w:val="0"/>
      <w:divBdr>
        <w:top w:val="none" w:sz="0" w:space="0" w:color="auto"/>
        <w:left w:val="none" w:sz="0" w:space="0" w:color="auto"/>
        <w:bottom w:val="none" w:sz="0" w:space="0" w:color="auto"/>
        <w:right w:val="none" w:sz="0" w:space="0" w:color="auto"/>
      </w:divBdr>
      <w:divsChild>
        <w:div w:id="506209822">
          <w:marLeft w:val="0"/>
          <w:marRight w:val="0"/>
          <w:marTop w:val="0"/>
          <w:marBottom w:val="0"/>
          <w:divBdr>
            <w:top w:val="none" w:sz="0" w:space="0" w:color="auto"/>
            <w:left w:val="none" w:sz="0" w:space="0" w:color="auto"/>
            <w:bottom w:val="none" w:sz="0" w:space="0" w:color="auto"/>
            <w:right w:val="none" w:sz="0" w:space="0" w:color="auto"/>
          </w:divBdr>
        </w:div>
      </w:divsChild>
    </w:div>
    <w:div w:id="1883205303">
      <w:marLeft w:val="0"/>
      <w:marRight w:val="0"/>
      <w:marTop w:val="0"/>
      <w:marBottom w:val="0"/>
      <w:divBdr>
        <w:top w:val="none" w:sz="0" w:space="0" w:color="auto"/>
        <w:left w:val="none" w:sz="0" w:space="0" w:color="auto"/>
        <w:bottom w:val="none" w:sz="0" w:space="0" w:color="auto"/>
        <w:right w:val="none" w:sz="0" w:space="0" w:color="auto"/>
      </w:divBdr>
    </w:div>
    <w:div w:id="1883903151">
      <w:marLeft w:val="0"/>
      <w:marRight w:val="0"/>
      <w:marTop w:val="0"/>
      <w:marBottom w:val="0"/>
      <w:divBdr>
        <w:top w:val="none" w:sz="0" w:space="0" w:color="auto"/>
        <w:left w:val="none" w:sz="0" w:space="0" w:color="auto"/>
        <w:bottom w:val="none" w:sz="0" w:space="0" w:color="auto"/>
        <w:right w:val="none" w:sz="0" w:space="0" w:color="auto"/>
      </w:divBdr>
      <w:divsChild>
        <w:div w:id="1046103985">
          <w:marLeft w:val="0"/>
          <w:marRight w:val="0"/>
          <w:marTop w:val="0"/>
          <w:marBottom w:val="0"/>
          <w:divBdr>
            <w:top w:val="none" w:sz="0" w:space="0" w:color="auto"/>
            <w:left w:val="none" w:sz="0" w:space="0" w:color="auto"/>
            <w:bottom w:val="none" w:sz="0" w:space="0" w:color="auto"/>
            <w:right w:val="none" w:sz="0" w:space="0" w:color="auto"/>
          </w:divBdr>
        </w:div>
      </w:divsChild>
    </w:div>
    <w:div w:id="1884054749">
      <w:marLeft w:val="0"/>
      <w:marRight w:val="0"/>
      <w:marTop w:val="180"/>
      <w:marBottom w:val="180"/>
      <w:divBdr>
        <w:top w:val="none" w:sz="0" w:space="0" w:color="auto"/>
        <w:left w:val="none" w:sz="0" w:space="0" w:color="auto"/>
        <w:bottom w:val="none" w:sz="0" w:space="0" w:color="auto"/>
        <w:right w:val="none" w:sz="0" w:space="0" w:color="auto"/>
      </w:divBdr>
    </w:div>
    <w:div w:id="1884362125">
      <w:marLeft w:val="0"/>
      <w:marRight w:val="0"/>
      <w:marTop w:val="120"/>
      <w:marBottom w:val="120"/>
      <w:divBdr>
        <w:top w:val="none" w:sz="0" w:space="0" w:color="auto"/>
        <w:left w:val="none" w:sz="0" w:space="0" w:color="auto"/>
        <w:bottom w:val="none" w:sz="0" w:space="0" w:color="auto"/>
        <w:right w:val="none" w:sz="0" w:space="0" w:color="auto"/>
      </w:divBdr>
    </w:div>
    <w:div w:id="1884831284">
      <w:marLeft w:val="0"/>
      <w:marRight w:val="0"/>
      <w:marTop w:val="180"/>
      <w:marBottom w:val="180"/>
      <w:divBdr>
        <w:top w:val="none" w:sz="0" w:space="0" w:color="auto"/>
        <w:left w:val="none" w:sz="0" w:space="0" w:color="auto"/>
        <w:bottom w:val="none" w:sz="0" w:space="0" w:color="auto"/>
        <w:right w:val="none" w:sz="0" w:space="0" w:color="auto"/>
      </w:divBdr>
    </w:div>
    <w:div w:id="1885365446">
      <w:marLeft w:val="0"/>
      <w:marRight w:val="0"/>
      <w:marTop w:val="180"/>
      <w:marBottom w:val="180"/>
      <w:divBdr>
        <w:top w:val="none" w:sz="0" w:space="0" w:color="auto"/>
        <w:left w:val="none" w:sz="0" w:space="0" w:color="auto"/>
        <w:bottom w:val="none" w:sz="0" w:space="0" w:color="auto"/>
        <w:right w:val="none" w:sz="0" w:space="0" w:color="auto"/>
      </w:divBdr>
    </w:div>
    <w:div w:id="1885798664">
      <w:marLeft w:val="0"/>
      <w:marRight w:val="0"/>
      <w:marTop w:val="0"/>
      <w:marBottom w:val="240"/>
      <w:divBdr>
        <w:top w:val="none" w:sz="0" w:space="0" w:color="auto"/>
        <w:left w:val="none" w:sz="0" w:space="0" w:color="auto"/>
        <w:bottom w:val="none" w:sz="0" w:space="0" w:color="auto"/>
        <w:right w:val="none" w:sz="0" w:space="0" w:color="auto"/>
      </w:divBdr>
    </w:div>
    <w:div w:id="1886410087">
      <w:marLeft w:val="0"/>
      <w:marRight w:val="0"/>
      <w:marTop w:val="0"/>
      <w:marBottom w:val="180"/>
      <w:divBdr>
        <w:top w:val="none" w:sz="0" w:space="0" w:color="auto"/>
        <w:left w:val="none" w:sz="0" w:space="0" w:color="auto"/>
        <w:bottom w:val="none" w:sz="0" w:space="0" w:color="auto"/>
        <w:right w:val="none" w:sz="0" w:space="0" w:color="auto"/>
      </w:divBdr>
    </w:div>
    <w:div w:id="1886983323">
      <w:marLeft w:val="0"/>
      <w:marRight w:val="0"/>
      <w:marTop w:val="0"/>
      <w:marBottom w:val="0"/>
      <w:divBdr>
        <w:top w:val="none" w:sz="0" w:space="0" w:color="auto"/>
        <w:left w:val="none" w:sz="0" w:space="0" w:color="auto"/>
        <w:bottom w:val="none" w:sz="0" w:space="0" w:color="auto"/>
        <w:right w:val="none" w:sz="0" w:space="0" w:color="auto"/>
      </w:divBdr>
      <w:divsChild>
        <w:div w:id="1002664070">
          <w:marLeft w:val="0"/>
          <w:marRight w:val="0"/>
          <w:marTop w:val="0"/>
          <w:marBottom w:val="0"/>
          <w:divBdr>
            <w:top w:val="none" w:sz="0" w:space="0" w:color="auto"/>
            <w:left w:val="none" w:sz="0" w:space="0" w:color="auto"/>
            <w:bottom w:val="none" w:sz="0" w:space="0" w:color="auto"/>
            <w:right w:val="none" w:sz="0" w:space="0" w:color="auto"/>
          </w:divBdr>
        </w:div>
      </w:divsChild>
    </w:div>
    <w:div w:id="1889032704">
      <w:marLeft w:val="0"/>
      <w:marRight w:val="0"/>
      <w:marTop w:val="0"/>
      <w:marBottom w:val="0"/>
      <w:divBdr>
        <w:top w:val="none" w:sz="0" w:space="0" w:color="auto"/>
        <w:left w:val="none" w:sz="0" w:space="0" w:color="auto"/>
        <w:bottom w:val="none" w:sz="0" w:space="0" w:color="auto"/>
        <w:right w:val="none" w:sz="0" w:space="0" w:color="auto"/>
      </w:divBdr>
    </w:div>
    <w:div w:id="1889685237">
      <w:marLeft w:val="0"/>
      <w:marRight w:val="0"/>
      <w:marTop w:val="180"/>
      <w:marBottom w:val="180"/>
      <w:divBdr>
        <w:top w:val="none" w:sz="0" w:space="0" w:color="auto"/>
        <w:left w:val="none" w:sz="0" w:space="0" w:color="auto"/>
        <w:bottom w:val="none" w:sz="0" w:space="0" w:color="auto"/>
        <w:right w:val="none" w:sz="0" w:space="0" w:color="auto"/>
      </w:divBdr>
    </w:div>
    <w:div w:id="1889757504">
      <w:marLeft w:val="0"/>
      <w:marRight w:val="0"/>
      <w:marTop w:val="0"/>
      <w:marBottom w:val="180"/>
      <w:divBdr>
        <w:top w:val="none" w:sz="0" w:space="0" w:color="auto"/>
        <w:left w:val="none" w:sz="0" w:space="0" w:color="auto"/>
        <w:bottom w:val="none" w:sz="0" w:space="0" w:color="auto"/>
        <w:right w:val="none" w:sz="0" w:space="0" w:color="auto"/>
      </w:divBdr>
    </w:div>
    <w:div w:id="1889801365">
      <w:marLeft w:val="0"/>
      <w:marRight w:val="0"/>
      <w:marTop w:val="0"/>
      <w:marBottom w:val="180"/>
      <w:divBdr>
        <w:top w:val="none" w:sz="0" w:space="0" w:color="auto"/>
        <w:left w:val="none" w:sz="0" w:space="0" w:color="auto"/>
        <w:bottom w:val="none" w:sz="0" w:space="0" w:color="auto"/>
        <w:right w:val="none" w:sz="0" w:space="0" w:color="auto"/>
      </w:divBdr>
    </w:div>
    <w:div w:id="1890453095">
      <w:marLeft w:val="0"/>
      <w:marRight w:val="0"/>
      <w:marTop w:val="0"/>
      <w:marBottom w:val="240"/>
      <w:divBdr>
        <w:top w:val="none" w:sz="0" w:space="0" w:color="auto"/>
        <w:left w:val="none" w:sz="0" w:space="0" w:color="auto"/>
        <w:bottom w:val="none" w:sz="0" w:space="0" w:color="auto"/>
        <w:right w:val="none" w:sz="0" w:space="0" w:color="auto"/>
      </w:divBdr>
    </w:div>
    <w:div w:id="1890649774">
      <w:marLeft w:val="0"/>
      <w:marRight w:val="0"/>
      <w:marTop w:val="0"/>
      <w:marBottom w:val="0"/>
      <w:divBdr>
        <w:top w:val="none" w:sz="0" w:space="0" w:color="auto"/>
        <w:left w:val="none" w:sz="0" w:space="0" w:color="auto"/>
        <w:bottom w:val="none" w:sz="0" w:space="0" w:color="auto"/>
        <w:right w:val="none" w:sz="0" w:space="0" w:color="auto"/>
      </w:divBdr>
      <w:divsChild>
        <w:div w:id="1624379616">
          <w:marLeft w:val="0"/>
          <w:marRight w:val="0"/>
          <w:marTop w:val="0"/>
          <w:marBottom w:val="0"/>
          <w:divBdr>
            <w:top w:val="none" w:sz="0" w:space="0" w:color="auto"/>
            <w:left w:val="none" w:sz="0" w:space="0" w:color="auto"/>
            <w:bottom w:val="none" w:sz="0" w:space="0" w:color="auto"/>
            <w:right w:val="none" w:sz="0" w:space="0" w:color="auto"/>
          </w:divBdr>
        </w:div>
      </w:divsChild>
    </w:div>
    <w:div w:id="1891459241">
      <w:marLeft w:val="0"/>
      <w:marRight w:val="0"/>
      <w:marTop w:val="0"/>
      <w:marBottom w:val="240"/>
      <w:divBdr>
        <w:top w:val="none" w:sz="0" w:space="0" w:color="auto"/>
        <w:left w:val="none" w:sz="0" w:space="0" w:color="auto"/>
        <w:bottom w:val="none" w:sz="0" w:space="0" w:color="auto"/>
        <w:right w:val="none" w:sz="0" w:space="0" w:color="auto"/>
      </w:divBdr>
    </w:div>
    <w:div w:id="1892572542">
      <w:marLeft w:val="0"/>
      <w:marRight w:val="0"/>
      <w:marTop w:val="0"/>
      <w:marBottom w:val="0"/>
      <w:divBdr>
        <w:top w:val="none" w:sz="0" w:space="0" w:color="auto"/>
        <w:left w:val="none" w:sz="0" w:space="0" w:color="auto"/>
        <w:bottom w:val="none" w:sz="0" w:space="0" w:color="auto"/>
        <w:right w:val="none" w:sz="0" w:space="0" w:color="auto"/>
      </w:divBdr>
    </w:div>
    <w:div w:id="1896163285">
      <w:marLeft w:val="0"/>
      <w:marRight w:val="0"/>
      <w:marTop w:val="0"/>
      <w:marBottom w:val="240"/>
      <w:divBdr>
        <w:top w:val="none" w:sz="0" w:space="0" w:color="auto"/>
        <w:left w:val="none" w:sz="0" w:space="0" w:color="auto"/>
        <w:bottom w:val="none" w:sz="0" w:space="0" w:color="auto"/>
        <w:right w:val="none" w:sz="0" w:space="0" w:color="auto"/>
      </w:divBdr>
    </w:div>
    <w:div w:id="1896429849">
      <w:marLeft w:val="0"/>
      <w:marRight w:val="0"/>
      <w:marTop w:val="0"/>
      <w:marBottom w:val="240"/>
      <w:divBdr>
        <w:top w:val="none" w:sz="0" w:space="0" w:color="auto"/>
        <w:left w:val="none" w:sz="0" w:space="0" w:color="auto"/>
        <w:bottom w:val="none" w:sz="0" w:space="0" w:color="auto"/>
        <w:right w:val="none" w:sz="0" w:space="0" w:color="auto"/>
      </w:divBdr>
    </w:div>
    <w:div w:id="1896505864">
      <w:marLeft w:val="0"/>
      <w:marRight w:val="0"/>
      <w:marTop w:val="0"/>
      <w:marBottom w:val="240"/>
      <w:divBdr>
        <w:top w:val="none" w:sz="0" w:space="0" w:color="auto"/>
        <w:left w:val="none" w:sz="0" w:space="0" w:color="auto"/>
        <w:bottom w:val="none" w:sz="0" w:space="0" w:color="auto"/>
        <w:right w:val="none" w:sz="0" w:space="0" w:color="auto"/>
      </w:divBdr>
    </w:div>
    <w:div w:id="1896625272">
      <w:marLeft w:val="0"/>
      <w:marRight w:val="0"/>
      <w:marTop w:val="0"/>
      <w:marBottom w:val="0"/>
      <w:divBdr>
        <w:top w:val="none" w:sz="0" w:space="0" w:color="auto"/>
        <w:left w:val="none" w:sz="0" w:space="0" w:color="auto"/>
        <w:bottom w:val="none" w:sz="0" w:space="0" w:color="auto"/>
        <w:right w:val="none" w:sz="0" w:space="0" w:color="auto"/>
      </w:divBdr>
    </w:div>
    <w:div w:id="1896698937">
      <w:marLeft w:val="0"/>
      <w:marRight w:val="0"/>
      <w:marTop w:val="0"/>
      <w:marBottom w:val="0"/>
      <w:divBdr>
        <w:top w:val="none" w:sz="0" w:space="0" w:color="auto"/>
        <w:left w:val="none" w:sz="0" w:space="0" w:color="auto"/>
        <w:bottom w:val="none" w:sz="0" w:space="0" w:color="auto"/>
        <w:right w:val="none" w:sz="0" w:space="0" w:color="auto"/>
      </w:divBdr>
    </w:div>
    <w:div w:id="1896774027">
      <w:marLeft w:val="0"/>
      <w:marRight w:val="0"/>
      <w:marTop w:val="0"/>
      <w:marBottom w:val="180"/>
      <w:divBdr>
        <w:top w:val="none" w:sz="0" w:space="0" w:color="auto"/>
        <w:left w:val="none" w:sz="0" w:space="0" w:color="auto"/>
        <w:bottom w:val="none" w:sz="0" w:space="0" w:color="auto"/>
        <w:right w:val="none" w:sz="0" w:space="0" w:color="auto"/>
      </w:divBdr>
    </w:div>
    <w:div w:id="1896812418">
      <w:marLeft w:val="0"/>
      <w:marRight w:val="0"/>
      <w:marTop w:val="0"/>
      <w:marBottom w:val="240"/>
      <w:divBdr>
        <w:top w:val="none" w:sz="0" w:space="0" w:color="auto"/>
        <w:left w:val="none" w:sz="0" w:space="0" w:color="auto"/>
        <w:bottom w:val="none" w:sz="0" w:space="0" w:color="auto"/>
        <w:right w:val="none" w:sz="0" w:space="0" w:color="auto"/>
      </w:divBdr>
    </w:div>
    <w:div w:id="1897887909">
      <w:marLeft w:val="0"/>
      <w:marRight w:val="0"/>
      <w:marTop w:val="180"/>
      <w:marBottom w:val="180"/>
      <w:divBdr>
        <w:top w:val="none" w:sz="0" w:space="0" w:color="auto"/>
        <w:left w:val="none" w:sz="0" w:space="0" w:color="auto"/>
        <w:bottom w:val="none" w:sz="0" w:space="0" w:color="auto"/>
        <w:right w:val="none" w:sz="0" w:space="0" w:color="auto"/>
      </w:divBdr>
    </w:div>
    <w:div w:id="1898930023">
      <w:marLeft w:val="0"/>
      <w:marRight w:val="0"/>
      <w:marTop w:val="120"/>
      <w:marBottom w:val="120"/>
      <w:divBdr>
        <w:top w:val="none" w:sz="0" w:space="0" w:color="auto"/>
        <w:left w:val="none" w:sz="0" w:space="0" w:color="auto"/>
        <w:bottom w:val="none" w:sz="0" w:space="0" w:color="auto"/>
        <w:right w:val="none" w:sz="0" w:space="0" w:color="auto"/>
      </w:divBdr>
    </w:div>
    <w:div w:id="1899510549">
      <w:marLeft w:val="0"/>
      <w:marRight w:val="0"/>
      <w:marTop w:val="0"/>
      <w:marBottom w:val="240"/>
      <w:divBdr>
        <w:top w:val="none" w:sz="0" w:space="0" w:color="auto"/>
        <w:left w:val="none" w:sz="0" w:space="0" w:color="auto"/>
        <w:bottom w:val="none" w:sz="0" w:space="0" w:color="auto"/>
        <w:right w:val="none" w:sz="0" w:space="0" w:color="auto"/>
      </w:divBdr>
    </w:div>
    <w:div w:id="1899634602">
      <w:marLeft w:val="0"/>
      <w:marRight w:val="0"/>
      <w:marTop w:val="0"/>
      <w:marBottom w:val="240"/>
      <w:divBdr>
        <w:top w:val="none" w:sz="0" w:space="0" w:color="auto"/>
        <w:left w:val="none" w:sz="0" w:space="0" w:color="auto"/>
        <w:bottom w:val="none" w:sz="0" w:space="0" w:color="auto"/>
        <w:right w:val="none" w:sz="0" w:space="0" w:color="auto"/>
      </w:divBdr>
    </w:div>
    <w:div w:id="1900047501">
      <w:marLeft w:val="0"/>
      <w:marRight w:val="0"/>
      <w:marTop w:val="0"/>
      <w:marBottom w:val="180"/>
      <w:divBdr>
        <w:top w:val="none" w:sz="0" w:space="0" w:color="auto"/>
        <w:left w:val="none" w:sz="0" w:space="0" w:color="auto"/>
        <w:bottom w:val="none" w:sz="0" w:space="0" w:color="auto"/>
        <w:right w:val="none" w:sz="0" w:space="0" w:color="auto"/>
      </w:divBdr>
    </w:div>
    <w:div w:id="1901091509">
      <w:marLeft w:val="0"/>
      <w:marRight w:val="0"/>
      <w:marTop w:val="180"/>
      <w:marBottom w:val="180"/>
      <w:divBdr>
        <w:top w:val="none" w:sz="0" w:space="0" w:color="auto"/>
        <w:left w:val="none" w:sz="0" w:space="0" w:color="auto"/>
        <w:bottom w:val="none" w:sz="0" w:space="0" w:color="auto"/>
        <w:right w:val="none" w:sz="0" w:space="0" w:color="auto"/>
      </w:divBdr>
    </w:div>
    <w:div w:id="1901288689">
      <w:marLeft w:val="0"/>
      <w:marRight w:val="0"/>
      <w:marTop w:val="0"/>
      <w:marBottom w:val="240"/>
      <w:divBdr>
        <w:top w:val="none" w:sz="0" w:space="0" w:color="auto"/>
        <w:left w:val="none" w:sz="0" w:space="0" w:color="auto"/>
        <w:bottom w:val="none" w:sz="0" w:space="0" w:color="auto"/>
        <w:right w:val="none" w:sz="0" w:space="0" w:color="auto"/>
      </w:divBdr>
    </w:div>
    <w:div w:id="1901400867">
      <w:marLeft w:val="0"/>
      <w:marRight w:val="0"/>
      <w:marTop w:val="0"/>
      <w:marBottom w:val="0"/>
      <w:divBdr>
        <w:top w:val="none" w:sz="0" w:space="0" w:color="auto"/>
        <w:left w:val="none" w:sz="0" w:space="0" w:color="auto"/>
        <w:bottom w:val="none" w:sz="0" w:space="0" w:color="auto"/>
        <w:right w:val="none" w:sz="0" w:space="0" w:color="auto"/>
      </w:divBdr>
    </w:div>
    <w:div w:id="1901404092">
      <w:marLeft w:val="0"/>
      <w:marRight w:val="0"/>
      <w:marTop w:val="0"/>
      <w:marBottom w:val="180"/>
      <w:divBdr>
        <w:top w:val="none" w:sz="0" w:space="0" w:color="auto"/>
        <w:left w:val="none" w:sz="0" w:space="0" w:color="auto"/>
        <w:bottom w:val="none" w:sz="0" w:space="0" w:color="auto"/>
        <w:right w:val="none" w:sz="0" w:space="0" w:color="auto"/>
      </w:divBdr>
    </w:div>
    <w:div w:id="1901751210">
      <w:marLeft w:val="0"/>
      <w:marRight w:val="0"/>
      <w:marTop w:val="0"/>
      <w:marBottom w:val="180"/>
      <w:divBdr>
        <w:top w:val="none" w:sz="0" w:space="0" w:color="auto"/>
        <w:left w:val="none" w:sz="0" w:space="0" w:color="auto"/>
        <w:bottom w:val="none" w:sz="0" w:space="0" w:color="auto"/>
        <w:right w:val="none" w:sz="0" w:space="0" w:color="auto"/>
      </w:divBdr>
    </w:div>
    <w:div w:id="1902059002">
      <w:marLeft w:val="0"/>
      <w:marRight w:val="0"/>
      <w:marTop w:val="100"/>
      <w:marBottom w:val="240"/>
      <w:divBdr>
        <w:top w:val="none" w:sz="0" w:space="0" w:color="auto"/>
        <w:left w:val="none" w:sz="0" w:space="0" w:color="auto"/>
        <w:bottom w:val="none" w:sz="0" w:space="0" w:color="auto"/>
        <w:right w:val="none" w:sz="0" w:space="0" w:color="auto"/>
      </w:divBdr>
      <w:divsChild>
        <w:div w:id="2136213823">
          <w:marLeft w:val="0"/>
          <w:marRight w:val="0"/>
          <w:marTop w:val="0"/>
          <w:marBottom w:val="0"/>
          <w:divBdr>
            <w:top w:val="none" w:sz="0" w:space="0" w:color="auto"/>
            <w:left w:val="none" w:sz="0" w:space="0" w:color="auto"/>
            <w:bottom w:val="none" w:sz="0" w:space="0" w:color="auto"/>
            <w:right w:val="none" w:sz="0" w:space="0" w:color="auto"/>
          </w:divBdr>
        </w:div>
      </w:divsChild>
    </w:div>
    <w:div w:id="1903251820">
      <w:marLeft w:val="0"/>
      <w:marRight w:val="0"/>
      <w:marTop w:val="0"/>
      <w:marBottom w:val="180"/>
      <w:divBdr>
        <w:top w:val="none" w:sz="0" w:space="0" w:color="auto"/>
        <w:left w:val="none" w:sz="0" w:space="0" w:color="auto"/>
        <w:bottom w:val="none" w:sz="0" w:space="0" w:color="auto"/>
        <w:right w:val="none" w:sz="0" w:space="0" w:color="auto"/>
      </w:divBdr>
    </w:div>
    <w:div w:id="1904481642">
      <w:marLeft w:val="0"/>
      <w:marRight w:val="0"/>
      <w:marTop w:val="0"/>
      <w:marBottom w:val="0"/>
      <w:divBdr>
        <w:top w:val="none" w:sz="0" w:space="0" w:color="auto"/>
        <w:left w:val="none" w:sz="0" w:space="0" w:color="auto"/>
        <w:bottom w:val="none" w:sz="0" w:space="0" w:color="auto"/>
        <w:right w:val="none" w:sz="0" w:space="0" w:color="auto"/>
      </w:divBdr>
      <w:divsChild>
        <w:div w:id="2116707238">
          <w:marLeft w:val="0"/>
          <w:marRight w:val="0"/>
          <w:marTop w:val="0"/>
          <w:marBottom w:val="0"/>
          <w:divBdr>
            <w:top w:val="none" w:sz="0" w:space="0" w:color="auto"/>
            <w:left w:val="none" w:sz="0" w:space="0" w:color="auto"/>
            <w:bottom w:val="none" w:sz="0" w:space="0" w:color="auto"/>
            <w:right w:val="none" w:sz="0" w:space="0" w:color="auto"/>
          </w:divBdr>
        </w:div>
      </w:divsChild>
    </w:div>
    <w:div w:id="1906138590">
      <w:marLeft w:val="0"/>
      <w:marRight w:val="0"/>
      <w:marTop w:val="0"/>
      <w:marBottom w:val="180"/>
      <w:divBdr>
        <w:top w:val="none" w:sz="0" w:space="0" w:color="auto"/>
        <w:left w:val="none" w:sz="0" w:space="0" w:color="auto"/>
        <w:bottom w:val="none" w:sz="0" w:space="0" w:color="auto"/>
        <w:right w:val="none" w:sz="0" w:space="0" w:color="auto"/>
      </w:divBdr>
    </w:div>
    <w:div w:id="1906531506">
      <w:marLeft w:val="0"/>
      <w:marRight w:val="0"/>
      <w:marTop w:val="0"/>
      <w:marBottom w:val="180"/>
      <w:divBdr>
        <w:top w:val="none" w:sz="0" w:space="0" w:color="auto"/>
        <w:left w:val="none" w:sz="0" w:space="0" w:color="auto"/>
        <w:bottom w:val="none" w:sz="0" w:space="0" w:color="auto"/>
        <w:right w:val="none" w:sz="0" w:space="0" w:color="auto"/>
      </w:divBdr>
    </w:div>
    <w:div w:id="1907061274">
      <w:marLeft w:val="0"/>
      <w:marRight w:val="0"/>
      <w:marTop w:val="0"/>
      <w:marBottom w:val="0"/>
      <w:divBdr>
        <w:top w:val="none" w:sz="0" w:space="0" w:color="auto"/>
        <w:left w:val="none" w:sz="0" w:space="0" w:color="auto"/>
        <w:bottom w:val="none" w:sz="0" w:space="0" w:color="auto"/>
        <w:right w:val="none" w:sz="0" w:space="0" w:color="auto"/>
      </w:divBdr>
    </w:div>
    <w:div w:id="1908757494">
      <w:marLeft w:val="0"/>
      <w:marRight w:val="0"/>
      <w:marTop w:val="0"/>
      <w:marBottom w:val="180"/>
      <w:divBdr>
        <w:top w:val="none" w:sz="0" w:space="0" w:color="auto"/>
        <w:left w:val="none" w:sz="0" w:space="0" w:color="auto"/>
        <w:bottom w:val="none" w:sz="0" w:space="0" w:color="auto"/>
        <w:right w:val="none" w:sz="0" w:space="0" w:color="auto"/>
      </w:divBdr>
    </w:div>
    <w:div w:id="1909611849">
      <w:marLeft w:val="0"/>
      <w:marRight w:val="0"/>
      <w:marTop w:val="0"/>
      <w:marBottom w:val="180"/>
      <w:divBdr>
        <w:top w:val="none" w:sz="0" w:space="0" w:color="auto"/>
        <w:left w:val="none" w:sz="0" w:space="0" w:color="auto"/>
        <w:bottom w:val="none" w:sz="0" w:space="0" w:color="auto"/>
        <w:right w:val="none" w:sz="0" w:space="0" w:color="auto"/>
      </w:divBdr>
    </w:div>
    <w:div w:id="1911843771">
      <w:marLeft w:val="0"/>
      <w:marRight w:val="0"/>
      <w:marTop w:val="0"/>
      <w:marBottom w:val="180"/>
      <w:divBdr>
        <w:top w:val="none" w:sz="0" w:space="0" w:color="auto"/>
        <w:left w:val="none" w:sz="0" w:space="0" w:color="auto"/>
        <w:bottom w:val="none" w:sz="0" w:space="0" w:color="auto"/>
        <w:right w:val="none" w:sz="0" w:space="0" w:color="auto"/>
      </w:divBdr>
    </w:div>
    <w:div w:id="1911844436">
      <w:marLeft w:val="0"/>
      <w:marRight w:val="0"/>
      <w:marTop w:val="0"/>
      <w:marBottom w:val="180"/>
      <w:divBdr>
        <w:top w:val="none" w:sz="0" w:space="0" w:color="auto"/>
        <w:left w:val="none" w:sz="0" w:space="0" w:color="auto"/>
        <w:bottom w:val="none" w:sz="0" w:space="0" w:color="auto"/>
        <w:right w:val="none" w:sz="0" w:space="0" w:color="auto"/>
      </w:divBdr>
    </w:div>
    <w:div w:id="1912540915">
      <w:marLeft w:val="0"/>
      <w:marRight w:val="0"/>
      <w:marTop w:val="0"/>
      <w:marBottom w:val="0"/>
      <w:divBdr>
        <w:top w:val="none" w:sz="0" w:space="0" w:color="auto"/>
        <w:left w:val="none" w:sz="0" w:space="0" w:color="auto"/>
        <w:bottom w:val="none" w:sz="0" w:space="0" w:color="auto"/>
        <w:right w:val="none" w:sz="0" w:space="0" w:color="auto"/>
      </w:divBdr>
    </w:div>
    <w:div w:id="1912739932">
      <w:marLeft w:val="0"/>
      <w:marRight w:val="0"/>
      <w:marTop w:val="0"/>
      <w:marBottom w:val="0"/>
      <w:divBdr>
        <w:top w:val="none" w:sz="0" w:space="0" w:color="auto"/>
        <w:left w:val="none" w:sz="0" w:space="0" w:color="auto"/>
        <w:bottom w:val="none" w:sz="0" w:space="0" w:color="auto"/>
        <w:right w:val="none" w:sz="0" w:space="0" w:color="auto"/>
      </w:divBdr>
    </w:div>
    <w:div w:id="1912961109">
      <w:marLeft w:val="0"/>
      <w:marRight w:val="0"/>
      <w:marTop w:val="0"/>
      <w:marBottom w:val="0"/>
      <w:divBdr>
        <w:top w:val="none" w:sz="0" w:space="0" w:color="auto"/>
        <w:left w:val="none" w:sz="0" w:space="0" w:color="auto"/>
        <w:bottom w:val="none" w:sz="0" w:space="0" w:color="auto"/>
        <w:right w:val="none" w:sz="0" w:space="0" w:color="auto"/>
      </w:divBdr>
      <w:divsChild>
        <w:div w:id="1168980655">
          <w:marLeft w:val="0"/>
          <w:marRight w:val="0"/>
          <w:marTop w:val="0"/>
          <w:marBottom w:val="0"/>
          <w:divBdr>
            <w:top w:val="none" w:sz="0" w:space="0" w:color="auto"/>
            <w:left w:val="none" w:sz="0" w:space="0" w:color="auto"/>
            <w:bottom w:val="none" w:sz="0" w:space="0" w:color="auto"/>
            <w:right w:val="none" w:sz="0" w:space="0" w:color="auto"/>
          </w:divBdr>
        </w:div>
      </w:divsChild>
    </w:div>
    <w:div w:id="1913813354">
      <w:marLeft w:val="0"/>
      <w:marRight w:val="0"/>
      <w:marTop w:val="120"/>
      <w:marBottom w:val="120"/>
      <w:divBdr>
        <w:top w:val="none" w:sz="0" w:space="0" w:color="auto"/>
        <w:left w:val="none" w:sz="0" w:space="0" w:color="auto"/>
        <w:bottom w:val="none" w:sz="0" w:space="0" w:color="auto"/>
        <w:right w:val="none" w:sz="0" w:space="0" w:color="auto"/>
      </w:divBdr>
    </w:div>
    <w:div w:id="1914779549">
      <w:marLeft w:val="0"/>
      <w:marRight w:val="0"/>
      <w:marTop w:val="0"/>
      <w:marBottom w:val="0"/>
      <w:divBdr>
        <w:top w:val="none" w:sz="0" w:space="0" w:color="auto"/>
        <w:left w:val="none" w:sz="0" w:space="0" w:color="auto"/>
        <w:bottom w:val="none" w:sz="0" w:space="0" w:color="auto"/>
        <w:right w:val="none" w:sz="0" w:space="0" w:color="auto"/>
      </w:divBdr>
    </w:div>
    <w:div w:id="1914927625">
      <w:marLeft w:val="0"/>
      <w:marRight w:val="0"/>
      <w:marTop w:val="0"/>
      <w:marBottom w:val="180"/>
      <w:divBdr>
        <w:top w:val="none" w:sz="0" w:space="0" w:color="auto"/>
        <w:left w:val="none" w:sz="0" w:space="0" w:color="auto"/>
        <w:bottom w:val="none" w:sz="0" w:space="0" w:color="auto"/>
        <w:right w:val="none" w:sz="0" w:space="0" w:color="auto"/>
      </w:divBdr>
    </w:div>
    <w:div w:id="1915699626">
      <w:marLeft w:val="0"/>
      <w:marRight w:val="0"/>
      <w:marTop w:val="120"/>
      <w:marBottom w:val="120"/>
      <w:divBdr>
        <w:top w:val="none" w:sz="0" w:space="0" w:color="auto"/>
        <w:left w:val="none" w:sz="0" w:space="0" w:color="auto"/>
        <w:bottom w:val="none" w:sz="0" w:space="0" w:color="auto"/>
        <w:right w:val="none" w:sz="0" w:space="0" w:color="auto"/>
      </w:divBdr>
    </w:div>
    <w:div w:id="1917931491">
      <w:marLeft w:val="0"/>
      <w:marRight w:val="0"/>
      <w:marTop w:val="0"/>
      <w:marBottom w:val="0"/>
      <w:divBdr>
        <w:top w:val="none" w:sz="0" w:space="0" w:color="auto"/>
        <w:left w:val="none" w:sz="0" w:space="0" w:color="auto"/>
        <w:bottom w:val="none" w:sz="0" w:space="0" w:color="auto"/>
        <w:right w:val="none" w:sz="0" w:space="0" w:color="auto"/>
      </w:divBdr>
    </w:div>
    <w:div w:id="1918127361">
      <w:marLeft w:val="0"/>
      <w:marRight w:val="0"/>
      <w:marTop w:val="0"/>
      <w:marBottom w:val="0"/>
      <w:divBdr>
        <w:top w:val="none" w:sz="0" w:space="0" w:color="auto"/>
        <w:left w:val="none" w:sz="0" w:space="0" w:color="auto"/>
        <w:bottom w:val="none" w:sz="0" w:space="0" w:color="auto"/>
        <w:right w:val="none" w:sz="0" w:space="0" w:color="auto"/>
      </w:divBdr>
      <w:divsChild>
        <w:div w:id="1061514464">
          <w:marLeft w:val="0"/>
          <w:marRight w:val="0"/>
          <w:marTop w:val="0"/>
          <w:marBottom w:val="0"/>
          <w:divBdr>
            <w:top w:val="none" w:sz="0" w:space="0" w:color="auto"/>
            <w:left w:val="none" w:sz="0" w:space="0" w:color="auto"/>
            <w:bottom w:val="none" w:sz="0" w:space="0" w:color="auto"/>
            <w:right w:val="none" w:sz="0" w:space="0" w:color="auto"/>
          </w:divBdr>
        </w:div>
      </w:divsChild>
    </w:div>
    <w:div w:id="1918131451">
      <w:marLeft w:val="0"/>
      <w:marRight w:val="0"/>
      <w:marTop w:val="120"/>
      <w:marBottom w:val="120"/>
      <w:divBdr>
        <w:top w:val="none" w:sz="0" w:space="0" w:color="auto"/>
        <w:left w:val="none" w:sz="0" w:space="0" w:color="auto"/>
        <w:bottom w:val="none" w:sz="0" w:space="0" w:color="auto"/>
        <w:right w:val="none" w:sz="0" w:space="0" w:color="auto"/>
      </w:divBdr>
    </w:div>
    <w:div w:id="1919055299">
      <w:marLeft w:val="0"/>
      <w:marRight w:val="0"/>
      <w:marTop w:val="0"/>
      <w:marBottom w:val="180"/>
      <w:divBdr>
        <w:top w:val="none" w:sz="0" w:space="0" w:color="auto"/>
        <w:left w:val="none" w:sz="0" w:space="0" w:color="auto"/>
        <w:bottom w:val="none" w:sz="0" w:space="0" w:color="auto"/>
        <w:right w:val="none" w:sz="0" w:space="0" w:color="auto"/>
      </w:divBdr>
    </w:div>
    <w:div w:id="1919171103">
      <w:marLeft w:val="0"/>
      <w:marRight w:val="0"/>
      <w:marTop w:val="0"/>
      <w:marBottom w:val="240"/>
      <w:divBdr>
        <w:top w:val="none" w:sz="0" w:space="0" w:color="auto"/>
        <w:left w:val="none" w:sz="0" w:space="0" w:color="auto"/>
        <w:bottom w:val="none" w:sz="0" w:space="0" w:color="auto"/>
        <w:right w:val="none" w:sz="0" w:space="0" w:color="auto"/>
      </w:divBdr>
    </w:div>
    <w:div w:id="1921061005">
      <w:marLeft w:val="0"/>
      <w:marRight w:val="0"/>
      <w:marTop w:val="120"/>
      <w:marBottom w:val="120"/>
      <w:divBdr>
        <w:top w:val="none" w:sz="0" w:space="0" w:color="auto"/>
        <w:left w:val="none" w:sz="0" w:space="0" w:color="auto"/>
        <w:bottom w:val="none" w:sz="0" w:space="0" w:color="auto"/>
        <w:right w:val="none" w:sz="0" w:space="0" w:color="auto"/>
      </w:divBdr>
    </w:div>
    <w:div w:id="1921285930">
      <w:marLeft w:val="0"/>
      <w:marRight w:val="0"/>
      <w:marTop w:val="0"/>
      <w:marBottom w:val="180"/>
      <w:divBdr>
        <w:top w:val="none" w:sz="0" w:space="0" w:color="auto"/>
        <w:left w:val="none" w:sz="0" w:space="0" w:color="auto"/>
        <w:bottom w:val="none" w:sz="0" w:space="0" w:color="auto"/>
        <w:right w:val="none" w:sz="0" w:space="0" w:color="auto"/>
      </w:divBdr>
    </w:div>
    <w:div w:id="1921674574">
      <w:marLeft w:val="0"/>
      <w:marRight w:val="0"/>
      <w:marTop w:val="0"/>
      <w:marBottom w:val="180"/>
      <w:divBdr>
        <w:top w:val="none" w:sz="0" w:space="0" w:color="auto"/>
        <w:left w:val="none" w:sz="0" w:space="0" w:color="auto"/>
        <w:bottom w:val="none" w:sz="0" w:space="0" w:color="auto"/>
        <w:right w:val="none" w:sz="0" w:space="0" w:color="auto"/>
      </w:divBdr>
    </w:div>
    <w:div w:id="1922642243">
      <w:marLeft w:val="0"/>
      <w:marRight w:val="0"/>
      <w:marTop w:val="0"/>
      <w:marBottom w:val="240"/>
      <w:divBdr>
        <w:top w:val="none" w:sz="0" w:space="0" w:color="auto"/>
        <w:left w:val="none" w:sz="0" w:space="0" w:color="auto"/>
        <w:bottom w:val="none" w:sz="0" w:space="0" w:color="auto"/>
        <w:right w:val="none" w:sz="0" w:space="0" w:color="auto"/>
      </w:divBdr>
    </w:div>
    <w:div w:id="1922711789">
      <w:marLeft w:val="0"/>
      <w:marRight w:val="0"/>
      <w:marTop w:val="0"/>
      <w:marBottom w:val="240"/>
      <w:divBdr>
        <w:top w:val="none" w:sz="0" w:space="0" w:color="auto"/>
        <w:left w:val="none" w:sz="0" w:space="0" w:color="auto"/>
        <w:bottom w:val="none" w:sz="0" w:space="0" w:color="auto"/>
        <w:right w:val="none" w:sz="0" w:space="0" w:color="auto"/>
      </w:divBdr>
    </w:div>
    <w:div w:id="1922785723">
      <w:marLeft w:val="0"/>
      <w:marRight w:val="0"/>
      <w:marTop w:val="0"/>
      <w:marBottom w:val="180"/>
      <w:divBdr>
        <w:top w:val="none" w:sz="0" w:space="0" w:color="auto"/>
        <w:left w:val="none" w:sz="0" w:space="0" w:color="auto"/>
        <w:bottom w:val="none" w:sz="0" w:space="0" w:color="auto"/>
        <w:right w:val="none" w:sz="0" w:space="0" w:color="auto"/>
      </w:divBdr>
    </w:div>
    <w:div w:id="1923223084">
      <w:marLeft w:val="0"/>
      <w:marRight w:val="0"/>
      <w:marTop w:val="180"/>
      <w:marBottom w:val="240"/>
      <w:divBdr>
        <w:top w:val="none" w:sz="0" w:space="0" w:color="auto"/>
        <w:left w:val="none" w:sz="0" w:space="0" w:color="auto"/>
        <w:bottom w:val="none" w:sz="0" w:space="0" w:color="auto"/>
        <w:right w:val="none" w:sz="0" w:space="0" w:color="auto"/>
      </w:divBdr>
    </w:div>
    <w:div w:id="1923442713">
      <w:marLeft w:val="0"/>
      <w:marRight w:val="0"/>
      <w:marTop w:val="180"/>
      <w:marBottom w:val="180"/>
      <w:divBdr>
        <w:top w:val="none" w:sz="0" w:space="0" w:color="auto"/>
        <w:left w:val="none" w:sz="0" w:space="0" w:color="auto"/>
        <w:bottom w:val="none" w:sz="0" w:space="0" w:color="auto"/>
        <w:right w:val="none" w:sz="0" w:space="0" w:color="auto"/>
      </w:divBdr>
    </w:div>
    <w:div w:id="1924219380">
      <w:marLeft w:val="0"/>
      <w:marRight w:val="0"/>
      <w:marTop w:val="0"/>
      <w:marBottom w:val="0"/>
      <w:divBdr>
        <w:top w:val="none" w:sz="0" w:space="0" w:color="auto"/>
        <w:left w:val="none" w:sz="0" w:space="0" w:color="auto"/>
        <w:bottom w:val="none" w:sz="0" w:space="0" w:color="auto"/>
        <w:right w:val="none" w:sz="0" w:space="0" w:color="auto"/>
      </w:divBdr>
    </w:div>
    <w:div w:id="1924410114">
      <w:marLeft w:val="0"/>
      <w:marRight w:val="0"/>
      <w:marTop w:val="0"/>
      <w:marBottom w:val="180"/>
      <w:divBdr>
        <w:top w:val="none" w:sz="0" w:space="0" w:color="auto"/>
        <w:left w:val="none" w:sz="0" w:space="0" w:color="auto"/>
        <w:bottom w:val="none" w:sz="0" w:space="0" w:color="auto"/>
        <w:right w:val="none" w:sz="0" w:space="0" w:color="auto"/>
      </w:divBdr>
    </w:div>
    <w:div w:id="1925143764">
      <w:marLeft w:val="0"/>
      <w:marRight w:val="0"/>
      <w:marTop w:val="0"/>
      <w:marBottom w:val="180"/>
      <w:divBdr>
        <w:top w:val="none" w:sz="0" w:space="0" w:color="auto"/>
        <w:left w:val="none" w:sz="0" w:space="0" w:color="auto"/>
        <w:bottom w:val="none" w:sz="0" w:space="0" w:color="auto"/>
        <w:right w:val="none" w:sz="0" w:space="0" w:color="auto"/>
      </w:divBdr>
    </w:div>
    <w:div w:id="1925453401">
      <w:marLeft w:val="0"/>
      <w:marRight w:val="0"/>
      <w:marTop w:val="0"/>
      <w:marBottom w:val="240"/>
      <w:divBdr>
        <w:top w:val="none" w:sz="0" w:space="0" w:color="auto"/>
        <w:left w:val="none" w:sz="0" w:space="0" w:color="auto"/>
        <w:bottom w:val="none" w:sz="0" w:space="0" w:color="auto"/>
        <w:right w:val="none" w:sz="0" w:space="0" w:color="auto"/>
      </w:divBdr>
    </w:div>
    <w:div w:id="1925604189">
      <w:marLeft w:val="0"/>
      <w:marRight w:val="0"/>
      <w:marTop w:val="0"/>
      <w:marBottom w:val="240"/>
      <w:divBdr>
        <w:top w:val="none" w:sz="0" w:space="0" w:color="auto"/>
        <w:left w:val="none" w:sz="0" w:space="0" w:color="auto"/>
        <w:bottom w:val="none" w:sz="0" w:space="0" w:color="auto"/>
        <w:right w:val="none" w:sz="0" w:space="0" w:color="auto"/>
      </w:divBdr>
    </w:div>
    <w:div w:id="1925870642">
      <w:marLeft w:val="0"/>
      <w:marRight w:val="0"/>
      <w:marTop w:val="0"/>
      <w:marBottom w:val="180"/>
      <w:divBdr>
        <w:top w:val="none" w:sz="0" w:space="0" w:color="auto"/>
        <w:left w:val="none" w:sz="0" w:space="0" w:color="auto"/>
        <w:bottom w:val="none" w:sz="0" w:space="0" w:color="auto"/>
        <w:right w:val="none" w:sz="0" w:space="0" w:color="auto"/>
      </w:divBdr>
    </w:div>
    <w:div w:id="1926255561">
      <w:marLeft w:val="0"/>
      <w:marRight w:val="0"/>
      <w:marTop w:val="0"/>
      <w:marBottom w:val="240"/>
      <w:divBdr>
        <w:top w:val="none" w:sz="0" w:space="0" w:color="auto"/>
        <w:left w:val="none" w:sz="0" w:space="0" w:color="auto"/>
        <w:bottom w:val="none" w:sz="0" w:space="0" w:color="auto"/>
        <w:right w:val="none" w:sz="0" w:space="0" w:color="auto"/>
      </w:divBdr>
    </w:div>
    <w:div w:id="1928726616">
      <w:marLeft w:val="0"/>
      <w:marRight w:val="0"/>
      <w:marTop w:val="0"/>
      <w:marBottom w:val="240"/>
      <w:divBdr>
        <w:top w:val="none" w:sz="0" w:space="0" w:color="auto"/>
        <w:left w:val="none" w:sz="0" w:space="0" w:color="auto"/>
        <w:bottom w:val="none" w:sz="0" w:space="0" w:color="auto"/>
        <w:right w:val="none" w:sz="0" w:space="0" w:color="auto"/>
      </w:divBdr>
    </w:div>
    <w:div w:id="1929150167">
      <w:marLeft w:val="0"/>
      <w:marRight w:val="0"/>
      <w:marTop w:val="0"/>
      <w:marBottom w:val="180"/>
      <w:divBdr>
        <w:top w:val="none" w:sz="0" w:space="0" w:color="auto"/>
        <w:left w:val="none" w:sz="0" w:space="0" w:color="auto"/>
        <w:bottom w:val="none" w:sz="0" w:space="0" w:color="auto"/>
        <w:right w:val="none" w:sz="0" w:space="0" w:color="auto"/>
      </w:divBdr>
    </w:div>
    <w:div w:id="1930583291">
      <w:marLeft w:val="0"/>
      <w:marRight w:val="0"/>
      <w:marTop w:val="0"/>
      <w:marBottom w:val="240"/>
      <w:divBdr>
        <w:top w:val="none" w:sz="0" w:space="0" w:color="auto"/>
        <w:left w:val="none" w:sz="0" w:space="0" w:color="auto"/>
        <w:bottom w:val="none" w:sz="0" w:space="0" w:color="auto"/>
        <w:right w:val="none" w:sz="0" w:space="0" w:color="auto"/>
      </w:divBdr>
    </w:div>
    <w:div w:id="1931545172">
      <w:marLeft w:val="0"/>
      <w:marRight w:val="0"/>
      <w:marTop w:val="0"/>
      <w:marBottom w:val="240"/>
      <w:divBdr>
        <w:top w:val="none" w:sz="0" w:space="0" w:color="auto"/>
        <w:left w:val="none" w:sz="0" w:space="0" w:color="auto"/>
        <w:bottom w:val="none" w:sz="0" w:space="0" w:color="auto"/>
        <w:right w:val="none" w:sz="0" w:space="0" w:color="auto"/>
      </w:divBdr>
    </w:div>
    <w:div w:id="1931769420">
      <w:marLeft w:val="0"/>
      <w:marRight w:val="0"/>
      <w:marTop w:val="0"/>
      <w:marBottom w:val="240"/>
      <w:divBdr>
        <w:top w:val="none" w:sz="0" w:space="0" w:color="auto"/>
        <w:left w:val="none" w:sz="0" w:space="0" w:color="auto"/>
        <w:bottom w:val="none" w:sz="0" w:space="0" w:color="auto"/>
        <w:right w:val="none" w:sz="0" w:space="0" w:color="auto"/>
      </w:divBdr>
    </w:div>
    <w:div w:id="1931814695">
      <w:marLeft w:val="0"/>
      <w:marRight w:val="0"/>
      <w:marTop w:val="0"/>
      <w:marBottom w:val="240"/>
      <w:divBdr>
        <w:top w:val="none" w:sz="0" w:space="0" w:color="auto"/>
        <w:left w:val="none" w:sz="0" w:space="0" w:color="auto"/>
        <w:bottom w:val="none" w:sz="0" w:space="0" w:color="auto"/>
        <w:right w:val="none" w:sz="0" w:space="0" w:color="auto"/>
      </w:divBdr>
    </w:div>
    <w:div w:id="1932736779">
      <w:marLeft w:val="0"/>
      <w:marRight w:val="0"/>
      <w:marTop w:val="0"/>
      <w:marBottom w:val="240"/>
      <w:divBdr>
        <w:top w:val="none" w:sz="0" w:space="0" w:color="auto"/>
        <w:left w:val="none" w:sz="0" w:space="0" w:color="auto"/>
        <w:bottom w:val="none" w:sz="0" w:space="0" w:color="auto"/>
        <w:right w:val="none" w:sz="0" w:space="0" w:color="auto"/>
      </w:divBdr>
    </w:div>
    <w:div w:id="1933001789">
      <w:marLeft w:val="0"/>
      <w:marRight w:val="0"/>
      <w:marTop w:val="0"/>
      <w:marBottom w:val="180"/>
      <w:divBdr>
        <w:top w:val="none" w:sz="0" w:space="0" w:color="auto"/>
        <w:left w:val="none" w:sz="0" w:space="0" w:color="auto"/>
        <w:bottom w:val="none" w:sz="0" w:space="0" w:color="auto"/>
        <w:right w:val="none" w:sz="0" w:space="0" w:color="auto"/>
      </w:divBdr>
    </w:div>
    <w:div w:id="1933322196">
      <w:marLeft w:val="0"/>
      <w:marRight w:val="0"/>
      <w:marTop w:val="0"/>
      <w:marBottom w:val="240"/>
      <w:divBdr>
        <w:top w:val="none" w:sz="0" w:space="0" w:color="auto"/>
        <w:left w:val="none" w:sz="0" w:space="0" w:color="auto"/>
        <w:bottom w:val="none" w:sz="0" w:space="0" w:color="auto"/>
        <w:right w:val="none" w:sz="0" w:space="0" w:color="auto"/>
      </w:divBdr>
    </w:div>
    <w:div w:id="1933781206">
      <w:marLeft w:val="0"/>
      <w:marRight w:val="0"/>
      <w:marTop w:val="0"/>
      <w:marBottom w:val="180"/>
      <w:divBdr>
        <w:top w:val="none" w:sz="0" w:space="0" w:color="auto"/>
        <w:left w:val="none" w:sz="0" w:space="0" w:color="auto"/>
        <w:bottom w:val="none" w:sz="0" w:space="0" w:color="auto"/>
        <w:right w:val="none" w:sz="0" w:space="0" w:color="auto"/>
      </w:divBdr>
    </w:div>
    <w:div w:id="1933853589">
      <w:marLeft w:val="0"/>
      <w:marRight w:val="0"/>
      <w:marTop w:val="100"/>
      <w:marBottom w:val="0"/>
      <w:divBdr>
        <w:top w:val="none" w:sz="0" w:space="0" w:color="auto"/>
        <w:left w:val="none" w:sz="0" w:space="0" w:color="auto"/>
        <w:bottom w:val="none" w:sz="0" w:space="0" w:color="auto"/>
        <w:right w:val="none" w:sz="0" w:space="0" w:color="auto"/>
      </w:divBdr>
    </w:div>
    <w:div w:id="1934048152">
      <w:marLeft w:val="0"/>
      <w:marRight w:val="0"/>
      <w:marTop w:val="120"/>
      <w:marBottom w:val="120"/>
      <w:divBdr>
        <w:top w:val="none" w:sz="0" w:space="0" w:color="auto"/>
        <w:left w:val="none" w:sz="0" w:space="0" w:color="auto"/>
        <w:bottom w:val="none" w:sz="0" w:space="0" w:color="auto"/>
        <w:right w:val="none" w:sz="0" w:space="0" w:color="auto"/>
      </w:divBdr>
    </w:div>
    <w:div w:id="1934237444">
      <w:marLeft w:val="0"/>
      <w:marRight w:val="0"/>
      <w:marTop w:val="0"/>
      <w:marBottom w:val="240"/>
      <w:divBdr>
        <w:top w:val="none" w:sz="0" w:space="0" w:color="auto"/>
        <w:left w:val="none" w:sz="0" w:space="0" w:color="auto"/>
        <w:bottom w:val="none" w:sz="0" w:space="0" w:color="auto"/>
        <w:right w:val="none" w:sz="0" w:space="0" w:color="auto"/>
      </w:divBdr>
    </w:div>
    <w:div w:id="1936011604">
      <w:marLeft w:val="0"/>
      <w:marRight w:val="0"/>
      <w:marTop w:val="0"/>
      <w:marBottom w:val="0"/>
      <w:divBdr>
        <w:top w:val="none" w:sz="0" w:space="0" w:color="auto"/>
        <w:left w:val="none" w:sz="0" w:space="0" w:color="auto"/>
        <w:bottom w:val="none" w:sz="0" w:space="0" w:color="auto"/>
        <w:right w:val="none" w:sz="0" w:space="0" w:color="auto"/>
      </w:divBdr>
    </w:div>
    <w:div w:id="1938050708">
      <w:marLeft w:val="0"/>
      <w:marRight w:val="0"/>
      <w:marTop w:val="180"/>
      <w:marBottom w:val="180"/>
      <w:divBdr>
        <w:top w:val="none" w:sz="0" w:space="0" w:color="auto"/>
        <w:left w:val="none" w:sz="0" w:space="0" w:color="auto"/>
        <w:bottom w:val="none" w:sz="0" w:space="0" w:color="auto"/>
        <w:right w:val="none" w:sz="0" w:space="0" w:color="auto"/>
      </w:divBdr>
    </w:div>
    <w:div w:id="1938514946">
      <w:marLeft w:val="0"/>
      <w:marRight w:val="0"/>
      <w:marTop w:val="0"/>
      <w:marBottom w:val="0"/>
      <w:divBdr>
        <w:top w:val="none" w:sz="0" w:space="0" w:color="auto"/>
        <w:left w:val="none" w:sz="0" w:space="0" w:color="auto"/>
        <w:bottom w:val="none" w:sz="0" w:space="0" w:color="auto"/>
        <w:right w:val="none" w:sz="0" w:space="0" w:color="auto"/>
      </w:divBdr>
      <w:divsChild>
        <w:div w:id="1220897791">
          <w:marLeft w:val="0"/>
          <w:marRight w:val="0"/>
          <w:marTop w:val="0"/>
          <w:marBottom w:val="0"/>
          <w:divBdr>
            <w:top w:val="none" w:sz="0" w:space="0" w:color="auto"/>
            <w:left w:val="none" w:sz="0" w:space="0" w:color="auto"/>
            <w:bottom w:val="none" w:sz="0" w:space="0" w:color="auto"/>
            <w:right w:val="none" w:sz="0" w:space="0" w:color="auto"/>
          </w:divBdr>
        </w:div>
        <w:div w:id="803085150">
          <w:marLeft w:val="0"/>
          <w:marRight w:val="0"/>
          <w:marTop w:val="0"/>
          <w:marBottom w:val="0"/>
          <w:divBdr>
            <w:top w:val="none" w:sz="0" w:space="0" w:color="auto"/>
            <w:left w:val="none" w:sz="0" w:space="0" w:color="auto"/>
            <w:bottom w:val="none" w:sz="0" w:space="0" w:color="auto"/>
            <w:right w:val="none" w:sz="0" w:space="0" w:color="auto"/>
          </w:divBdr>
        </w:div>
        <w:div w:id="1904410813">
          <w:marLeft w:val="0"/>
          <w:marRight w:val="0"/>
          <w:marTop w:val="0"/>
          <w:marBottom w:val="0"/>
          <w:divBdr>
            <w:top w:val="none" w:sz="0" w:space="0" w:color="auto"/>
            <w:left w:val="none" w:sz="0" w:space="0" w:color="auto"/>
            <w:bottom w:val="none" w:sz="0" w:space="0" w:color="auto"/>
            <w:right w:val="none" w:sz="0" w:space="0" w:color="auto"/>
          </w:divBdr>
        </w:div>
        <w:div w:id="1841432480">
          <w:marLeft w:val="0"/>
          <w:marRight w:val="0"/>
          <w:marTop w:val="0"/>
          <w:marBottom w:val="0"/>
          <w:divBdr>
            <w:top w:val="none" w:sz="0" w:space="0" w:color="auto"/>
            <w:left w:val="none" w:sz="0" w:space="0" w:color="auto"/>
            <w:bottom w:val="none" w:sz="0" w:space="0" w:color="auto"/>
            <w:right w:val="none" w:sz="0" w:space="0" w:color="auto"/>
          </w:divBdr>
        </w:div>
      </w:divsChild>
    </w:div>
    <w:div w:id="1938630875">
      <w:marLeft w:val="0"/>
      <w:marRight w:val="0"/>
      <w:marTop w:val="180"/>
      <w:marBottom w:val="180"/>
      <w:divBdr>
        <w:top w:val="none" w:sz="0" w:space="0" w:color="auto"/>
        <w:left w:val="none" w:sz="0" w:space="0" w:color="auto"/>
        <w:bottom w:val="none" w:sz="0" w:space="0" w:color="auto"/>
        <w:right w:val="none" w:sz="0" w:space="0" w:color="auto"/>
      </w:divBdr>
    </w:div>
    <w:div w:id="1938755180">
      <w:marLeft w:val="0"/>
      <w:marRight w:val="0"/>
      <w:marTop w:val="0"/>
      <w:marBottom w:val="0"/>
      <w:divBdr>
        <w:top w:val="none" w:sz="0" w:space="0" w:color="auto"/>
        <w:left w:val="none" w:sz="0" w:space="0" w:color="auto"/>
        <w:bottom w:val="none" w:sz="0" w:space="0" w:color="auto"/>
        <w:right w:val="none" w:sz="0" w:space="0" w:color="auto"/>
      </w:divBdr>
      <w:divsChild>
        <w:div w:id="1960993945">
          <w:marLeft w:val="0"/>
          <w:marRight w:val="0"/>
          <w:marTop w:val="0"/>
          <w:marBottom w:val="0"/>
          <w:divBdr>
            <w:top w:val="none" w:sz="0" w:space="0" w:color="auto"/>
            <w:left w:val="none" w:sz="0" w:space="0" w:color="auto"/>
            <w:bottom w:val="none" w:sz="0" w:space="0" w:color="auto"/>
            <w:right w:val="none" w:sz="0" w:space="0" w:color="auto"/>
          </w:divBdr>
        </w:div>
      </w:divsChild>
    </w:div>
    <w:div w:id="1940795998">
      <w:marLeft w:val="0"/>
      <w:marRight w:val="0"/>
      <w:marTop w:val="180"/>
      <w:marBottom w:val="180"/>
      <w:divBdr>
        <w:top w:val="none" w:sz="0" w:space="0" w:color="auto"/>
        <w:left w:val="none" w:sz="0" w:space="0" w:color="auto"/>
        <w:bottom w:val="none" w:sz="0" w:space="0" w:color="auto"/>
        <w:right w:val="none" w:sz="0" w:space="0" w:color="auto"/>
      </w:divBdr>
    </w:div>
    <w:div w:id="1941520454">
      <w:marLeft w:val="0"/>
      <w:marRight w:val="0"/>
      <w:marTop w:val="0"/>
      <w:marBottom w:val="0"/>
      <w:divBdr>
        <w:top w:val="none" w:sz="0" w:space="0" w:color="auto"/>
        <w:left w:val="none" w:sz="0" w:space="0" w:color="auto"/>
        <w:bottom w:val="none" w:sz="0" w:space="0" w:color="auto"/>
        <w:right w:val="none" w:sz="0" w:space="0" w:color="auto"/>
      </w:divBdr>
    </w:div>
    <w:div w:id="1942452578">
      <w:marLeft w:val="0"/>
      <w:marRight w:val="0"/>
      <w:marTop w:val="0"/>
      <w:marBottom w:val="240"/>
      <w:divBdr>
        <w:top w:val="none" w:sz="0" w:space="0" w:color="auto"/>
        <w:left w:val="none" w:sz="0" w:space="0" w:color="auto"/>
        <w:bottom w:val="none" w:sz="0" w:space="0" w:color="auto"/>
        <w:right w:val="none" w:sz="0" w:space="0" w:color="auto"/>
      </w:divBdr>
    </w:div>
    <w:div w:id="1942568186">
      <w:marLeft w:val="0"/>
      <w:marRight w:val="0"/>
      <w:marTop w:val="0"/>
      <w:marBottom w:val="0"/>
      <w:divBdr>
        <w:top w:val="none" w:sz="0" w:space="0" w:color="auto"/>
        <w:left w:val="none" w:sz="0" w:space="0" w:color="auto"/>
        <w:bottom w:val="none" w:sz="0" w:space="0" w:color="auto"/>
        <w:right w:val="none" w:sz="0" w:space="0" w:color="auto"/>
      </w:divBdr>
    </w:div>
    <w:div w:id="1942638233">
      <w:marLeft w:val="0"/>
      <w:marRight w:val="0"/>
      <w:marTop w:val="0"/>
      <w:marBottom w:val="240"/>
      <w:divBdr>
        <w:top w:val="none" w:sz="0" w:space="0" w:color="auto"/>
        <w:left w:val="none" w:sz="0" w:space="0" w:color="auto"/>
        <w:bottom w:val="none" w:sz="0" w:space="0" w:color="auto"/>
        <w:right w:val="none" w:sz="0" w:space="0" w:color="auto"/>
      </w:divBdr>
    </w:div>
    <w:div w:id="1943494829">
      <w:marLeft w:val="0"/>
      <w:marRight w:val="0"/>
      <w:marTop w:val="0"/>
      <w:marBottom w:val="180"/>
      <w:divBdr>
        <w:top w:val="none" w:sz="0" w:space="0" w:color="auto"/>
        <w:left w:val="none" w:sz="0" w:space="0" w:color="auto"/>
        <w:bottom w:val="none" w:sz="0" w:space="0" w:color="auto"/>
        <w:right w:val="none" w:sz="0" w:space="0" w:color="auto"/>
      </w:divBdr>
    </w:div>
    <w:div w:id="1943947891">
      <w:marLeft w:val="0"/>
      <w:marRight w:val="0"/>
      <w:marTop w:val="0"/>
      <w:marBottom w:val="0"/>
      <w:divBdr>
        <w:top w:val="none" w:sz="0" w:space="0" w:color="auto"/>
        <w:left w:val="none" w:sz="0" w:space="0" w:color="auto"/>
        <w:bottom w:val="none" w:sz="0" w:space="0" w:color="auto"/>
        <w:right w:val="none" w:sz="0" w:space="0" w:color="auto"/>
      </w:divBdr>
    </w:div>
    <w:div w:id="1944025619">
      <w:marLeft w:val="0"/>
      <w:marRight w:val="0"/>
      <w:marTop w:val="0"/>
      <w:marBottom w:val="0"/>
      <w:divBdr>
        <w:top w:val="none" w:sz="0" w:space="0" w:color="auto"/>
        <w:left w:val="none" w:sz="0" w:space="0" w:color="auto"/>
        <w:bottom w:val="none" w:sz="0" w:space="0" w:color="auto"/>
        <w:right w:val="none" w:sz="0" w:space="0" w:color="auto"/>
      </w:divBdr>
    </w:div>
    <w:div w:id="1945383882">
      <w:marLeft w:val="0"/>
      <w:marRight w:val="0"/>
      <w:marTop w:val="0"/>
      <w:marBottom w:val="240"/>
      <w:divBdr>
        <w:top w:val="none" w:sz="0" w:space="0" w:color="auto"/>
        <w:left w:val="none" w:sz="0" w:space="0" w:color="auto"/>
        <w:bottom w:val="none" w:sz="0" w:space="0" w:color="auto"/>
        <w:right w:val="none" w:sz="0" w:space="0" w:color="auto"/>
      </w:divBdr>
    </w:div>
    <w:div w:id="1946227326">
      <w:marLeft w:val="0"/>
      <w:marRight w:val="0"/>
      <w:marTop w:val="0"/>
      <w:marBottom w:val="0"/>
      <w:divBdr>
        <w:top w:val="none" w:sz="0" w:space="0" w:color="auto"/>
        <w:left w:val="none" w:sz="0" w:space="0" w:color="auto"/>
        <w:bottom w:val="none" w:sz="0" w:space="0" w:color="auto"/>
        <w:right w:val="none" w:sz="0" w:space="0" w:color="auto"/>
      </w:divBdr>
      <w:divsChild>
        <w:div w:id="1299073893">
          <w:marLeft w:val="0"/>
          <w:marRight w:val="0"/>
          <w:marTop w:val="0"/>
          <w:marBottom w:val="0"/>
          <w:divBdr>
            <w:top w:val="none" w:sz="0" w:space="0" w:color="auto"/>
            <w:left w:val="none" w:sz="0" w:space="0" w:color="auto"/>
            <w:bottom w:val="none" w:sz="0" w:space="0" w:color="auto"/>
            <w:right w:val="none" w:sz="0" w:space="0" w:color="auto"/>
          </w:divBdr>
        </w:div>
      </w:divsChild>
    </w:div>
    <w:div w:id="1946384855">
      <w:marLeft w:val="0"/>
      <w:marRight w:val="0"/>
      <w:marTop w:val="0"/>
      <w:marBottom w:val="0"/>
      <w:divBdr>
        <w:top w:val="none" w:sz="0" w:space="0" w:color="auto"/>
        <w:left w:val="none" w:sz="0" w:space="0" w:color="auto"/>
        <w:bottom w:val="none" w:sz="0" w:space="0" w:color="auto"/>
        <w:right w:val="none" w:sz="0" w:space="0" w:color="auto"/>
      </w:divBdr>
      <w:divsChild>
        <w:div w:id="1358921169">
          <w:marLeft w:val="0"/>
          <w:marRight w:val="0"/>
          <w:marTop w:val="0"/>
          <w:marBottom w:val="0"/>
          <w:divBdr>
            <w:top w:val="none" w:sz="0" w:space="0" w:color="auto"/>
            <w:left w:val="none" w:sz="0" w:space="0" w:color="auto"/>
            <w:bottom w:val="none" w:sz="0" w:space="0" w:color="auto"/>
            <w:right w:val="none" w:sz="0" w:space="0" w:color="auto"/>
          </w:divBdr>
        </w:div>
      </w:divsChild>
    </w:div>
    <w:div w:id="1946646688">
      <w:marLeft w:val="0"/>
      <w:marRight w:val="0"/>
      <w:marTop w:val="0"/>
      <w:marBottom w:val="180"/>
      <w:divBdr>
        <w:top w:val="none" w:sz="0" w:space="0" w:color="auto"/>
        <w:left w:val="none" w:sz="0" w:space="0" w:color="auto"/>
        <w:bottom w:val="none" w:sz="0" w:space="0" w:color="auto"/>
        <w:right w:val="none" w:sz="0" w:space="0" w:color="auto"/>
      </w:divBdr>
    </w:div>
    <w:div w:id="1946839854">
      <w:marLeft w:val="0"/>
      <w:marRight w:val="0"/>
      <w:marTop w:val="0"/>
      <w:marBottom w:val="0"/>
      <w:divBdr>
        <w:top w:val="none" w:sz="0" w:space="0" w:color="auto"/>
        <w:left w:val="none" w:sz="0" w:space="0" w:color="auto"/>
        <w:bottom w:val="none" w:sz="0" w:space="0" w:color="auto"/>
        <w:right w:val="none" w:sz="0" w:space="0" w:color="auto"/>
      </w:divBdr>
    </w:div>
    <w:div w:id="1947736950">
      <w:marLeft w:val="0"/>
      <w:marRight w:val="0"/>
      <w:marTop w:val="0"/>
      <w:marBottom w:val="240"/>
      <w:divBdr>
        <w:top w:val="none" w:sz="0" w:space="0" w:color="auto"/>
        <w:left w:val="none" w:sz="0" w:space="0" w:color="auto"/>
        <w:bottom w:val="none" w:sz="0" w:space="0" w:color="auto"/>
        <w:right w:val="none" w:sz="0" w:space="0" w:color="auto"/>
      </w:divBdr>
    </w:div>
    <w:div w:id="1948196016">
      <w:marLeft w:val="0"/>
      <w:marRight w:val="0"/>
      <w:marTop w:val="0"/>
      <w:marBottom w:val="0"/>
      <w:divBdr>
        <w:top w:val="none" w:sz="0" w:space="0" w:color="auto"/>
        <w:left w:val="none" w:sz="0" w:space="0" w:color="auto"/>
        <w:bottom w:val="none" w:sz="0" w:space="0" w:color="auto"/>
        <w:right w:val="none" w:sz="0" w:space="0" w:color="auto"/>
      </w:divBdr>
      <w:divsChild>
        <w:div w:id="1847016292">
          <w:marLeft w:val="0"/>
          <w:marRight w:val="0"/>
          <w:marTop w:val="0"/>
          <w:marBottom w:val="0"/>
          <w:divBdr>
            <w:top w:val="none" w:sz="0" w:space="0" w:color="auto"/>
            <w:left w:val="none" w:sz="0" w:space="0" w:color="auto"/>
            <w:bottom w:val="none" w:sz="0" w:space="0" w:color="auto"/>
            <w:right w:val="none" w:sz="0" w:space="0" w:color="auto"/>
          </w:divBdr>
        </w:div>
      </w:divsChild>
    </w:div>
    <w:div w:id="1948349083">
      <w:marLeft w:val="0"/>
      <w:marRight w:val="0"/>
      <w:marTop w:val="0"/>
      <w:marBottom w:val="180"/>
      <w:divBdr>
        <w:top w:val="none" w:sz="0" w:space="0" w:color="auto"/>
        <w:left w:val="none" w:sz="0" w:space="0" w:color="auto"/>
        <w:bottom w:val="none" w:sz="0" w:space="0" w:color="auto"/>
        <w:right w:val="none" w:sz="0" w:space="0" w:color="auto"/>
      </w:divBdr>
    </w:div>
    <w:div w:id="1948996621">
      <w:marLeft w:val="0"/>
      <w:marRight w:val="0"/>
      <w:marTop w:val="0"/>
      <w:marBottom w:val="0"/>
      <w:divBdr>
        <w:top w:val="none" w:sz="0" w:space="0" w:color="auto"/>
        <w:left w:val="none" w:sz="0" w:space="0" w:color="auto"/>
        <w:bottom w:val="none" w:sz="0" w:space="0" w:color="auto"/>
        <w:right w:val="none" w:sz="0" w:space="0" w:color="auto"/>
      </w:divBdr>
      <w:divsChild>
        <w:div w:id="1591544989">
          <w:marLeft w:val="0"/>
          <w:marRight w:val="0"/>
          <w:marTop w:val="0"/>
          <w:marBottom w:val="0"/>
          <w:divBdr>
            <w:top w:val="none" w:sz="0" w:space="0" w:color="auto"/>
            <w:left w:val="none" w:sz="0" w:space="0" w:color="auto"/>
            <w:bottom w:val="none" w:sz="0" w:space="0" w:color="auto"/>
            <w:right w:val="none" w:sz="0" w:space="0" w:color="auto"/>
          </w:divBdr>
        </w:div>
      </w:divsChild>
    </w:div>
    <w:div w:id="1950119609">
      <w:marLeft w:val="0"/>
      <w:marRight w:val="0"/>
      <w:marTop w:val="0"/>
      <w:marBottom w:val="180"/>
      <w:divBdr>
        <w:top w:val="none" w:sz="0" w:space="0" w:color="auto"/>
        <w:left w:val="none" w:sz="0" w:space="0" w:color="auto"/>
        <w:bottom w:val="none" w:sz="0" w:space="0" w:color="auto"/>
        <w:right w:val="none" w:sz="0" w:space="0" w:color="auto"/>
      </w:divBdr>
    </w:div>
    <w:div w:id="1950502218">
      <w:marLeft w:val="0"/>
      <w:marRight w:val="0"/>
      <w:marTop w:val="240"/>
      <w:marBottom w:val="240"/>
      <w:divBdr>
        <w:top w:val="none" w:sz="0" w:space="0" w:color="auto"/>
        <w:left w:val="none" w:sz="0" w:space="0" w:color="auto"/>
        <w:bottom w:val="none" w:sz="0" w:space="0" w:color="auto"/>
        <w:right w:val="none" w:sz="0" w:space="0" w:color="auto"/>
      </w:divBdr>
    </w:div>
    <w:div w:id="1950622846">
      <w:marLeft w:val="0"/>
      <w:marRight w:val="0"/>
      <w:marTop w:val="0"/>
      <w:marBottom w:val="0"/>
      <w:divBdr>
        <w:top w:val="none" w:sz="0" w:space="0" w:color="auto"/>
        <w:left w:val="none" w:sz="0" w:space="0" w:color="auto"/>
        <w:bottom w:val="none" w:sz="0" w:space="0" w:color="auto"/>
        <w:right w:val="none" w:sz="0" w:space="0" w:color="auto"/>
      </w:divBdr>
      <w:divsChild>
        <w:div w:id="1599408598">
          <w:marLeft w:val="0"/>
          <w:marRight w:val="0"/>
          <w:marTop w:val="0"/>
          <w:marBottom w:val="0"/>
          <w:divBdr>
            <w:top w:val="none" w:sz="0" w:space="0" w:color="auto"/>
            <w:left w:val="none" w:sz="0" w:space="0" w:color="auto"/>
            <w:bottom w:val="none" w:sz="0" w:space="0" w:color="auto"/>
            <w:right w:val="none" w:sz="0" w:space="0" w:color="auto"/>
          </w:divBdr>
        </w:div>
      </w:divsChild>
    </w:div>
    <w:div w:id="1951164422">
      <w:marLeft w:val="0"/>
      <w:marRight w:val="0"/>
      <w:marTop w:val="0"/>
      <w:marBottom w:val="240"/>
      <w:divBdr>
        <w:top w:val="none" w:sz="0" w:space="0" w:color="auto"/>
        <w:left w:val="none" w:sz="0" w:space="0" w:color="auto"/>
        <w:bottom w:val="none" w:sz="0" w:space="0" w:color="auto"/>
        <w:right w:val="none" w:sz="0" w:space="0" w:color="auto"/>
      </w:divBdr>
    </w:div>
    <w:div w:id="1951205150">
      <w:marLeft w:val="0"/>
      <w:marRight w:val="0"/>
      <w:marTop w:val="0"/>
      <w:marBottom w:val="180"/>
      <w:divBdr>
        <w:top w:val="none" w:sz="0" w:space="0" w:color="auto"/>
        <w:left w:val="none" w:sz="0" w:space="0" w:color="auto"/>
        <w:bottom w:val="none" w:sz="0" w:space="0" w:color="auto"/>
        <w:right w:val="none" w:sz="0" w:space="0" w:color="auto"/>
      </w:divBdr>
    </w:div>
    <w:div w:id="1951429560">
      <w:marLeft w:val="0"/>
      <w:marRight w:val="0"/>
      <w:marTop w:val="0"/>
      <w:marBottom w:val="240"/>
      <w:divBdr>
        <w:top w:val="none" w:sz="0" w:space="0" w:color="auto"/>
        <w:left w:val="none" w:sz="0" w:space="0" w:color="auto"/>
        <w:bottom w:val="none" w:sz="0" w:space="0" w:color="auto"/>
        <w:right w:val="none" w:sz="0" w:space="0" w:color="auto"/>
      </w:divBdr>
    </w:div>
    <w:div w:id="1954046084">
      <w:marLeft w:val="0"/>
      <w:marRight w:val="0"/>
      <w:marTop w:val="180"/>
      <w:marBottom w:val="180"/>
      <w:divBdr>
        <w:top w:val="none" w:sz="0" w:space="0" w:color="auto"/>
        <w:left w:val="none" w:sz="0" w:space="0" w:color="auto"/>
        <w:bottom w:val="none" w:sz="0" w:space="0" w:color="auto"/>
        <w:right w:val="none" w:sz="0" w:space="0" w:color="auto"/>
      </w:divBdr>
    </w:div>
    <w:div w:id="1955745262">
      <w:marLeft w:val="0"/>
      <w:marRight w:val="0"/>
      <w:marTop w:val="180"/>
      <w:marBottom w:val="180"/>
      <w:divBdr>
        <w:top w:val="none" w:sz="0" w:space="0" w:color="auto"/>
        <w:left w:val="none" w:sz="0" w:space="0" w:color="auto"/>
        <w:bottom w:val="none" w:sz="0" w:space="0" w:color="auto"/>
        <w:right w:val="none" w:sz="0" w:space="0" w:color="auto"/>
      </w:divBdr>
    </w:div>
    <w:div w:id="1957369639">
      <w:marLeft w:val="0"/>
      <w:marRight w:val="0"/>
      <w:marTop w:val="0"/>
      <w:marBottom w:val="240"/>
      <w:divBdr>
        <w:top w:val="none" w:sz="0" w:space="0" w:color="auto"/>
        <w:left w:val="none" w:sz="0" w:space="0" w:color="auto"/>
        <w:bottom w:val="none" w:sz="0" w:space="0" w:color="auto"/>
        <w:right w:val="none" w:sz="0" w:space="0" w:color="auto"/>
      </w:divBdr>
    </w:div>
    <w:div w:id="1957979978">
      <w:marLeft w:val="0"/>
      <w:marRight w:val="0"/>
      <w:marTop w:val="120"/>
      <w:marBottom w:val="120"/>
      <w:divBdr>
        <w:top w:val="none" w:sz="0" w:space="0" w:color="auto"/>
        <w:left w:val="none" w:sz="0" w:space="0" w:color="auto"/>
        <w:bottom w:val="none" w:sz="0" w:space="0" w:color="auto"/>
        <w:right w:val="none" w:sz="0" w:space="0" w:color="auto"/>
      </w:divBdr>
    </w:div>
    <w:div w:id="1958173336">
      <w:marLeft w:val="0"/>
      <w:marRight w:val="0"/>
      <w:marTop w:val="0"/>
      <w:marBottom w:val="240"/>
      <w:divBdr>
        <w:top w:val="none" w:sz="0" w:space="0" w:color="auto"/>
        <w:left w:val="none" w:sz="0" w:space="0" w:color="auto"/>
        <w:bottom w:val="none" w:sz="0" w:space="0" w:color="auto"/>
        <w:right w:val="none" w:sz="0" w:space="0" w:color="auto"/>
      </w:divBdr>
    </w:div>
    <w:div w:id="1958175112">
      <w:marLeft w:val="0"/>
      <w:marRight w:val="0"/>
      <w:marTop w:val="0"/>
      <w:marBottom w:val="0"/>
      <w:divBdr>
        <w:top w:val="none" w:sz="0" w:space="0" w:color="auto"/>
        <w:left w:val="none" w:sz="0" w:space="0" w:color="auto"/>
        <w:bottom w:val="none" w:sz="0" w:space="0" w:color="auto"/>
        <w:right w:val="none" w:sz="0" w:space="0" w:color="auto"/>
      </w:divBdr>
    </w:div>
    <w:div w:id="1958484521">
      <w:marLeft w:val="0"/>
      <w:marRight w:val="0"/>
      <w:marTop w:val="0"/>
      <w:marBottom w:val="0"/>
      <w:divBdr>
        <w:top w:val="none" w:sz="0" w:space="0" w:color="auto"/>
        <w:left w:val="none" w:sz="0" w:space="0" w:color="auto"/>
        <w:bottom w:val="none" w:sz="0" w:space="0" w:color="auto"/>
        <w:right w:val="none" w:sz="0" w:space="0" w:color="auto"/>
      </w:divBdr>
      <w:divsChild>
        <w:div w:id="1548252695">
          <w:marLeft w:val="0"/>
          <w:marRight w:val="0"/>
          <w:marTop w:val="0"/>
          <w:marBottom w:val="0"/>
          <w:divBdr>
            <w:top w:val="none" w:sz="0" w:space="0" w:color="auto"/>
            <w:left w:val="none" w:sz="0" w:space="0" w:color="auto"/>
            <w:bottom w:val="none" w:sz="0" w:space="0" w:color="auto"/>
            <w:right w:val="none" w:sz="0" w:space="0" w:color="auto"/>
          </w:divBdr>
        </w:div>
      </w:divsChild>
    </w:div>
    <w:div w:id="1959096493">
      <w:marLeft w:val="0"/>
      <w:marRight w:val="0"/>
      <w:marTop w:val="0"/>
      <w:marBottom w:val="180"/>
      <w:divBdr>
        <w:top w:val="none" w:sz="0" w:space="0" w:color="auto"/>
        <w:left w:val="none" w:sz="0" w:space="0" w:color="auto"/>
        <w:bottom w:val="none" w:sz="0" w:space="0" w:color="auto"/>
        <w:right w:val="none" w:sz="0" w:space="0" w:color="auto"/>
      </w:divBdr>
    </w:div>
    <w:div w:id="1960715995">
      <w:marLeft w:val="0"/>
      <w:marRight w:val="0"/>
      <w:marTop w:val="0"/>
      <w:marBottom w:val="180"/>
      <w:divBdr>
        <w:top w:val="none" w:sz="0" w:space="0" w:color="auto"/>
        <w:left w:val="none" w:sz="0" w:space="0" w:color="auto"/>
        <w:bottom w:val="none" w:sz="0" w:space="0" w:color="auto"/>
        <w:right w:val="none" w:sz="0" w:space="0" w:color="auto"/>
      </w:divBdr>
    </w:div>
    <w:div w:id="1962612485">
      <w:marLeft w:val="0"/>
      <w:marRight w:val="0"/>
      <w:marTop w:val="0"/>
      <w:marBottom w:val="0"/>
      <w:divBdr>
        <w:top w:val="none" w:sz="0" w:space="0" w:color="auto"/>
        <w:left w:val="none" w:sz="0" w:space="0" w:color="auto"/>
        <w:bottom w:val="none" w:sz="0" w:space="0" w:color="auto"/>
        <w:right w:val="none" w:sz="0" w:space="0" w:color="auto"/>
      </w:divBdr>
      <w:divsChild>
        <w:div w:id="1187869307">
          <w:marLeft w:val="0"/>
          <w:marRight w:val="0"/>
          <w:marTop w:val="0"/>
          <w:marBottom w:val="0"/>
          <w:divBdr>
            <w:top w:val="none" w:sz="0" w:space="0" w:color="auto"/>
            <w:left w:val="none" w:sz="0" w:space="0" w:color="auto"/>
            <w:bottom w:val="none" w:sz="0" w:space="0" w:color="auto"/>
            <w:right w:val="none" w:sz="0" w:space="0" w:color="auto"/>
          </w:divBdr>
        </w:div>
      </w:divsChild>
    </w:div>
    <w:div w:id="1962882420">
      <w:marLeft w:val="0"/>
      <w:marRight w:val="0"/>
      <w:marTop w:val="0"/>
      <w:marBottom w:val="240"/>
      <w:divBdr>
        <w:top w:val="none" w:sz="0" w:space="0" w:color="auto"/>
        <w:left w:val="none" w:sz="0" w:space="0" w:color="auto"/>
        <w:bottom w:val="none" w:sz="0" w:space="0" w:color="auto"/>
        <w:right w:val="none" w:sz="0" w:space="0" w:color="auto"/>
      </w:divBdr>
    </w:div>
    <w:div w:id="1963220503">
      <w:marLeft w:val="0"/>
      <w:marRight w:val="0"/>
      <w:marTop w:val="120"/>
      <w:marBottom w:val="120"/>
      <w:divBdr>
        <w:top w:val="none" w:sz="0" w:space="0" w:color="auto"/>
        <w:left w:val="none" w:sz="0" w:space="0" w:color="auto"/>
        <w:bottom w:val="none" w:sz="0" w:space="0" w:color="auto"/>
        <w:right w:val="none" w:sz="0" w:space="0" w:color="auto"/>
      </w:divBdr>
    </w:div>
    <w:div w:id="1965496186">
      <w:marLeft w:val="0"/>
      <w:marRight w:val="0"/>
      <w:marTop w:val="0"/>
      <w:marBottom w:val="0"/>
      <w:divBdr>
        <w:top w:val="none" w:sz="0" w:space="0" w:color="auto"/>
        <w:left w:val="none" w:sz="0" w:space="0" w:color="auto"/>
        <w:bottom w:val="none" w:sz="0" w:space="0" w:color="auto"/>
        <w:right w:val="none" w:sz="0" w:space="0" w:color="auto"/>
      </w:divBdr>
      <w:divsChild>
        <w:div w:id="2003074220">
          <w:marLeft w:val="0"/>
          <w:marRight w:val="0"/>
          <w:marTop w:val="0"/>
          <w:marBottom w:val="0"/>
          <w:divBdr>
            <w:top w:val="none" w:sz="0" w:space="0" w:color="auto"/>
            <w:left w:val="none" w:sz="0" w:space="0" w:color="auto"/>
            <w:bottom w:val="none" w:sz="0" w:space="0" w:color="auto"/>
            <w:right w:val="none" w:sz="0" w:space="0" w:color="auto"/>
          </w:divBdr>
        </w:div>
      </w:divsChild>
    </w:div>
    <w:div w:id="1965571519">
      <w:marLeft w:val="0"/>
      <w:marRight w:val="0"/>
      <w:marTop w:val="0"/>
      <w:marBottom w:val="0"/>
      <w:divBdr>
        <w:top w:val="none" w:sz="0" w:space="0" w:color="auto"/>
        <w:left w:val="none" w:sz="0" w:space="0" w:color="auto"/>
        <w:bottom w:val="none" w:sz="0" w:space="0" w:color="auto"/>
        <w:right w:val="none" w:sz="0" w:space="0" w:color="auto"/>
      </w:divBdr>
      <w:divsChild>
        <w:div w:id="889460604">
          <w:marLeft w:val="0"/>
          <w:marRight w:val="0"/>
          <w:marTop w:val="0"/>
          <w:marBottom w:val="0"/>
          <w:divBdr>
            <w:top w:val="none" w:sz="0" w:space="0" w:color="auto"/>
            <w:left w:val="none" w:sz="0" w:space="0" w:color="auto"/>
            <w:bottom w:val="none" w:sz="0" w:space="0" w:color="auto"/>
            <w:right w:val="none" w:sz="0" w:space="0" w:color="auto"/>
          </w:divBdr>
        </w:div>
      </w:divsChild>
    </w:div>
    <w:div w:id="1965621468">
      <w:marLeft w:val="0"/>
      <w:marRight w:val="0"/>
      <w:marTop w:val="120"/>
      <w:marBottom w:val="120"/>
      <w:divBdr>
        <w:top w:val="none" w:sz="0" w:space="0" w:color="auto"/>
        <w:left w:val="none" w:sz="0" w:space="0" w:color="auto"/>
        <w:bottom w:val="none" w:sz="0" w:space="0" w:color="auto"/>
        <w:right w:val="none" w:sz="0" w:space="0" w:color="auto"/>
      </w:divBdr>
    </w:div>
    <w:div w:id="1967809347">
      <w:marLeft w:val="0"/>
      <w:marRight w:val="0"/>
      <w:marTop w:val="0"/>
      <w:marBottom w:val="180"/>
      <w:divBdr>
        <w:top w:val="none" w:sz="0" w:space="0" w:color="auto"/>
        <w:left w:val="none" w:sz="0" w:space="0" w:color="auto"/>
        <w:bottom w:val="none" w:sz="0" w:space="0" w:color="auto"/>
        <w:right w:val="none" w:sz="0" w:space="0" w:color="auto"/>
      </w:divBdr>
    </w:div>
    <w:div w:id="1969430709">
      <w:marLeft w:val="0"/>
      <w:marRight w:val="0"/>
      <w:marTop w:val="0"/>
      <w:marBottom w:val="0"/>
      <w:divBdr>
        <w:top w:val="none" w:sz="0" w:space="0" w:color="auto"/>
        <w:left w:val="none" w:sz="0" w:space="0" w:color="auto"/>
        <w:bottom w:val="none" w:sz="0" w:space="0" w:color="auto"/>
        <w:right w:val="none" w:sz="0" w:space="0" w:color="auto"/>
      </w:divBdr>
      <w:divsChild>
        <w:div w:id="1618944599">
          <w:marLeft w:val="0"/>
          <w:marRight w:val="0"/>
          <w:marTop w:val="0"/>
          <w:marBottom w:val="0"/>
          <w:divBdr>
            <w:top w:val="none" w:sz="0" w:space="0" w:color="auto"/>
            <w:left w:val="none" w:sz="0" w:space="0" w:color="auto"/>
            <w:bottom w:val="none" w:sz="0" w:space="0" w:color="auto"/>
            <w:right w:val="none" w:sz="0" w:space="0" w:color="auto"/>
          </w:divBdr>
        </w:div>
      </w:divsChild>
    </w:div>
    <w:div w:id="1970285361">
      <w:marLeft w:val="0"/>
      <w:marRight w:val="0"/>
      <w:marTop w:val="180"/>
      <w:marBottom w:val="180"/>
      <w:divBdr>
        <w:top w:val="none" w:sz="0" w:space="0" w:color="auto"/>
        <w:left w:val="none" w:sz="0" w:space="0" w:color="auto"/>
        <w:bottom w:val="none" w:sz="0" w:space="0" w:color="auto"/>
        <w:right w:val="none" w:sz="0" w:space="0" w:color="auto"/>
      </w:divBdr>
    </w:div>
    <w:div w:id="1970473758">
      <w:marLeft w:val="0"/>
      <w:marRight w:val="0"/>
      <w:marTop w:val="0"/>
      <w:marBottom w:val="0"/>
      <w:divBdr>
        <w:top w:val="none" w:sz="0" w:space="0" w:color="auto"/>
        <w:left w:val="none" w:sz="0" w:space="0" w:color="auto"/>
        <w:bottom w:val="none" w:sz="0" w:space="0" w:color="auto"/>
        <w:right w:val="none" w:sz="0" w:space="0" w:color="auto"/>
      </w:divBdr>
    </w:div>
    <w:div w:id="1970548641">
      <w:marLeft w:val="0"/>
      <w:marRight w:val="0"/>
      <w:marTop w:val="0"/>
      <w:marBottom w:val="0"/>
      <w:divBdr>
        <w:top w:val="none" w:sz="0" w:space="0" w:color="auto"/>
        <w:left w:val="none" w:sz="0" w:space="0" w:color="auto"/>
        <w:bottom w:val="none" w:sz="0" w:space="0" w:color="auto"/>
        <w:right w:val="none" w:sz="0" w:space="0" w:color="auto"/>
      </w:divBdr>
      <w:divsChild>
        <w:div w:id="77136659">
          <w:marLeft w:val="0"/>
          <w:marRight w:val="0"/>
          <w:marTop w:val="0"/>
          <w:marBottom w:val="0"/>
          <w:divBdr>
            <w:top w:val="none" w:sz="0" w:space="0" w:color="auto"/>
            <w:left w:val="none" w:sz="0" w:space="0" w:color="auto"/>
            <w:bottom w:val="none" w:sz="0" w:space="0" w:color="auto"/>
            <w:right w:val="none" w:sz="0" w:space="0" w:color="auto"/>
          </w:divBdr>
        </w:div>
      </w:divsChild>
    </w:div>
    <w:div w:id="1970738624">
      <w:marLeft w:val="0"/>
      <w:marRight w:val="0"/>
      <w:marTop w:val="0"/>
      <w:marBottom w:val="180"/>
      <w:divBdr>
        <w:top w:val="none" w:sz="0" w:space="0" w:color="auto"/>
        <w:left w:val="none" w:sz="0" w:space="0" w:color="auto"/>
        <w:bottom w:val="none" w:sz="0" w:space="0" w:color="auto"/>
        <w:right w:val="none" w:sz="0" w:space="0" w:color="auto"/>
      </w:divBdr>
    </w:div>
    <w:div w:id="1971521276">
      <w:marLeft w:val="0"/>
      <w:marRight w:val="0"/>
      <w:marTop w:val="0"/>
      <w:marBottom w:val="0"/>
      <w:divBdr>
        <w:top w:val="none" w:sz="0" w:space="0" w:color="auto"/>
        <w:left w:val="none" w:sz="0" w:space="0" w:color="auto"/>
        <w:bottom w:val="none" w:sz="0" w:space="0" w:color="auto"/>
        <w:right w:val="none" w:sz="0" w:space="0" w:color="auto"/>
      </w:divBdr>
      <w:divsChild>
        <w:div w:id="1517648444">
          <w:marLeft w:val="0"/>
          <w:marRight w:val="0"/>
          <w:marTop w:val="0"/>
          <w:marBottom w:val="0"/>
          <w:divBdr>
            <w:top w:val="none" w:sz="0" w:space="0" w:color="auto"/>
            <w:left w:val="none" w:sz="0" w:space="0" w:color="auto"/>
            <w:bottom w:val="none" w:sz="0" w:space="0" w:color="auto"/>
            <w:right w:val="none" w:sz="0" w:space="0" w:color="auto"/>
          </w:divBdr>
        </w:div>
      </w:divsChild>
    </w:div>
    <w:div w:id="1972207615">
      <w:marLeft w:val="0"/>
      <w:marRight w:val="0"/>
      <w:marTop w:val="0"/>
      <w:marBottom w:val="180"/>
      <w:divBdr>
        <w:top w:val="none" w:sz="0" w:space="0" w:color="auto"/>
        <w:left w:val="none" w:sz="0" w:space="0" w:color="auto"/>
        <w:bottom w:val="none" w:sz="0" w:space="0" w:color="auto"/>
        <w:right w:val="none" w:sz="0" w:space="0" w:color="auto"/>
      </w:divBdr>
    </w:div>
    <w:div w:id="1972468331">
      <w:marLeft w:val="0"/>
      <w:marRight w:val="0"/>
      <w:marTop w:val="0"/>
      <w:marBottom w:val="180"/>
      <w:divBdr>
        <w:top w:val="none" w:sz="0" w:space="0" w:color="auto"/>
        <w:left w:val="none" w:sz="0" w:space="0" w:color="auto"/>
        <w:bottom w:val="none" w:sz="0" w:space="0" w:color="auto"/>
        <w:right w:val="none" w:sz="0" w:space="0" w:color="auto"/>
      </w:divBdr>
    </w:div>
    <w:div w:id="1973251060">
      <w:marLeft w:val="0"/>
      <w:marRight w:val="0"/>
      <w:marTop w:val="180"/>
      <w:marBottom w:val="180"/>
      <w:divBdr>
        <w:top w:val="none" w:sz="0" w:space="0" w:color="auto"/>
        <w:left w:val="none" w:sz="0" w:space="0" w:color="auto"/>
        <w:bottom w:val="none" w:sz="0" w:space="0" w:color="auto"/>
        <w:right w:val="none" w:sz="0" w:space="0" w:color="auto"/>
      </w:divBdr>
    </w:div>
    <w:div w:id="1973974242">
      <w:marLeft w:val="0"/>
      <w:marRight w:val="0"/>
      <w:marTop w:val="180"/>
      <w:marBottom w:val="180"/>
      <w:divBdr>
        <w:top w:val="none" w:sz="0" w:space="0" w:color="auto"/>
        <w:left w:val="none" w:sz="0" w:space="0" w:color="auto"/>
        <w:bottom w:val="none" w:sz="0" w:space="0" w:color="auto"/>
        <w:right w:val="none" w:sz="0" w:space="0" w:color="auto"/>
      </w:divBdr>
    </w:div>
    <w:div w:id="1974018506">
      <w:marLeft w:val="0"/>
      <w:marRight w:val="0"/>
      <w:marTop w:val="0"/>
      <w:marBottom w:val="180"/>
      <w:divBdr>
        <w:top w:val="none" w:sz="0" w:space="0" w:color="auto"/>
        <w:left w:val="none" w:sz="0" w:space="0" w:color="auto"/>
        <w:bottom w:val="none" w:sz="0" w:space="0" w:color="auto"/>
        <w:right w:val="none" w:sz="0" w:space="0" w:color="auto"/>
      </w:divBdr>
    </w:div>
    <w:div w:id="1974480837">
      <w:marLeft w:val="0"/>
      <w:marRight w:val="0"/>
      <w:marTop w:val="0"/>
      <w:marBottom w:val="0"/>
      <w:divBdr>
        <w:top w:val="none" w:sz="0" w:space="0" w:color="auto"/>
        <w:left w:val="none" w:sz="0" w:space="0" w:color="auto"/>
        <w:bottom w:val="none" w:sz="0" w:space="0" w:color="auto"/>
        <w:right w:val="none" w:sz="0" w:space="0" w:color="auto"/>
      </w:divBdr>
    </w:div>
    <w:div w:id="1974796777">
      <w:marLeft w:val="0"/>
      <w:marRight w:val="0"/>
      <w:marTop w:val="0"/>
      <w:marBottom w:val="180"/>
      <w:divBdr>
        <w:top w:val="none" w:sz="0" w:space="0" w:color="auto"/>
        <w:left w:val="none" w:sz="0" w:space="0" w:color="auto"/>
        <w:bottom w:val="none" w:sz="0" w:space="0" w:color="auto"/>
        <w:right w:val="none" w:sz="0" w:space="0" w:color="auto"/>
      </w:divBdr>
    </w:div>
    <w:div w:id="1976519269">
      <w:marLeft w:val="0"/>
      <w:marRight w:val="0"/>
      <w:marTop w:val="100"/>
      <w:marBottom w:val="0"/>
      <w:divBdr>
        <w:top w:val="none" w:sz="0" w:space="0" w:color="auto"/>
        <w:left w:val="none" w:sz="0" w:space="0" w:color="auto"/>
        <w:bottom w:val="none" w:sz="0" w:space="0" w:color="auto"/>
        <w:right w:val="none" w:sz="0" w:space="0" w:color="auto"/>
      </w:divBdr>
    </w:div>
    <w:div w:id="1976911143">
      <w:marLeft w:val="0"/>
      <w:marRight w:val="0"/>
      <w:marTop w:val="120"/>
      <w:marBottom w:val="120"/>
      <w:divBdr>
        <w:top w:val="none" w:sz="0" w:space="0" w:color="auto"/>
        <w:left w:val="none" w:sz="0" w:space="0" w:color="auto"/>
        <w:bottom w:val="none" w:sz="0" w:space="0" w:color="auto"/>
        <w:right w:val="none" w:sz="0" w:space="0" w:color="auto"/>
      </w:divBdr>
    </w:div>
    <w:div w:id="1977371922">
      <w:marLeft w:val="0"/>
      <w:marRight w:val="0"/>
      <w:marTop w:val="120"/>
      <w:marBottom w:val="120"/>
      <w:divBdr>
        <w:top w:val="none" w:sz="0" w:space="0" w:color="auto"/>
        <w:left w:val="none" w:sz="0" w:space="0" w:color="auto"/>
        <w:bottom w:val="none" w:sz="0" w:space="0" w:color="auto"/>
        <w:right w:val="none" w:sz="0" w:space="0" w:color="auto"/>
      </w:divBdr>
    </w:div>
    <w:div w:id="1977643016">
      <w:marLeft w:val="0"/>
      <w:marRight w:val="0"/>
      <w:marTop w:val="0"/>
      <w:marBottom w:val="0"/>
      <w:divBdr>
        <w:top w:val="none" w:sz="0" w:space="0" w:color="auto"/>
        <w:left w:val="none" w:sz="0" w:space="0" w:color="auto"/>
        <w:bottom w:val="none" w:sz="0" w:space="0" w:color="auto"/>
        <w:right w:val="none" w:sz="0" w:space="0" w:color="auto"/>
      </w:divBdr>
    </w:div>
    <w:div w:id="1978604636">
      <w:marLeft w:val="0"/>
      <w:marRight w:val="0"/>
      <w:marTop w:val="0"/>
      <w:marBottom w:val="180"/>
      <w:divBdr>
        <w:top w:val="none" w:sz="0" w:space="0" w:color="auto"/>
        <w:left w:val="none" w:sz="0" w:space="0" w:color="auto"/>
        <w:bottom w:val="none" w:sz="0" w:space="0" w:color="auto"/>
        <w:right w:val="none" w:sz="0" w:space="0" w:color="auto"/>
      </w:divBdr>
    </w:div>
    <w:div w:id="1979340214">
      <w:marLeft w:val="0"/>
      <w:marRight w:val="0"/>
      <w:marTop w:val="0"/>
      <w:marBottom w:val="240"/>
      <w:divBdr>
        <w:top w:val="none" w:sz="0" w:space="0" w:color="auto"/>
        <w:left w:val="none" w:sz="0" w:space="0" w:color="auto"/>
        <w:bottom w:val="none" w:sz="0" w:space="0" w:color="auto"/>
        <w:right w:val="none" w:sz="0" w:space="0" w:color="auto"/>
      </w:divBdr>
    </w:div>
    <w:div w:id="1979919333">
      <w:marLeft w:val="0"/>
      <w:marRight w:val="0"/>
      <w:marTop w:val="180"/>
      <w:marBottom w:val="180"/>
      <w:divBdr>
        <w:top w:val="none" w:sz="0" w:space="0" w:color="auto"/>
        <w:left w:val="none" w:sz="0" w:space="0" w:color="auto"/>
        <w:bottom w:val="none" w:sz="0" w:space="0" w:color="auto"/>
        <w:right w:val="none" w:sz="0" w:space="0" w:color="auto"/>
      </w:divBdr>
    </w:div>
    <w:div w:id="1981305580">
      <w:marLeft w:val="0"/>
      <w:marRight w:val="0"/>
      <w:marTop w:val="0"/>
      <w:marBottom w:val="180"/>
      <w:divBdr>
        <w:top w:val="none" w:sz="0" w:space="0" w:color="auto"/>
        <w:left w:val="none" w:sz="0" w:space="0" w:color="auto"/>
        <w:bottom w:val="none" w:sz="0" w:space="0" w:color="auto"/>
        <w:right w:val="none" w:sz="0" w:space="0" w:color="auto"/>
      </w:divBdr>
    </w:div>
    <w:div w:id="1981378126">
      <w:marLeft w:val="0"/>
      <w:marRight w:val="0"/>
      <w:marTop w:val="0"/>
      <w:marBottom w:val="180"/>
      <w:divBdr>
        <w:top w:val="none" w:sz="0" w:space="0" w:color="auto"/>
        <w:left w:val="none" w:sz="0" w:space="0" w:color="auto"/>
        <w:bottom w:val="none" w:sz="0" w:space="0" w:color="auto"/>
        <w:right w:val="none" w:sz="0" w:space="0" w:color="auto"/>
      </w:divBdr>
    </w:div>
    <w:div w:id="1982071855">
      <w:marLeft w:val="0"/>
      <w:marRight w:val="0"/>
      <w:marTop w:val="0"/>
      <w:marBottom w:val="180"/>
      <w:divBdr>
        <w:top w:val="none" w:sz="0" w:space="0" w:color="auto"/>
        <w:left w:val="none" w:sz="0" w:space="0" w:color="auto"/>
        <w:bottom w:val="none" w:sz="0" w:space="0" w:color="auto"/>
        <w:right w:val="none" w:sz="0" w:space="0" w:color="auto"/>
      </w:divBdr>
    </w:div>
    <w:div w:id="1982226920">
      <w:marLeft w:val="0"/>
      <w:marRight w:val="0"/>
      <w:marTop w:val="180"/>
      <w:marBottom w:val="180"/>
      <w:divBdr>
        <w:top w:val="none" w:sz="0" w:space="0" w:color="auto"/>
        <w:left w:val="none" w:sz="0" w:space="0" w:color="auto"/>
        <w:bottom w:val="none" w:sz="0" w:space="0" w:color="auto"/>
        <w:right w:val="none" w:sz="0" w:space="0" w:color="auto"/>
      </w:divBdr>
    </w:div>
    <w:div w:id="1983002738">
      <w:marLeft w:val="0"/>
      <w:marRight w:val="0"/>
      <w:marTop w:val="180"/>
      <w:marBottom w:val="180"/>
      <w:divBdr>
        <w:top w:val="none" w:sz="0" w:space="0" w:color="auto"/>
        <w:left w:val="none" w:sz="0" w:space="0" w:color="auto"/>
        <w:bottom w:val="none" w:sz="0" w:space="0" w:color="auto"/>
        <w:right w:val="none" w:sz="0" w:space="0" w:color="auto"/>
      </w:divBdr>
    </w:div>
    <w:div w:id="1983146755">
      <w:marLeft w:val="0"/>
      <w:marRight w:val="0"/>
      <w:marTop w:val="0"/>
      <w:marBottom w:val="0"/>
      <w:divBdr>
        <w:top w:val="none" w:sz="0" w:space="0" w:color="auto"/>
        <w:left w:val="none" w:sz="0" w:space="0" w:color="auto"/>
        <w:bottom w:val="none" w:sz="0" w:space="0" w:color="auto"/>
        <w:right w:val="none" w:sz="0" w:space="0" w:color="auto"/>
      </w:divBdr>
      <w:divsChild>
        <w:div w:id="411897139">
          <w:marLeft w:val="0"/>
          <w:marRight w:val="0"/>
          <w:marTop w:val="0"/>
          <w:marBottom w:val="0"/>
          <w:divBdr>
            <w:top w:val="none" w:sz="0" w:space="0" w:color="auto"/>
            <w:left w:val="none" w:sz="0" w:space="0" w:color="auto"/>
            <w:bottom w:val="none" w:sz="0" w:space="0" w:color="auto"/>
            <w:right w:val="none" w:sz="0" w:space="0" w:color="auto"/>
          </w:divBdr>
        </w:div>
      </w:divsChild>
    </w:div>
    <w:div w:id="1986161055">
      <w:marLeft w:val="0"/>
      <w:marRight w:val="0"/>
      <w:marTop w:val="0"/>
      <w:marBottom w:val="240"/>
      <w:divBdr>
        <w:top w:val="none" w:sz="0" w:space="0" w:color="auto"/>
        <w:left w:val="none" w:sz="0" w:space="0" w:color="auto"/>
        <w:bottom w:val="none" w:sz="0" w:space="0" w:color="auto"/>
        <w:right w:val="none" w:sz="0" w:space="0" w:color="auto"/>
      </w:divBdr>
    </w:div>
    <w:div w:id="1986202631">
      <w:marLeft w:val="0"/>
      <w:marRight w:val="0"/>
      <w:marTop w:val="0"/>
      <w:marBottom w:val="180"/>
      <w:divBdr>
        <w:top w:val="none" w:sz="0" w:space="0" w:color="auto"/>
        <w:left w:val="none" w:sz="0" w:space="0" w:color="auto"/>
        <w:bottom w:val="none" w:sz="0" w:space="0" w:color="auto"/>
        <w:right w:val="none" w:sz="0" w:space="0" w:color="auto"/>
      </w:divBdr>
    </w:div>
    <w:div w:id="1987079375">
      <w:marLeft w:val="0"/>
      <w:marRight w:val="0"/>
      <w:marTop w:val="0"/>
      <w:marBottom w:val="0"/>
      <w:divBdr>
        <w:top w:val="none" w:sz="0" w:space="0" w:color="auto"/>
        <w:left w:val="none" w:sz="0" w:space="0" w:color="auto"/>
        <w:bottom w:val="none" w:sz="0" w:space="0" w:color="auto"/>
        <w:right w:val="none" w:sz="0" w:space="0" w:color="auto"/>
      </w:divBdr>
    </w:div>
    <w:div w:id="1987658975">
      <w:marLeft w:val="0"/>
      <w:marRight w:val="0"/>
      <w:marTop w:val="0"/>
      <w:marBottom w:val="240"/>
      <w:divBdr>
        <w:top w:val="none" w:sz="0" w:space="0" w:color="auto"/>
        <w:left w:val="none" w:sz="0" w:space="0" w:color="auto"/>
        <w:bottom w:val="none" w:sz="0" w:space="0" w:color="auto"/>
        <w:right w:val="none" w:sz="0" w:space="0" w:color="auto"/>
      </w:divBdr>
    </w:div>
    <w:div w:id="1988122184">
      <w:marLeft w:val="0"/>
      <w:marRight w:val="0"/>
      <w:marTop w:val="0"/>
      <w:marBottom w:val="180"/>
      <w:divBdr>
        <w:top w:val="none" w:sz="0" w:space="0" w:color="auto"/>
        <w:left w:val="none" w:sz="0" w:space="0" w:color="auto"/>
        <w:bottom w:val="none" w:sz="0" w:space="0" w:color="auto"/>
        <w:right w:val="none" w:sz="0" w:space="0" w:color="auto"/>
      </w:divBdr>
    </w:div>
    <w:div w:id="1988363598">
      <w:marLeft w:val="0"/>
      <w:marRight w:val="0"/>
      <w:marTop w:val="0"/>
      <w:marBottom w:val="240"/>
      <w:divBdr>
        <w:top w:val="none" w:sz="0" w:space="0" w:color="auto"/>
        <w:left w:val="none" w:sz="0" w:space="0" w:color="auto"/>
        <w:bottom w:val="none" w:sz="0" w:space="0" w:color="auto"/>
        <w:right w:val="none" w:sz="0" w:space="0" w:color="auto"/>
      </w:divBdr>
    </w:div>
    <w:div w:id="1988391390">
      <w:marLeft w:val="0"/>
      <w:marRight w:val="0"/>
      <w:marTop w:val="0"/>
      <w:marBottom w:val="180"/>
      <w:divBdr>
        <w:top w:val="none" w:sz="0" w:space="0" w:color="auto"/>
        <w:left w:val="none" w:sz="0" w:space="0" w:color="auto"/>
        <w:bottom w:val="none" w:sz="0" w:space="0" w:color="auto"/>
        <w:right w:val="none" w:sz="0" w:space="0" w:color="auto"/>
      </w:divBdr>
    </w:div>
    <w:div w:id="1990674224">
      <w:marLeft w:val="0"/>
      <w:marRight w:val="0"/>
      <w:marTop w:val="0"/>
      <w:marBottom w:val="0"/>
      <w:divBdr>
        <w:top w:val="none" w:sz="0" w:space="0" w:color="auto"/>
        <w:left w:val="none" w:sz="0" w:space="0" w:color="auto"/>
        <w:bottom w:val="none" w:sz="0" w:space="0" w:color="auto"/>
        <w:right w:val="none" w:sz="0" w:space="0" w:color="auto"/>
      </w:divBdr>
    </w:div>
    <w:div w:id="1992437632">
      <w:marLeft w:val="0"/>
      <w:marRight w:val="0"/>
      <w:marTop w:val="0"/>
      <w:marBottom w:val="240"/>
      <w:divBdr>
        <w:top w:val="none" w:sz="0" w:space="0" w:color="auto"/>
        <w:left w:val="none" w:sz="0" w:space="0" w:color="auto"/>
        <w:bottom w:val="none" w:sz="0" w:space="0" w:color="auto"/>
        <w:right w:val="none" w:sz="0" w:space="0" w:color="auto"/>
      </w:divBdr>
    </w:div>
    <w:div w:id="1992631028">
      <w:marLeft w:val="0"/>
      <w:marRight w:val="0"/>
      <w:marTop w:val="0"/>
      <w:marBottom w:val="0"/>
      <w:divBdr>
        <w:top w:val="none" w:sz="0" w:space="0" w:color="auto"/>
        <w:left w:val="none" w:sz="0" w:space="0" w:color="auto"/>
        <w:bottom w:val="none" w:sz="0" w:space="0" w:color="auto"/>
        <w:right w:val="none" w:sz="0" w:space="0" w:color="auto"/>
      </w:divBdr>
    </w:div>
    <w:div w:id="1993409011">
      <w:marLeft w:val="0"/>
      <w:marRight w:val="0"/>
      <w:marTop w:val="0"/>
      <w:marBottom w:val="180"/>
      <w:divBdr>
        <w:top w:val="none" w:sz="0" w:space="0" w:color="auto"/>
        <w:left w:val="none" w:sz="0" w:space="0" w:color="auto"/>
        <w:bottom w:val="none" w:sz="0" w:space="0" w:color="auto"/>
        <w:right w:val="none" w:sz="0" w:space="0" w:color="auto"/>
      </w:divBdr>
    </w:div>
    <w:div w:id="1994138188">
      <w:marLeft w:val="0"/>
      <w:marRight w:val="0"/>
      <w:marTop w:val="0"/>
      <w:marBottom w:val="0"/>
      <w:divBdr>
        <w:top w:val="none" w:sz="0" w:space="0" w:color="auto"/>
        <w:left w:val="none" w:sz="0" w:space="0" w:color="auto"/>
        <w:bottom w:val="none" w:sz="0" w:space="0" w:color="auto"/>
        <w:right w:val="none" w:sz="0" w:space="0" w:color="auto"/>
      </w:divBdr>
    </w:div>
    <w:div w:id="1994796858">
      <w:marLeft w:val="0"/>
      <w:marRight w:val="0"/>
      <w:marTop w:val="0"/>
      <w:marBottom w:val="0"/>
      <w:divBdr>
        <w:top w:val="none" w:sz="0" w:space="0" w:color="auto"/>
        <w:left w:val="none" w:sz="0" w:space="0" w:color="auto"/>
        <w:bottom w:val="none" w:sz="0" w:space="0" w:color="auto"/>
        <w:right w:val="none" w:sz="0" w:space="0" w:color="auto"/>
      </w:divBdr>
      <w:divsChild>
        <w:div w:id="1699893523">
          <w:marLeft w:val="0"/>
          <w:marRight w:val="0"/>
          <w:marTop w:val="0"/>
          <w:marBottom w:val="0"/>
          <w:divBdr>
            <w:top w:val="none" w:sz="0" w:space="0" w:color="auto"/>
            <w:left w:val="none" w:sz="0" w:space="0" w:color="auto"/>
            <w:bottom w:val="none" w:sz="0" w:space="0" w:color="auto"/>
            <w:right w:val="none" w:sz="0" w:space="0" w:color="auto"/>
          </w:divBdr>
        </w:div>
      </w:divsChild>
    </w:div>
    <w:div w:id="1995254266">
      <w:marLeft w:val="0"/>
      <w:marRight w:val="0"/>
      <w:marTop w:val="180"/>
      <w:marBottom w:val="180"/>
      <w:divBdr>
        <w:top w:val="none" w:sz="0" w:space="0" w:color="auto"/>
        <w:left w:val="none" w:sz="0" w:space="0" w:color="auto"/>
        <w:bottom w:val="none" w:sz="0" w:space="0" w:color="auto"/>
        <w:right w:val="none" w:sz="0" w:space="0" w:color="auto"/>
      </w:divBdr>
    </w:div>
    <w:div w:id="1996949165">
      <w:marLeft w:val="0"/>
      <w:marRight w:val="0"/>
      <w:marTop w:val="0"/>
      <w:marBottom w:val="180"/>
      <w:divBdr>
        <w:top w:val="none" w:sz="0" w:space="0" w:color="auto"/>
        <w:left w:val="none" w:sz="0" w:space="0" w:color="auto"/>
        <w:bottom w:val="none" w:sz="0" w:space="0" w:color="auto"/>
        <w:right w:val="none" w:sz="0" w:space="0" w:color="auto"/>
      </w:divBdr>
    </w:div>
    <w:div w:id="1997537514">
      <w:marLeft w:val="0"/>
      <w:marRight w:val="0"/>
      <w:marTop w:val="0"/>
      <w:marBottom w:val="180"/>
      <w:divBdr>
        <w:top w:val="none" w:sz="0" w:space="0" w:color="auto"/>
        <w:left w:val="none" w:sz="0" w:space="0" w:color="auto"/>
        <w:bottom w:val="none" w:sz="0" w:space="0" w:color="auto"/>
        <w:right w:val="none" w:sz="0" w:space="0" w:color="auto"/>
      </w:divBdr>
    </w:div>
    <w:div w:id="1998218697">
      <w:marLeft w:val="0"/>
      <w:marRight w:val="0"/>
      <w:marTop w:val="0"/>
      <w:marBottom w:val="0"/>
      <w:divBdr>
        <w:top w:val="none" w:sz="0" w:space="0" w:color="auto"/>
        <w:left w:val="none" w:sz="0" w:space="0" w:color="auto"/>
        <w:bottom w:val="none" w:sz="0" w:space="0" w:color="auto"/>
        <w:right w:val="none" w:sz="0" w:space="0" w:color="auto"/>
      </w:divBdr>
    </w:div>
    <w:div w:id="1998411166">
      <w:marLeft w:val="0"/>
      <w:marRight w:val="0"/>
      <w:marTop w:val="180"/>
      <w:marBottom w:val="180"/>
      <w:divBdr>
        <w:top w:val="none" w:sz="0" w:space="0" w:color="auto"/>
        <w:left w:val="none" w:sz="0" w:space="0" w:color="auto"/>
        <w:bottom w:val="none" w:sz="0" w:space="0" w:color="auto"/>
        <w:right w:val="none" w:sz="0" w:space="0" w:color="auto"/>
      </w:divBdr>
    </w:div>
    <w:div w:id="1998457358">
      <w:marLeft w:val="0"/>
      <w:marRight w:val="0"/>
      <w:marTop w:val="0"/>
      <w:marBottom w:val="0"/>
      <w:divBdr>
        <w:top w:val="none" w:sz="0" w:space="0" w:color="auto"/>
        <w:left w:val="none" w:sz="0" w:space="0" w:color="auto"/>
        <w:bottom w:val="none" w:sz="0" w:space="0" w:color="auto"/>
        <w:right w:val="none" w:sz="0" w:space="0" w:color="auto"/>
      </w:divBdr>
    </w:div>
    <w:div w:id="1999336235">
      <w:marLeft w:val="0"/>
      <w:marRight w:val="0"/>
      <w:marTop w:val="0"/>
      <w:marBottom w:val="180"/>
      <w:divBdr>
        <w:top w:val="none" w:sz="0" w:space="0" w:color="auto"/>
        <w:left w:val="none" w:sz="0" w:space="0" w:color="auto"/>
        <w:bottom w:val="none" w:sz="0" w:space="0" w:color="auto"/>
        <w:right w:val="none" w:sz="0" w:space="0" w:color="auto"/>
      </w:divBdr>
    </w:div>
    <w:div w:id="2002539743">
      <w:marLeft w:val="0"/>
      <w:marRight w:val="0"/>
      <w:marTop w:val="0"/>
      <w:marBottom w:val="0"/>
      <w:divBdr>
        <w:top w:val="none" w:sz="0" w:space="0" w:color="auto"/>
        <w:left w:val="none" w:sz="0" w:space="0" w:color="auto"/>
        <w:bottom w:val="none" w:sz="0" w:space="0" w:color="auto"/>
        <w:right w:val="none" w:sz="0" w:space="0" w:color="auto"/>
      </w:divBdr>
    </w:div>
    <w:div w:id="2002998253">
      <w:marLeft w:val="0"/>
      <w:marRight w:val="0"/>
      <w:marTop w:val="0"/>
      <w:marBottom w:val="0"/>
      <w:divBdr>
        <w:top w:val="none" w:sz="0" w:space="0" w:color="auto"/>
        <w:left w:val="none" w:sz="0" w:space="0" w:color="auto"/>
        <w:bottom w:val="none" w:sz="0" w:space="0" w:color="auto"/>
        <w:right w:val="none" w:sz="0" w:space="0" w:color="auto"/>
      </w:divBdr>
    </w:div>
    <w:div w:id="2005818863">
      <w:marLeft w:val="0"/>
      <w:marRight w:val="0"/>
      <w:marTop w:val="0"/>
      <w:marBottom w:val="240"/>
      <w:divBdr>
        <w:top w:val="none" w:sz="0" w:space="0" w:color="auto"/>
        <w:left w:val="none" w:sz="0" w:space="0" w:color="auto"/>
        <w:bottom w:val="none" w:sz="0" w:space="0" w:color="auto"/>
        <w:right w:val="none" w:sz="0" w:space="0" w:color="auto"/>
      </w:divBdr>
    </w:div>
    <w:div w:id="2006089386">
      <w:marLeft w:val="0"/>
      <w:marRight w:val="0"/>
      <w:marTop w:val="100"/>
      <w:marBottom w:val="180"/>
      <w:divBdr>
        <w:top w:val="none" w:sz="0" w:space="0" w:color="auto"/>
        <w:left w:val="none" w:sz="0" w:space="0" w:color="auto"/>
        <w:bottom w:val="none" w:sz="0" w:space="0" w:color="auto"/>
        <w:right w:val="none" w:sz="0" w:space="0" w:color="auto"/>
      </w:divBdr>
    </w:div>
    <w:div w:id="2006975237">
      <w:marLeft w:val="0"/>
      <w:marRight w:val="0"/>
      <w:marTop w:val="0"/>
      <w:marBottom w:val="0"/>
      <w:divBdr>
        <w:top w:val="none" w:sz="0" w:space="0" w:color="auto"/>
        <w:left w:val="none" w:sz="0" w:space="0" w:color="auto"/>
        <w:bottom w:val="none" w:sz="0" w:space="0" w:color="auto"/>
        <w:right w:val="none" w:sz="0" w:space="0" w:color="auto"/>
      </w:divBdr>
      <w:divsChild>
        <w:div w:id="1300722893">
          <w:marLeft w:val="0"/>
          <w:marRight w:val="0"/>
          <w:marTop w:val="0"/>
          <w:marBottom w:val="0"/>
          <w:divBdr>
            <w:top w:val="none" w:sz="0" w:space="0" w:color="auto"/>
            <w:left w:val="none" w:sz="0" w:space="0" w:color="auto"/>
            <w:bottom w:val="none" w:sz="0" w:space="0" w:color="auto"/>
            <w:right w:val="none" w:sz="0" w:space="0" w:color="auto"/>
          </w:divBdr>
        </w:div>
      </w:divsChild>
    </w:div>
    <w:div w:id="2007515585">
      <w:marLeft w:val="0"/>
      <w:marRight w:val="0"/>
      <w:marTop w:val="0"/>
      <w:marBottom w:val="240"/>
      <w:divBdr>
        <w:top w:val="none" w:sz="0" w:space="0" w:color="auto"/>
        <w:left w:val="none" w:sz="0" w:space="0" w:color="auto"/>
        <w:bottom w:val="none" w:sz="0" w:space="0" w:color="auto"/>
        <w:right w:val="none" w:sz="0" w:space="0" w:color="auto"/>
      </w:divBdr>
    </w:div>
    <w:div w:id="2007516697">
      <w:marLeft w:val="0"/>
      <w:marRight w:val="0"/>
      <w:marTop w:val="0"/>
      <w:marBottom w:val="0"/>
      <w:divBdr>
        <w:top w:val="none" w:sz="0" w:space="0" w:color="auto"/>
        <w:left w:val="none" w:sz="0" w:space="0" w:color="auto"/>
        <w:bottom w:val="none" w:sz="0" w:space="0" w:color="auto"/>
        <w:right w:val="none" w:sz="0" w:space="0" w:color="auto"/>
      </w:divBdr>
    </w:div>
    <w:div w:id="2007902909">
      <w:marLeft w:val="0"/>
      <w:marRight w:val="0"/>
      <w:marTop w:val="0"/>
      <w:marBottom w:val="240"/>
      <w:divBdr>
        <w:top w:val="none" w:sz="0" w:space="0" w:color="auto"/>
        <w:left w:val="none" w:sz="0" w:space="0" w:color="auto"/>
        <w:bottom w:val="none" w:sz="0" w:space="0" w:color="auto"/>
        <w:right w:val="none" w:sz="0" w:space="0" w:color="auto"/>
      </w:divBdr>
    </w:div>
    <w:div w:id="2010670907">
      <w:marLeft w:val="0"/>
      <w:marRight w:val="0"/>
      <w:marTop w:val="180"/>
      <w:marBottom w:val="180"/>
      <w:divBdr>
        <w:top w:val="none" w:sz="0" w:space="0" w:color="auto"/>
        <w:left w:val="none" w:sz="0" w:space="0" w:color="auto"/>
        <w:bottom w:val="none" w:sz="0" w:space="0" w:color="auto"/>
        <w:right w:val="none" w:sz="0" w:space="0" w:color="auto"/>
      </w:divBdr>
    </w:div>
    <w:div w:id="2011172842">
      <w:marLeft w:val="0"/>
      <w:marRight w:val="0"/>
      <w:marTop w:val="100"/>
      <w:marBottom w:val="0"/>
      <w:divBdr>
        <w:top w:val="none" w:sz="0" w:space="0" w:color="auto"/>
        <w:left w:val="none" w:sz="0" w:space="0" w:color="auto"/>
        <w:bottom w:val="none" w:sz="0" w:space="0" w:color="auto"/>
        <w:right w:val="none" w:sz="0" w:space="0" w:color="auto"/>
      </w:divBdr>
    </w:div>
    <w:div w:id="2011788429">
      <w:marLeft w:val="0"/>
      <w:marRight w:val="0"/>
      <w:marTop w:val="0"/>
      <w:marBottom w:val="180"/>
      <w:divBdr>
        <w:top w:val="none" w:sz="0" w:space="0" w:color="auto"/>
        <w:left w:val="none" w:sz="0" w:space="0" w:color="auto"/>
        <w:bottom w:val="none" w:sz="0" w:space="0" w:color="auto"/>
        <w:right w:val="none" w:sz="0" w:space="0" w:color="auto"/>
      </w:divBdr>
    </w:div>
    <w:div w:id="2012175897">
      <w:marLeft w:val="0"/>
      <w:marRight w:val="0"/>
      <w:marTop w:val="0"/>
      <w:marBottom w:val="0"/>
      <w:divBdr>
        <w:top w:val="none" w:sz="0" w:space="0" w:color="auto"/>
        <w:left w:val="none" w:sz="0" w:space="0" w:color="auto"/>
        <w:bottom w:val="none" w:sz="0" w:space="0" w:color="auto"/>
        <w:right w:val="none" w:sz="0" w:space="0" w:color="auto"/>
      </w:divBdr>
      <w:divsChild>
        <w:div w:id="2123111023">
          <w:marLeft w:val="0"/>
          <w:marRight w:val="0"/>
          <w:marTop w:val="0"/>
          <w:marBottom w:val="180"/>
          <w:divBdr>
            <w:top w:val="none" w:sz="0" w:space="0" w:color="auto"/>
            <w:left w:val="none" w:sz="0" w:space="0" w:color="auto"/>
            <w:bottom w:val="none" w:sz="0" w:space="0" w:color="auto"/>
            <w:right w:val="none" w:sz="0" w:space="0" w:color="auto"/>
          </w:divBdr>
        </w:div>
        <w:div w:id="893583605">
          <w:marLeft w:val="0"/>
          <w:marRight w:val="0"/>
          <w:marTop w:val="0"/>
          <w:marBottom w:val="180"/>
          <w:divBdr>
            <w:top w:val="none" w:sz="0" w:space="0" w:color="auto"/>
            <w:left w:val="none" w:sz="0" w:space="0" w:color="auto"/>
            <w:bottom w:val="none" w:sz="0" w:space="0" w:color="auto"/>
            <w:right w:val="none" w:sz="0" w:space="0" w:color="auto"/>
          </w:divBdr>
        </w:div>
        <w:div w:id="1275333282">
          <w:marLeft w:val="0"/>
          <w:marRight w:val="0"/>
          <w:marTop w:val="0"/>
          <w:marBottom w:val="0"/>
          <w:divBdr>
            <w:top w:val="none" w:sz="0" w:space="0" w:color="auto"/>
            <w:left w:val="none" w:sz="0" w:space="0" w:color="auto"/>
            <w:bottom w:val="none" w:sz="0" w:space="0" w:color="auto"/>
            <w:right w:val="none" w:sz="0" w:space="0" w:color="auto"/>
          </w:divBdr>
        </w:div>
        <w:div w:id="1978877088">
          <w:marLeft w:val="0"/>
          <w:marRight w:val="0"/>
          <w:marTop w:val="0"/>
          <w:marBottom w:val="0"/>
          <w:divBdr>
            <w:top w:val="none" w:sz="0" w:space="0" w:color="auto"/>
            <w:left w:val="none" w:sz="0" w:space="0" w:color="auto"/>
            <w:bottom w:val="none" w:sz="0" w:space="0" w:color="auto"/>
            <w:right w:val="none" w:sz="0" w:space="0" w:color="auto"/>
          </w:divBdr>
        </w:div>
        <w:div w:id="1189225047">
          <w:marLeft w:val="0"/>
          <w:marRight w:val="0"/>
          <w:marTop w:val="0"/>
          <w:marBottom w:val="0"/>
          <w:divBdr>
            <w:top w:val="none" w:sz="0" w:space="0" w:color="auto"/>
            <w:left w:val="none" w:sz="0" w:space="0" w:color="auto"/>
            <w:bottom w:val="none" w:sz="0" w:space="0" w:color="auto"/>
            <w:right w:val="none" w:sz="0" w:space="0" w:color="auto"/>
          </w:divBdr>
        </w:div>
        <w:div w:id="1873417013">
          <w:marLeft w:val="0"/>
          <w:marRight w:val="0"/>
          <w:marTop w:val="0"/>
          <w:marBottom w:val="0"/>
          <w:divBdr>
            <w:top w:val="none" w:sz="0" w:space="0" w:color="auto"/>
            <w:left w:val="none" w:sz="0" w:space="0" w:color="auto"/>
            <w:bottom w:val="none" w:sz="0" w:space="0" w:color="auto"/>
            <w:right w:val="none" w:sz="0" w:space="0" w:color="auto"/>
          </w:divBdr>
        </w:div>
        <w:div w:id="1471360113">
          <w:marLeft w:val="0"/>
          <w:marRight w:val="0"/>
          <w:marTop w:val="0"/>
          <w:marBottom w:val="0"/>
          <w:divBdr>
            <w:top w:val="none" w:sz="0" w:space="0" w:color="auto"/>
            <w:left w:val="none" w:sz="0" w:space="0" w:color="auto"/>
            <w:bottom w:val="none" w:sz="0" w:space="0" w:color="auto"/>
            <w:right w:val="none" w:sz="0" w:space="0" w:color="auto"/>
          </w:divBdr>
        </w:div>
      </w:divsChild>
    </w:div>
    <w:div w:id="2012829368">
      <w:marLeft w:val="0"/>
      <w:marRight w:val="0"/>
      <w:marTop w:val="0"/>
      <w:marBottom w:val="0"/>
      <w:divBdr>
        <w:top w:val="none" w:sz="0" w:space="0" w:color="auto"/>
        <w:left w:val="none" w:sz="0" w:space="0" w:color="auto"/>
        <w:bottom w:val="none" w:sz="0" w:space="0" w:color="auto"/>
        <w:right w:val="none" w:sz="0" w:space="0" w:color="auto"/>
      </w:divBdr>
      <w:divsChild>
        <w:div w:id="595332447">
          <w:marLeft w:val="0"/>
          <w:marRight w:val="0"/>
          <w:marTop w:val="0"/>
          <w:marBottom w:val="0"/>
          <w:divBdr>
            <w:top w:val="none" w:sz="0" w:space="0" w:color="auto"/>
            <w:left w:val="none" w:sz="0" w:space="0" w:color="auto"/>
            <w:bottom w:val="none" w:sz="0" w:space="0" w:color="auto"/>
            <w:right w:val="none" w:sz="0" w:space="0" w:color="auto"/>
          </w:divBdr>
        </w:div>
      </w:divsChild>
    </w:div>
    <w:div w:id="2014184256">
      <w:marLeft w:val="0"/>
      <w:marRight w:val="0"/>
      <w:marTop w:val="0"/>
      <w:marBottom w:val="180"/>
      <w:divBdr>
        <w:top w:val="none" w:sz="0" w:space="0" w:color="auto"/>
        <w:left w:val="none" w:sz="0" w:space="0" w:color="auto"/>
        <w:bottom w:val="none" w:sz="0" w:space="0" w:color="auto"/>
        <w:right w:val="none" w:sz="0" w:space="0" w:color="auto"/>
      </w:divBdr>
    </w:div>
    <w:div w:id="2017879821">
      <w:marLeft w:val="0"/>
      <w:marRight w:val="0"/>
      <w:marTop w:val="100"/>
      <w:marBottom w:val="0"/>
      <w:divBdr>
        <w:top w:val="none" w:sz="0" w:space="0" w:color="auto"/>
        <w:left w:val="none" w:sz="0" w:space="0" w:color="auto"/>
        <w:bottom w:val="none" w:sz="0" w:space="0" w:color="auto"/>
        <w:right w:val="none" w:sz="0" w:space="0" w:color="auto"/>
      </w:divBdr>
    </w:div>
    <w:div w:id="2018144324">
      <w:marLeft w:val="0"/>
      <w:marRight w:val="0"/>
      <w:marTop w:val="0"/>
      <w:marBottom w:val="240"/>
      <w:divBdr>
        <w:top w:val="none" w:sz="0" w:space="0" w:color="auto"/>
        <w:left w:val="none" w:sz="0" w:space="0" w:color="auto"/>
        <w:bottom w:val="none" w:sz="0" w:space="0" w:color="auto"/>
        <w:right w:val="none" w:sz="0" w:space="0" w:color="auto"/>
      </w:divBdr>
    </w:div>
    <w:div w:id="2018193122">
      <w:marLeft w:val="0"/>
      <w:marRight w:val="0"/>
      <w:marTop w:val="0"/>
      <w:marBottom w:val="180"/>
      <w:divBdr>
        <w:top w:val="none" w:sz="0" w:space="0" w:color="auto"/>
        <w:left w:val="none" w:sz="0" w:space="0" w:color="auto"/>
        <w:bottom w:val="none" w:sz="0" w:space="0" w:color="auto"/>
        <w:right w:val="none" w:sz="0" w:space="0" w:color="auto"/>
      </w:divBdr>
    </w:div>
    <w:div w:id="2018538969">
      <w:marLeft w:val="0"/>
      <w:marRight w:val="0"/>
      <w:marTop w:val="0"/>
      <w:marBottom w:val="180"/>
      <w:divBdr>
        <w:top w:val="none" w:sz="0" w:space="0" w:color="auto"/>
        <w:left w:val="none" w:sz="0" w:space="0" w:color="auto"/>
        <w:bottom w:val="none" w:sz="0" w:space="0" w:color="auto"/>
        <w:right w:val="none" w:sz="0" w:space="0" w:color="auto"/>
      </w:divBdr>
    </w:div>
    <w:div w:id="2018801523">
      <w:marLeft w:val="0"/>
      <w:marRight w:val="0"/>
      <w:marTop w:val="0"/>
      <w:marBottom w:val="240"/>
      <w:divBdr>
        <w:top w:val="none" w:sz="0" w:space="0" w:color="auto"/>
        <w:left w:val="none" w:sz="0" w:space="0" w:color="auto"/>
        <w:bottom w:val="none" w:sz="0" w:space="0" w:color="auto"/>
        <w:right w:val="none" w:sz="0" w:space="0" w:color="auto"/>
      </w:divBdr>
    </w:div>
    <w:div w:id="2019193733">
      <w:marLeft w:val="0"/>
      <w:marRight w:val="0"/>
      <w:marTop w:val="0"/>
      <w:marBottom w:val="0"/>
      <w:divBdr>
        <w:top w:val="none" w:sz="0" w:space="0" w:color="auto"/>
        <w:left w:val="none" w:sz="0" w:space="0" w:color="auto"/>
        <w:bottom w:val="none" w:sz="0" w:space="0" w:color="auto"/>
        <w:right w:val="none" w:sz="0" w:space="0" w:color="auto"/>
      </w:divBdr>
    </w:div>
    <w:div w:id="2020042919">
      <w:marLeft w:val="0"/>
      <w:marRight w:val="0"/>
      <w:marTop w:val="120"/>
      <w:marBottom w:val="180"/>
      <w:divBdr>
        <w:top w:val="none" w:sz="0" w:space="0" w:color="auto"/>
        <w:left w:val="none" w:sz="0" w:space="0" w:color="auto"/>
        <w:bottom w:val="none" w:sz="0" w:space="0" w:color="auto"/>
        <w:right w:val="none" w:sz="0" w:space="0" w:color="auto"/>
      </w:divBdr>
    </w:div>
    <w:div w:id="2020424846">
      <w:marLeft w:val="0"/>
      <w:marRight w:val="0"/>
      <w:marTop w:val="0"/>
      <w:marBottom w:val="0"/>
      <w:divBdr>
        <w:top w:val="none" w:sz="0" w:space="0" w:color="auto"/>
        <w:left w:val="none" w:sz="0" w:space="0" w:color="auto"/>
        <w:bottom w:val="none" w:sz="0" w:space="0" w:color="auto"/>
        <w:right w:val="none" w:sz="0" w:space="0" w:color="auto"/>
      </w:divBdr>
    </w:div>
    <w:div w:id="2020426516">
      <w:marLeft w:val="0"/>
      <w:marRight w:val="0"/>
      <w:marTop w:val="0"/>
      <w:marBottom w:val="180"/>
      <w:divBdr>
        <w:top w:val="none" w:sz="0" w:space="0" w:color="auto"/>
        <w:left w:val="none" w:sz="0" w:space="0" w:color="auto"/>
        <w:bottom w:val="none" w:sz="0" w:space="0" w:color="auto"/>
        <w:right w:val="none" w:sz="0" w:space="0" w:color="auto"/>
      </w:divBdr>
    </w:div>
    <w:div w:id="2021465648">
      <w:marLeft w:val="0"/>
      <w:marRight w:val="0"/>
      <w:marTop w:val="0"/>
      <w:marBottom w:val="0"/>
      <w:divBdr>
        <w:top w:val="none" w:sz="0" w:space="0" w:color="auto"/>
        <w:left w:val="none" w:sz="0" w:space="0" w:color="auto"/>
        <w:bottom w:val="none" w:sz="0" w:space="0" w:color="auto"/>
        <w:right w:val="none" w:sz="0" w:space="0" w:color="auto"/>
      </w:divBdr>
      <w:divsChild>
        <w:div w:id="869148111">
          <w:marLeft w:val="0"/>
          <w:marRight w:val="0"/>
          <w:marTop w:val="0"/>
          <w:marBottom w:val="0"/>
          <w:divBdr>
            <w:top w:val="none" w:sz="0" w:space="0" w:color="auto"/>
            <w:left w:val="none" w:sz="0" w:space="0" w:color="auto"/>
            <w:bottom w:val="none" w:sz="0" w:space="0" w:color="auto"/>
            <w:right w:val="none" w:sz="0" w:space="0" w:color="auto"/>
          </w:divBdr>
        </w:div>
      </w:divsChild>
    </w:div>
    <w:div w:id="2022929647">
      <w:marLeft w:val="0"/>
      <w:marRight w:val="0"/>
      <w:marTop w:val="180"/>
      <w:marBottom w:val="180"/>
      <w:divBdr>
        <w:top w:val="none" w:sz="0" w:space="0" w:color="auto"/>
        <w:left w:val="none" w:sz="0" w:space="0" w:color="auto"/>
        <w:bottom w:val="none" w:sz="0" w:space="0" w:color="auto"/>
        <w:right w:val="none" w:sz="0" w:space="0" w:color="auto"/>
      </w:divBdr>
    </w:div>
    <w:div w:id="2025399901">
      <w:marLeft w:val="0"/>
      <w:marRight w:val="0"/>
      <w:marTop w:val="0"/>
      <w:marBottom w:val="180"/>
      <w:divBdr>
        <w:top w:val="none" w:sz="0" w:space="0" w:color="auto"/>
        <w:left w:val="none" w:sz="0" w:space="0" w:color="auto"/>
        <w:bottom w:val="none" w:sz="0" w:space="0" w:color="auto"/>
        <w:right w:val="none" w:sz="0" w:space="0" w:color="auto"/>
      </w:divBdr>
    </w:div>
    <w:div w:id="2026706142">
      <w:marLeft w:val="0"/>
      <w:marRight w:val="0"/>
      <w:marTop w:val="0"/>
      <w:marBottom w:val="180"/>
      <w:divBdr>
        <w:top w:val="none" w:sz="0" w:space="0" w:color="auto"/>
        <w:left w:val="none" w:sz="0" w:space="0" w:color="auto"/>
        <w:bottom w:val="none" w:sz="0" w:space="0" w:color="auto"/>
        <w:right w:val="none" w:sz="0" w:space="0" w:color="auto"/>
      </w:divBdr>
    </w:div>
    <w:div w:id="2027554283">
      <w:marLeft w:val="0"/>
      <w:marRight w:val="0"/>
      <w:marTop w:val="0"/>
      <w:marBottom w:val="240"/>
      <w:divBdr>
        <w:top w:val="none" w:sz="0" w:space="0" w:color="auto"/>
        <w:left w:val="none" w:sz="0" w:space="0" w:color="auto"/>
        <w:bottom w:val="none" w:sz="0" w:space="0" w:color="auto"/>
        <w:right w:val="none" w:sz="0" w:space="0" w:color="auto"/>
      </w:divBdr>
    </w:div>
    <w:div w:id="2028405017">
      <w:marLeft w:val="0"/>
      <w:marRight w:val="0"/>
      <w:marTop w:val="180"/>
      <w:marBottom w:val="180"/>
      <w:divBdr>
        <w:top w:val="none" w:sz="0" w:space="0" w:color="auto"/>
        <w:left w:val="none" w:sz="0" w:space="0" w:color="auto"/>
        <w:bottom w:val="none" w:sz="0" w:space="0" w:color="auto"/>
        <w:right w:val="none" w:sz="0" w:space="0" w:color="auto"/>
      </w:divBdr>
    </w:div>
    <w:div w:id="2028867443">
      <w:marLeft w:val="0"/>
      <w:marRight w:val="0"/>
      <w:marTop w:val="0"/>
      <w:marBottom w:val="0"/>
      <w:divBdr>
        <w:top w:val="none" w:sz="0" w:space="0" w:color="auto"/>
        <w:left w:val="none" w:sz="0" w:space="0" w:color="auto"/>
        <w:bottom w:val="none" w:sz="0" w:space="0" w:color="auto"/>
        <w:right w:val="none" w:sz="0" w:space="0" w:color="auto"/>
      </w:divBdr>
      <w:divsChild>
        <w:div w:id="641884537">
          <w:marLeft w:val="0"/>
          <w:marRight w:val="0"/>
          <w:marTop w:val="0"/>
          <w:marBottom w:val="0"/>
          <w:divBdr>
            <w:top w:val="none" w:sz="0" w:space="0" w:color="auto"/>
            <w:left w:val="none" w:sz="0" w:space="0" w:color="auto"/>
            <w:bottom w:val="none" w:sz="0" w:space="0" w:color="auto"/>
            <w:right w:val="none" w:sz="0" w:space="0" w:color="auto"/>
          </w:divBdr>
        </w:div>
      </w:divsChild>
    </w:div>
    <w:div w:id="2029329395">
      <w:marLeft w:val="0"/>
      <w:marRight w:val="0"/>
      <w:marTop w:val="0"/>
      <w:marBottom w:val="0"/>
      <w:divBdr>
        <w:top w:val="none" w:sz="0" w:space="0" w:color="auto"/>
        <w:left w:val="none" w:sz="0" w:space="0" w:color="auto"/>
        <w:bottom w:val="none" w:sz="0" w:space="0" w:color="auto"/>
        <w:right w:val="none" w:sz="0" w:space="0" w:color="auto"/>
      </w:divBdr>
    </w:div>
    <w:div w:id="2030252618">
      <w:marLeft w:val="0"/>
      <w:marRight w:val="0"/>
      <w:marTop w:val="180"/>
      <w:marBottom w:val="180"/>
      <w:divBdr>
        <w:top w:val="none" w:sz="0" w:space="0" w:color="auto"/>
        <w:left w:val="none" w:sz="0" w:space="0" w:color="auto"/>
        <w:bottom w:val="none" w:sz="0" w:space="0" w:color="auto"/>
        <w:right w:val="none" w:sz="0" w:space="0" w:color="auto"/>
      </w:divBdr>
    </w:div>
    <w:div w:id="2030374129">
      <w:marLeft w:val="0"/>
      <w:marRight w:val="0"/>
      <w:marTop w:val="0"/>
      <w:marBottom w:val="240"/>
      <w:divBdr>
        <w:top w:val="none" w:sz="0" w:space="0" w:color="auto"/>
        <w:left w:val="none" w:sz="0" w:space="0" w:color="auto"/>
        <w:bottom w:val="none" w:sz="0" w:space="0" w:color="auto"/>
        <w:right w:val="none" w:sz="0" w:space="0" w:color="auto"/>
      </w:divBdr>
    </w:div>
    <w:div w:id="2030719945">
      <w:marLeft w:val="0"/>
      <w:marRight w:val="0"/>
      <w:marTop w:val="0"/>
      <w:marBottom w:val="0"/>
      <w:divBdr>
        <w:top w:val="none" w:sz="0" w:space="0" w:color="auto"/>
        <w:left w:val="none" w:sz="0" w:space="0" w:color="auto"/>
        <w:bottom w:val="none" w:sz="0" w:space="0" w:color="auto"/>
        <w:right w:val="none" w:sz="0" w:space="0" w:color="auto"/>
      </w:divBdr>
    </w:div>
    <w:div w:id="2030832759">
      <w:marLeft w:val="0"/>
      <w:marRight w:val="0"/>
      <w:marTop w:val="180"/>
      <w:marBottom w:val="180"/>
      <w:divBdr>
        <w:top w:val="none" w:sz="0" w:space="0" w:color="auto"/>
        <w:left w:val="none" w:sz="0" w:space="0" w:color="auto"/>
        <w:bottom w:val="none" w:sz="0" w:space="0" w:color="auto"/>
        <w:right w:val="none" w:sz="0" w:space="0" w:color="auto"/>
      </w:divBdr>
    </w:div>
    <w:div w:id="2032680858">
      <w:marLeft w:val="0"/>
      <w:marRight w:val="0"/>
      <w:marTop w:val="0"/>
      <w:marBottom w:val="240"/>
      <w:divBdr>
        <w:top w:val="none" w:sz="0" w:space="0" w:color="auto"/>
        <w:left w:val="none" w:sz="0" w:space="0" w:color="auto"/>
        <w:bottom w:val="none" w:sz="0" w:space="0" w:color="auto"/>
        <w:right w:val="none" w:sz="0" w:space="0" w:color="auto"/>
      </w:divBdr>
    </w:div>
    <w:div w:id="2032879057">
      <w:marLeft w:val="0"/>
      <w:marRight w:val="0"/>
      <w:marTop w:val="120"/>
      <w:marBottom w:val="120"/>
      <w:divBdr>
        <w:top w:val="none" w:sz="0" w:space="0" w:color="auto"/>
        <w:left w:val="none" w:sz="0" w:space="0" w:color="auto"/>
        <w:bottom w:val="none" w:sz="0" w:space="0" w:color="auto"/>
        <w:right w:val="none" w:sz="0" w:space="0" w:color="auto"/>
      </w:divBdr>
    </w:div>
    <w:div w:id="2033189922">
      <w:marLeft w:val="0"/>
      <w:marRight w:val="0"/>
      <w:marTop w:val="100"/>
      <w:marBottom w:val="0"/>
      <w:divBdr>
        <w:top w:val="none" w:sz="0" w:space="0" w:color="auto"/>
        <w:left w:val="none" w:sz="0" w:space="0" w:color="auto"/>
        <w:bottom w:val="none" w:sz="0" w:space="0" w:color="auto"/>
        <w:right w:val="none" w:sz="0" w:space="0" w:color="auto"/>
      </w:divBdr>
      <w:divsChild>
        <w:div w:id="1872843014">
          <w:marLeft w:val="0"/>
          <w:marRight w:val="0"/>
          <w:marTop w:val="0"/>
          <w:marBottom w:val="0"/>
          <w:divBdr>
            <w:top w:val="none" w:sz="0" w:space="0" w:color="auto"/>
            <w:left w:val="none" w:sz="0" w:space="0" w:color="auto"/>
            <w:bottom w:val="none" w:sz="0" w:space="0" w:color="auto"/>
            <w:right w:val="none" w:sz="0" w:space="0" w:color="auto"/>
          </w:divBdr>
        </w:div>
        <w:div w:id="2069262036">
          <w:marLeft w:val="0"/>
          <w:marRight w:val="0"/>
          <w:marTop w:val="0"/>
          <w:marBottom w:val="0"/>
          <w:divBdr>
            <w:top w:val="none" w:sz="0" w:space="0" w:color="auto"/>
            <w:left w:val="none" w:sz="0" w:space="0" w:color="auto"/>
            <w:bottom w:val="none" w:sz="0" w:space="0" w:color="auto"/>
            <w:right w:val="none" w:sz="0" w:space="0" w:color="auto"/>
          </w:divBdr>
        </w:div>
      </w:divsChild>
    </w:div>
    <w:div w:id="2033456551">
      <w:marLeft w:val="0"/>
      <w:marRight w:val="0"/>
      <w:marTop w:val="0"/>
      <w:marBottom w:val="240"/>
      <w:divBdr>
        <w:top w:val="none" w:sz="0" w:space="0" w:color="auto"/>
        <w:left w:val="none" w:sz="0" w:space="0" w:color="auto"/>
        <w:bottom w:val="none" w:sz="0" w:space="0" w:color="auto"/>
        <w:right w:val="none" w:sz="0" w:space="0" w:color="auto"/>
      </w:divBdr>
    </w:div>
    <w:div w:id="2034794243">
      <w:marLeft w:val="0"/>
      <w:marRight w:val="0"/>
      <w:marTop w:val="0"/>
      <w:marBottom w:val="180"/>
      <w:divBdr>
        <w:top w:val="none" w:sz="0" w:space="0" w:color="auto"/>
        <w:left w:val="none" w:sz="0" w:space="0" w:color="auto"/>
        <w:bottom w:val="none" w:sz="0" w:space="0" w:color="auto"/>
        <w:right w:val="none" w:sz="0" w:space="0" w:color="auto"/>
      </w:divBdr>
    </w:div>
    <w:div w:id="2034840428">
      <w:marLeft w:val="0"/>
      <w:marRight w:val="0"/>
      <w:marTop w:val="0"/>
      <w:marBottom w:val="240"/>
      <w:divBdr>
        <w:top w:val="none" w:sz="0" w:space="0" w:color="auto"/>
        <w:left w:val="none" w:sz="0" w:space="0" w:color="auto"/>
        <w:bottom w:val="none" w:sz="0" w:space="0" w:color="auto"/>
        <w:right w:val="none" w:sz="0" w:space="0" w:color="auto"/>
      </w:divBdr>
    </w:div>
    <w:div w:id="2035381378">
      <w:marLeft w:val="0"/>
      <w:marRight w:val="0"/>
      <w:marTop w:val="0"/>
      <w:marBottom w:val="0"/>
      <w:divBdr>
        <w:top w:val="none" w:sz="0" w:space="0" w:color="auto"/>
        <w:left w:val="none" w:sz="0" w:space="0" w:color="auto"/>
        <w:bottom w:val="none" w:sz="0" w:space="0" w:color="auto"/>
        <w:right w:val="none" w:sz="0" w:space="0" w:color="auto"/>
      </w:divBdr>
    </w:div>
    <w:div w:id="2035837838">
      <w:marLeft w:val="0"/>
      <w:marRight w:val="0"/>
      <w:marTop w:val="0"/>
      <w:marBottom w:val="180"/>
      <w:divBdr>
        <w:top w:val="none" w:sz="0" w:space="0" w:color="auto"/>
        <w:left w:val="none" w:sz="0" w:space="0" w:color="auto"/>
        <w:bottom w:val="none" w:sz="0" w:space="0" w:color="auto"/>
        <w:right w:val="none" w:sz="0" w:space="0" w:color="auto"/>
      </w:divBdr>
    </w:div>
    <w:div w:id="2035880207">
      <w:marLeft w:val="0"/>
      <w:marRight w:val="0"/>
      <w:marTop w:val="0"/>
      <w:marBottom w:val="0"/>
      <w:divBdr>
        <w:top w:val="none" w:sz="0" w:space="0" w:color="auto"/>
        <w:left w:val="none" w:sz="0" w:space="0" w:color="auto"/>
        <w:bottom w:val="none" w:sz="0" w:space="0" w:color="auto"/>
        <w:right w:val="none" w:sz="0" w:space="0" w:color="auto"/>
      </w:divBdr>
    </w:div>
    <w:div w:id="2037264678">
      <w:marLeft w:val="0"/>
      <w:marRight w:val="0"/>
      <w:marTop w:val="0"/>
      <w:marBottom w:val="240"/>
      <w:divBdr>
        <w:top w:val="none" w:sz="0" w:space="0" w:color="auto"/>
        <w:left w:val="none" w:sz="0" w:space="0" w:color="auto"/>
        <w:bottom w:val="none" w:sz="0" w:space="0" w:color="auto"/>
        <w:right w:val="none" w:sz="0" w:space="0" w:color="auto"/>
      </w:divBdr>
    </w:div>
    <w:div w:id="2037538474">
      <w:marLeft w:val="0"/>
      <w:marRight w:val="0"/>
      <w:marTop w:val="0"/>
      <w:marBottom w:val="60"/>
      <w:divBdr>
        <w:top w:val="none" w:sz="0" w:space="0" w:color="auto"/>
        <w:left w:val="none" w:sz="0" w:space="0" w:color="auto"/>
        <w:bottom w:val="none" w:sz="0" w:space="0" w:color="auto"/>
        <w:right w:val="none" w:sz="0" w:space="0" w:color="auto"/>
      </w:divBdr>
    </w:div>
    <w:div w:id="2037853067">
      <w:marLeft w:val="0"/>
      <w:marRight w:val="0"/>
      <w:marTop w:val="340"/>
      <w:marBottom w:val="0"/>
      <w:divBdr>
        <w:top w:val="none" w:sz="0" w:space="0" w:color="auto"/>
        <w:left w:val="none" w:sz="0" w:space="0" w:color="auto"/>
        <w:bottom w:val="none" w:sz="0" w:space="0" w:color="auto"/>
        <w:right w:val="none" w:sz="0" w:space="0" w:color="auto"/>
      </w:divBdr>
    </w:div>
    <w:div w:id="2040936133">
      <w:marLeft w:val="0"/>
      <w:marRight w:val="0"/>
      <w:marTop w:val="180"/>
      <w:marBottom w:val="180"/>
      <w:divBdr>
        <w:top w:val="none" w:sz="0" w:space="0" w:color="auto"/>
        <w:left w:val="none" w:sz="0" w:space="0" w:color="auto"/>
        <w:bottom w:val="none" w:sz="0" w:space="0" w:color="auto"/>
        <w:right w:val="none" w:sz="0" w:space="0" w:color="auto"/>
      </w:divBdr>
    </w:div>
    <w:div w:id="2041122127">
      <w:marLeft w:val="0"/>
      <w:marRight w:val="0"/>
      <w:marTop w:val="120"/>
      <w:marBottom w:val="120"/>
      <w:divBdr>
        <w:top w:val="none" w:sz="0" w:space="0" w:color="auto"/>
        <w:left w:val="none" w:sz="0" w:space="0" w:color="auto"/>
        <w:bottom w:val="none" w:sz="0" w:space="0" w:color="auto"/>
        <w:right w:val="none" w:sz="0" w:space="0" w:color="auto"/>
      </w:divBdr>
    </w:div>
    <w:div w:id="2041736338">
      <w:marLeft w:val="0"/>
      <w:marRight w:val="0"/>
      <w:marTop w:val="120"/>
      <w:marBottom w:val="120"/>
      <w:divBdr>
        <w:top w:val="none" w:sz="0" w:space="0" w:color="auto"/>
        <w:left w:val="none" w:sz="0" w:space="0" w:color="auto"/>
        <w:bottom w:val="none" w:sz="0" w:space="0" w:color="auto"/>
        <w:right w:val="none" w:sz="0" w:space="0" w:color="auto"/>
      </w:divBdr>
    </w:div>
    <w:div w:id="2041858726">
      <w:marLeft w:val="0"/>
      <w:marRight w:val="0"/>
      <w:marTop w:val="240"/>
      <w:marBottom w:val="0"/>
      <w:divBdr>
        <w:top w:val="none" w:sz="0" w:space="0" w:color="auto"/>
        <w:left w:val="none" w:sz="0" w:space="0" w:color="auto"/>
        <w:bottom w:val="none" w:sz="0" w:space="0" w:color="auto"/>
        <w:right w:val="none" w:sz="0" w:space="0" w:color="auto"/>
      </w:divBdr>
    </w:div>
    <w:div w:id="2042850737">
      <w:marLeft w:val="0"/>
      <w:marRight w:val="0"/>
      <w:marTop w:val="0"/>
      <w:marBottom w:val="0"/>
      <w:divBdr>
        <w:top w:val="none" w:sz="0" w:space="0" w:color="auto"/>
        <w:left w:val="none" w:sz="0" w:space="0" w:color="auto"/>
        <w:bottom w:val="none" w:sz="0" w:space="0" w:color="auto"/>
        <w:right w:val="none" w:sz="0" w:space="0" w:color="auto"/>
      </w:divBdr>
    </w:div>
    <w:div w:id="2044211158">
      <w:marLeft w:val="0"/>
      <w:marRight w:val="0"/>
      <w:marTop w:val="0"/>
      <w:marBottom w:val="0"/>
      <w:divBdr>
        <w:top w:val="none" w:sz="0" w:space="0" w:color="auto"/>
        <w:left w:val="none" w:sz="0" w:space="0" w:color="auto"/>
        <w:bottom w:val="none" w:sz="0" w:space="0" w:color="auto"/>
        <w:right w:val="none" w:sz="0" w:space="0" w:color="auto"/>
      </w:divBdr>
    </w:div>
    <w:div w:id="2044941219">
      <w:marLeft w:val="0"/>
      <w:marRight w:val="0"/>
      <w:marTop w:val="0"/>
      <w:marBottom w:val="0"/>
      <w:divBdr>
        <w:top w:val="none" w:sz="0" w:space="0" w:color="auto"/>
        <w:left w:val="none" w:sz="0" w:space="0" w:color="auto"/>
        <w:bottom w:val="none" w:sz="0" w:space="0" w:color="auto"/>
        <w:right w:val="none" w:sz="0" w:space="0" w:color="auto"/>
      </w:divBdr>
      <w:divsChild>
        <w:div w:id="396518066">
          <w:marLeft w:val="0"/>
          <w:marRight w:val="0"/>
          <w:marTop w:val="0"/>
          <w:marBottom w:val="0"/>
          <w:divBdr>
            <w:top w:val="none" w:sz="0" w:space="0" w:color="auto"/>
            <w:left w:val="none" w:sz="0" w:space="0" w:color="auto"/>
            <w:bottom w:val="none" w:sz="0" w:space="0" w:color="auto"/>
            <w:right w:val="none" w:sz="0" w:space="0" w:color="auto"/>
          </w:divBdr>
        </w:div>
      </w:divsChild>
    </w:div>
    <w:div w:id="2045518744">
      <w:marLeft w:val="0"/>
      <w:marRight w:val="0"/>
      <w:marTop w:val="0"/>
      <w:marBottom w:val="240"/>
      <w:divBdr>
        <w:top w:val="none" w:sz="0" w:space="0" w:color="auto"/>
        <w:left w:val="none" w:sz="0" w:space="0" w:color="auto"/>
        <w:bottom w:val="none" w:sz="0" w:space="0" w:color="auto"/>
        <w:right w:val="none" w:sz="0" w:space="0" w:color="auto"/>
      </w:divBdr>
    </w:div>
    <w:div w:id="2046829312">
      <w:marLeft w:val="0"/>
      <w:marRight w:val="0"/>
      <w:marTop w:val="0"/>
      <w:marBottom w:val="60"/>
      <w:divBdr>
        <w:top w:val="none" w:sz="0" w:space="0" w:color="auto"/>
        <w:left w:val="none" w:sz="0" w:space="0" w:color="auto"/>
        <w:bottom w:val="none" w:sz="0" w:space="0" w:color="auto"/>
        <w:right w:val="none" w:sz="0" w:space="0" w:color="auto"/>
      </w:divBdr>
    </w:div>
    <w:div w:id="2047365585">
      <w:marLeft w:val="0"/>
      <w:marRight w:val="0"/>
      <w:marTop w:val="0"/>
      <w:marBottom w:val="180"/>
      <w:divBdr>
        <w:top w:val="none" w:sz="0" w:space="0" w:color="auto"/>
        <w:left w:val="none" w:sz="0" w:space="0" w:color="auto"/>
        <w:bottom w:val="none" w:sz="0" w:space="0" w:color="auto"/>
        <w:right w:val="none" w:sz="0" w:space="0" w:color="auto"/>
      </w:divBdr>
    </w:div>
    <w:div w:id="2048144107">
      <w:marLeft w:val="0"/>
      <w:marRight w:val="0"/>
      <w:marTop w:val="0"/>
      <w:marBottom w:val="0"/>
      <w:divBdr>
        <w:top w:val="none" w:sz="0" w:space="0" w:color="auto"/>
        <w:left w:val="none" w:sz="0" w:space="0" w:color="auto"/>
        <w:bottom w:val="none" w:sz="0" w:space="0" w:color="auto"/>
        <w:right w:val="none" w:sz="0" w:space="0" w:color="auto"/>
      </w:divBdr>
    </w:div>
    <w:div w:id="2049328147">
      <w:marLeft w:val="0"/>
      <w:marRight w:val="0"/>
      <w:marTop w:val="0"/>
      <w:marBottom w:val="240"/>
      <w:divBdr>
        <w:top w:val="none" w:sz="0" w:space="0" w:color="auto"/>
        <w:left w:val="none" w:sz="0" w:space="0" w:color="auto"/>
        <w:bottom w:val="none" w:sz="0" w:space="0" w:color="auto"/>
        <w:right w:val="none" w:sz="0" w:space="0" w:color="auto"/>
      </w:divBdr>
    </w:div>
    <w:div w:id="2049714782">
      <w:marLeft w:val="0"/>
      <w:marRight w:val="0"/>
      <w:marTop w:val="180"/>
      <w:marBottom w:val="180"/>
      <w:divBdr>
        <w:top w:val="none" w:sz="0" w:space="0" w:color="auto"/>
        <w:left w:val="none" w:sz="0" w:space="0" w:color="auto"/>
        <w:bottom w:val="none" w:sz="0" w:space="0" w:color="auto"/>
        <w:right w:val="none" w:sz="0" w:space="0" w:color="auto"/>
      </w:divBdr>
    </w:div>
    <w:div w:id="2049838789">
      <w:marLeft w:val="0"/>
      <w:marRight w:val="0"/>
      <w:marTop w:val="180"/>
      <w:marBottom w:val="180"/>
      <w:divBdr>
        <w:top w:val="none" w:sz="0" w:space="0" w:color="auto"/>
        <w:left w:val="none" w:sz="0" w:space="0" w:color="auto"/>
        <w:bottom w:val="none" w:sz="0" w:space="0" w:color="auto"/>
        <w:right w:val="none" w:sz="0" w:space="0" w:color="auto"/>
      </w:divBdr>
    </w:div>
    <w:div w:id="2049840323">
      <w:marLeft w:val="0"/>
      <w:marRight w:val="0"/>
      <w:marTop w:val="0"/>
      <w:marBottom w:val="0"/>
      <w:divBdr>
        <w:top w:val="none" w:sz="0" w:space="0" w:color="auto"/>
        <w:left w:val="none" w:sz="0" w:space="0" w:color="auto"/>
        <w:bottom w:val="none" w:sz="0" w:space="0" w:color="auto"/>
        <w:right w:val="none" w:sz="0" w:space="0" w:color="auto"/>
      </w:divBdr>
      <w:divsChild>
        <w:div w:id="785974302">
          <w:marLeft w:val="0"/>
          <w:marRight w:val="0"/>
          <w:marTop w:val="0"/>
          <w:marBottom w:val="0"/>
          <w:divBdr>
            <w:top w:val="none" w:sz="0" w:space="0" w:color="auto"/>
            <w:left w:val="none" w:sz="0" w:space="0" w:color="auto"/>
            <w:bottom w:val="none" w:sz="0" w:space="0" w:color="auto"/>
            <w:right w:val="none" w:sz="0" w:space="0" w:color="auto"/>
          </w:divBdr>
        </w:div>
      </w:divsChild>
    </w:div>
    <w:div w:id="2050259428">
      <w:marLeft w:val="0"/>
      <w:marRight w:val="0"/>
      <w:marTop w:val="0"/>
      <w:marBottom w:val="240"/>
      <w:divBdr>
        <w:top w:val="none" w:sz="0" w:space="0" w:color="auto"/>
        <w:left w:val="none" w:sz="0" w:space="0" w:color="auto"/>
        <w:bottom w:val="none" w:sz="0" w:space="0" w:color="auto"/>
        <w:right w:val="none" w:sz="0" w:space="0" w:color="auto"/>
      </w:divBdr>
    </w:div>
    <w:div w:id="2051373155">
      <w:marLeft w:val="0"/>
      <w:marRight w:val="0"/>
      <w:marTop w:val="180"/>
      <w:marBottom w:val="180"/>
      <w:divBdr>
        <w:top w:val="none" w:sz="0" w:space="0" w:color="auto"/>
        <w:left w:val="none" w:sz="0" w:space="0" w:color="auto"/>
        <w:bottom w:val="none" w:sz="0" w:space="0" w:color="auto"/>
        <w:right w:val="none" w:sz="0" w:space="0" w:color="auto"/>
      </w:divBdr>
    </w:div>
    <w:div w:id="2051414823">
      <w:marLeft w:val="0"/>
      <w:marRight w:val="0"/>
      <w:marTop w:val="180"/>
      <w:marBottom w:val="180"/>
      <w:divBdr>
        <w:top w:val="none" w:sz="0" w:space="0" w:color="auto"/>
        <w:left w:val="none" w:sz="0" w:space="0" w:color="auto"/>
        <w:bottom w:val="none" w:sz="0" w:space="0" w:color="auto"/>
        <w:right w:val="none" w:sz="0" w:space="0" w:color="auto"/>
      </w:divBdr>
    </w:div>
    <w:div w:id="2051605724">
      <w:marLeft w:val="0"/>
      <w:marRight w:val="0"/>
      <w:marTop w:val="0"/>
      <w:marBottom w:val="240"/>
      <w:divBdr>
        <w:top w:val="none" w:sz="0" w:space="0" w:color="auto"/>
        <w:left w:val="none" w:sz="0" w:space="0" w:color="auto"/>
        <w:bottom w:val="none" w:sz="0" w:space="0" w:color="auto"/>
        <w:right w:val="none" w:sz="0" w:space="0" w:color="auto"/>
      </w:divBdr>
    </w:div>
    <w:div w:id="2053074755">
      <w:marLeft w:val="0"/>
      <w:marRight w:val="0"/>
      <w:marTop w:val="180"/>
      <w:marBottom w:val="180"/>
      <w:divBdr>
        <w:top w:val="none" w:sz="0" w:space="0" w:color="auto"/>
        <w:left w:val="none" w:sz="0" w:space="0" w:color="auto"/>
        <w:bottom w:val="none" w:sz="0" w:space="0" w:color="auto"/>
        <w:right w:val="none" w:sz="0" w:space="0" w:color="auto"/>
      </w:divBdr>
    </w:div>
    <w:div w:id="2054960411">
      <w:marLeft w:val="0"/>
      <w:marRight w:val="0"/>
      <w:marTop w:val="0"/>
      <w:marBottom w:val="240"/>
      <w:divBdr>
        <w:top w:val="none" w:sz="0" w:space="0" w:color="auto"/>
        <w:left w:val="none" w:sz="0" w:space="0" w:color="auto"/>
        <w:bottom w:val="none" w:sz="0" w:space="0" w:color="auto"/>
        <w:right w:val="none" w:sz="0" w:space="0" w:color="auto"/>
      </w:divBdr>
    </w:div>
    <w:div w:id="2056394676">
      <w:marLeft w:val="0"/>
      <w:marRight w:val="0"/>
      <w:marTop w:val="0"/>
      <w:marBottom w:val="240"/>
      <w:divBdr>
        <w:top w:val="none" w:sz="0" w:space="0" w:color="auto"/>
        <w:left w:val="none" w:sz="0" w:space="0" w:color="auto"/>
        <w:bottom w:val="none" w:sz="0" w:space="0" w:color="auto"/>
        <w:right w:val="none" w:sz="0" w:space="0" w:color="auto"/>
      </w:divBdr>
    </w:div>
    <w:div w:id="2056927717">
      <w:marLeft w:val="0"/>
      <w:marRight w:val="0"/>
      <w:marTop w:val="0"/>
      <w:marBottom w:val="180"/>
      <w:divBdr>
        <w:top w:val="none" w:sz="0" w:space="0" w:color="auto"/>
        <w:left w:val="none" w:sz="0" w:space="0" w:color="auto"/>
        <w:bottom w:val="none" w:sz="0" w:space="0" w:color="auto"/>
        <w:right w:val="none" w:sz="0" w:space="0" w:color="auto"/>
      </w:divBdr>
    </w:div>
    <w:div w:id="2057587021">
      <w:marLeft w:val="0"/>
      <w:marRight w:val="0"/>
      <w:marTop w:val="0"/>
      <w:marBottom w:val="180"/>
      <w:divBdr>
        <w:top w:val="none" w:sz="0" w:space="0" w:color="auto"/>
        <w:left w:val="none" w:sz="0" w:space="0" w:color="auto"/>
        <w:bottom w:val="none" w:sz="0" w:space="0" w:color="auto"/>
        <w:right w:val="none" w:sz="0" w:space="0" w:color="auto"/>
      </w:divBdr>
    </w:div>
    <w:div w:id="2058238209">
      <w:marLeft w:val="0"/>
      <w:marRight w:val="0"/>
      <w:marTop w:val="0"/>
      <w:marBottom w:val="180"/>
      <w:divBdr>
        <w:top w:val="none" w:sz="0" w:space="0" w:color="auto"/>
        <w:left w:val="none" w:sz="0" w:space="0" w:color="auto"/>
        <w:bottom w:val="none" w:sz="0" w:space="0" w:color="auto"/>
        <w:right w:val="none" w:sz="0" w:space="0" w:color="auto"/>
      </w:divBdr>
    </w:div>
    <w:div w:id="2059014480">
      <w:marLeft w:val="0"/>
      <w:marRight w:val="0"/>
      <w:marTop w:val="0"/>
      <w:marBottom w:val="240"/>
      <w:divBdr>
        <w:top w:val="none" w:sz="0" w:space="0" w:color="auto"/>
        <w:left w:val="none" w:sz="0" w:space="0" w:color="auto"/>
        <w:bottom w:val="none" w:sz="0" w:space="0" w:color="auto"/>
        <w:right w:val="none" w:sz="0" w:space="0" w:color="auto"/>
      </w:divBdr>
    </w:div>
    <w:div w:id="2059090360">
      <w:marLeft w:val="0"/>
      <w:marRight w:val="0"/>
      <w:marTop w:val="0"/>
      <w:marBottom w:val="180"/>
      <w:divBdr>
        <w:top w:val="none" w:sz="0" w:space="0" w:color="auto"/>
        <w:left w:val="none" w:sz="0" w:space="0" w:color="auto"/>
        <w:bottom w:val="none" w:sz="0" w:space="0" w:color="auto"/>
        <w:right w:val="none" w:sz="0" w:space="0" w:color="auto"/>
      </w:divBdr>
    </w:div>
    <w:div w:id="2059820210">
      <w:marLeft w:val="0"/>
      <w:marRight w:val="0"/>
      <w:marTop w:val="120"/>
      <w:marBottom w:val="120"/>
      <w:divBdr>
        <w:top w:val="none" w:sz="0" w:space="0" w:color="auto"/>
        <w:left w:val="none" w:sz="0" w:space="0" w:color="auto"/>
        <w:bottom w:val="none" w:sz="0" w:space="0" w:color="auto"/>
        <w:right w:val="none" w:sz="0" w:space="0" w:color="auto"/>
      </w:divBdr>
    </w:div>
    <w:div w:id="2060205696">
      <w:marLeft w:val="0"/>
      <w:marRight w:val="0"/>
      <w:marTop w:val="0"/>
      <w:marBottom w:val="240"/>
      <w:divBdr>
        <w:top w:val="none" w:sz="0" w:space="0" w:color="auto"/>
        <w:left w:val="none" w:sz="0" w:space="0" w:color="auto"/>
        <w:bottom w:val="none" w:sz="0" w:space="0" w:color="auto"/>
        <w:right w:val="none" w:sz="0" w:space="0" w:color="auto"/>
      </w:divBdr>
    </w:div>
    <w:div w:id="2061321296">
      <w:marLeft w:val="0"/>
      <w:marRight w:val="0"/>
      <w:marTop w:val="120"/>
      <w:marBottom w:val="120"/>
      <w:divBdr>
        <w:top w:val="none" w:sz="0" w:space="0" w:color="auto"/>
        <w:left w:val="none" w:sz="0" w:space="0" w:color="auto"/>
        <w:bottom w:val="none" w:sz="0" w:space="0" w:color="auto"/>
        <w:right w:val="none" w:sz="0" w:space="0" w:color="auto"/>
      </w:divBdr>
    </w:div>
    <w:div w:id="2062167935">
      <w:marLeft w:val="0"/>
      <w:marRight w:val="0"/>
      <w:marTop w:val="0"/>
      <w:marBottom w:val="0"/>
      <w:divBdr>
        <w:top w:val="none" w:sz="0" w:space="0" w:color="auto"/>
        <w:left w:val="none" w:sz="0" w:space="0" w:color="auto"/>
        <w:bottom w:val="none" w:sz="0" w:space="0" w:color="auto"/>
        <w:right w:val="none" w:sz="0" w:space="0" w:color="auto"/>
      </w:divBdr>
    </w:div>
    <w:div w:id="2062240301">
      <w:marLeft w:val="0"/>
      <w:marRight w:val="0"/>
      <w:marTop w:val="0"/>
      <w:marBottom w:val="240"/>
      <w:divBdr>
        <w:top w:val="none" w:sz="0" w:space="0" w:color="auto"/>
        <w:left w:val="none" w:sz="0" w:space="0" w:color="auto"/>
        <w:bottom w:val="none" w:sz="0" w:space="0" w:color="auto"/>
        <w:right w:val="none" w:sz="0" w:space="0" w:color="auto"/>
      </w:divBdr>
    </w:div>
    <w:div w:id="2062362794">
      <w:marLeft w:val="0"/>
      <w:marRight w:val="0"/>
      <w:marTop w:val="0"/>
      <w:marBottom w:val="0"/>
      <w:divBdr>
        <w:top w:val="none" w:sz="0" w:space="0" w:color="auto"/>
        <w:left w:val="none" w:sz="0" w:space="0" w:color="auto"/>
        <w:bottom w:val="none" w:sz="0" w:space="0" w:color="auto"/>
        <w:right w:val="none" w:sz="0" w:space="0" w:color="auto"/>
      </w:divBdr>
      <w:divsChild>
        <w:div w:id="118499564">
          <w:marLeft w:val="0"/>
          <w:marRight w:val="0"/>
          <w:marTop w:val="0"/>
          <w:marBottom w:val="0"/>
          <w:divBdr>
            <w:top w:val="none" w:sz="0" w:space="0" w:color="auto"/>
            <w:left w:val="none" w:sz="0" w:space="0" w:color="auto"/>
            <w:bottom w:val="none" w:sz="0" w:space="0" w:color="auto"/>
            <w:right w:val="none" w:sz="0" w:space="0" w:color="auto"/>
          </w:divBdr>
        </w:div>
      </w:divsChild>
    </w:div>
    <w:div w:id="2062442807">
      <w:marLeft w:val="0"/>
      <w:marRight w:val="0"/>
      <w:marTop w:val="120"/>
      <w:marBottom w:val="120"/>
      <w:divBdr>
        <w:top w:val="none" w:sz="0" w:space="0" w:color="auto"/>
        <w:left w:val="none" w:sz="0" w:space="0" w:color="auto"/>
        <w:bottom w:val="none" w:sz="0" w:space="0" w:color="auto"/>
        <w:right w:val="none" w:sz="0" w:space="0" w:color="auto"/>
      </w:divBdr>
    </w:div>
    <w:div w:id="2062513430">
      <w:marLeft w:val="0"/>
      <w:marRight w:val="0"/>
      <w:marTop w:val="0"/>
      <w:marBottom w:val="0"/>
      <w:divBdr>
        <w:top w:val="none" w:sz="0" w:space="0" w:color="auto"/>
        <w:left w:val="none" w:sz="0" w:space="0" w:color="auto"/>
        <w:bottom w:val="none" w:sz="0" w:space="0" w:color="auto"/>
        <w:right w:val="none" w:sz="0" w:space="0" w:color="auto"/>
      </w:divBdr>
      <w:divsChild>
        <w:div w:id="1491556441">
          <w:marLeft w:val="0"/>
          <w:marRight w:val="0"/>
          <w:marTop w:val="0"/>
          <w:marBottom w:val="0"/>
          <w:divBdr>
            <w:top w:val="none" w:sz="0" w:space="0" w:color="auto"/>
            <w:left w:val="none" w:sz="0" w:space="0" w:color="auto"/>
            <w:bottom w:val="none" w:sz="0" w:space="0" w:color="auto"/>
            <w:right w:val="none" w:sz="0" w:space="0" w:color="auto"/>
          </w:divBdr>
        </w:div>
      </w:divsChild>
    </w:div>
    <w:div w:id="2062627486">
      <w:marLeft w:val="0"/>
      <w:marRight w:val="0"/>
      <w:marTop w:val="0"/>
      <w:marBottom w:val="240"/>
      <w:divBdr>
        <w:top w:val="none" w:sz="0" w:space="0" w:color="auto"/>
        <w:left w:val="none" w:sz="0" w:space="0" w:color="auto"/>
        <w:bottom w:val="none" w:sz="0" w:space="0" w:color="auto"/>
        <w:right w:val="none" w:sz="0" w:space="0" w:color="auto"/>
      </w:divBdr>
    </w:div>
    <w:div w:id="2063285838">
      <w:marLeft w:val="0"/>
      <w:marRight w:val="0"/>
      <w:marTop w:val="0"/>
      <w:marBottom w:val="180"/>
      <w:divBdr>
        <w:top w:val="none" w:sz="0" w:space="0" w:color="auto"/>
        <w:left w:val="none" w:sz="0" w:space="0" w:color="auto"/>
        <w:bottom w:val="none" w:sz="0" w:space="0" w:color="auto"/>
        <w:right w:val="none" w:sz="0" w:space="0" w:color="auto"/>
      </w:divBdr>
    </w:div>
    <w:div w:id="2063673824">
      <w:marLeft w:val="0"/>
      <w:marRight w:val="0"/>
      <w:marTop w:val="0"/>
      <w:marBottom w:val="240"/>
      <w:divBdr>
        <w:top w:val="none" w:sz="0" w:space="0" w:color="auto"/>
        <w:left w:val="none" w:sz="0" w:space="0" w:color="auto"/>
        <w:bottom w:val="none" w:sz="0" w:space="0" w:color="auto"/>
        <w:right w:val="none" w:sz="0" w:space="0" w:color="auto"/>
      </w:divBdr>
    </w:div>
    <w:div w:id="2063946765">
      <w:marLeft w:val="0"/>
      <w:marRight w:val="0"/>
      <w:marTop w:val="0"/>
      <w:marBottom w:val="0"/>
      <w:divBdr>
        <w:top w:val="none" w:sz="0" w:space="0" w:color="auto"/>
        <w:left w:val="none" w:sz="0" w:space="0" w:color="auto"/>
        <w:bottom w:val="none" w:sz="0" w:space="0" w:color="auto"/>
        <w:right w:val="none" w:sz="0" w:space="0" w:color="auto"/>
      </w:divBdr>
    </w:div>
    <w:div w:id="2065251792">
      <w:marLeft w:val="0"/>
      <w:marRight w:val="0"/>
      <w:marTop w:val="0"/>
      <w:marBottom w:val="0"/>
      <w:divBdr>
        <w:top w:val="none" w:sz="0" w:space="0" w:color="auto"/>
        <w:left w:val="none" w:sz="0" w:space="0" w:color="auto"/>
        <w:bottom w:val="none" w:sz="0" w:space="0" w:color="auto"/>
        <w:right w:val="none" w:sz="0" w:space="0" w:color="auto"/>
      </w:divBdr>
      <w:divsChild>
        <w:div w:id="284968137">
          <w:marLeft w:val="0"/>
          <w:marRight w:val="0"/>
          <w:marTop w:val="0"/>
          <w:marBottom w:val="0"/>
          <w:divBdr>
            <w:top w:val="none" w:sz="0" w:space="0" w:color="auto"/>
            <w:left w:val="none" w:sz="0" w:space="0" w:color="auto"/>
            <w:bottom w:val="none" w:sz="0" w:space="0" w:color="auto"/>
            <w:right w:val="none" w:sz="0" w:space="0" w:color="auto"/>
          </w:divBdr>
        </w:div>
      </w:divsChild>
    </w:div>
    <w:div w:id="2065565092">
      <w:marLeft w:val="0"/>
      <w:marRight w:val="0"/>
      <w:marTop w:val="0"/>
      <w:marBottom w:val="240"/>
      <w:divBdr>
        <w:top w:val="none" w:sz="0" w:space="0" w:color="auto"/>
        <w:left w:val="none" w:sz="0" w:space="0" w:color="auto"/>
        <w:bottom w:val="none" w:sz="0" w:space="0" w:color="auto"/>
        <w:right w:val="none" w:sz="0" w:space="0" w:color="auto"/>
      </w:divBdr>
    </w:div>
    <w:div w:id="2066100792">
      <w:marLeft w:val="0"/>
      <w:marRight w:val="0"/>
      <w:marTop w:val="0"/>
      <w:marBottom w:val="180"/>
      <w:divBdr>
        <w:top w:val="none" w:sz="0" w:space="0" w:color="auto"/>
        <w:left w:val="none" w:sz="0" w:space="0" w:color="auto"/>
        <w:bottom w:val="none" w:sz="0" w:space="0" w:color="auto"/>
        <w:right w:val="none" w:sz="0" w:space="0" w:color="auto"/>
      </w:divBdr>
    </w:div>
    <w:div w:id="2066946783">
      <w:marLeft w:val="0"/>
      <w:marRight w:val="0"/>
      <w:marTop w:val="0"/>
      <w:marBottom w:val="180"/>
      <w:divBdr>
        <w:top w:val="none" w:sz="0" w:space="0" w:color="auto"/>
        <w:left w:val="none" w:sz="0" w:space="0" w:color="auto"/>
        <w:bottom w:val="none" w:sz="0" w:space="0" w:color="auto"/>
        <w:right w:val="none" w:sz="0" w:space="0" w:color="auto"/>
      </w:divBdr>
    </w:div>
    <w:div w:id="2067877533">
      <w:marLeft w:val="0"/>
      <w:marRight w:val="0"/>
      <w:marTop w:val="120"/>
      <w:marBottom w:val="120"/>
      <w:divBdr>
        <w:top w:val="none" w:sz="0" w:space="0" w:color="auto"/>
        <w:left w:val="none" w:sz="0" w:space="0" w:color="auto"/>
        <w:bottom w:val="none" w:sz="0" w:space="0" w:color="auto"/>
        <w:right w:val="none" w:sz="0" w:space="0" w:color="auto"/>
      </w:divBdr>
    </w:div>
    <w:div w:id="2068413871">
      <w:marLeft w:val="0"/>
      <w:marRight w:val="0"/>
      <w:marTop w:val="0"/>
      <w:marBottom w:val="0"/>
      <w:divBdr>
        <w:top w:val="none" w:sz="0" w:space="0" w:color="auto"/>
        <w:left w:val="none" w:sz="0" w:space="0" w:color="auto"/>
        <w:bottom w:val="none" w:sz="0" w:space="0" w:color="auto"/>
        <w:right w:val="none" w:sz="0" w:space="0" w:color="auto"/>
      </w:divBdr>
      <w:divsChild>
        <w:div w:id="537743299">
          <w:marLeft w:val="0"/>
          <w:marRight w:val="0"/>
          <w:marTop w:val="0"/>
          <w:marBottom w:val="0"/>
          <w:divBdr>
            <w:top w:val="none" w:sz="0" w:space="0" w:color="auto"/>
            <w:left w:val="none" w:sz="0" w:space="0" w:color="auto"/>
            <w:bottom w:val="none" w:sz="0" w:space="0" w:color="auto"/>
            <w:right w:val="none" w:sz="0" w:space="0" w:color="auto"/>
          </w:divBdr>
        </w:div>
      </w:divsChild>
    </w:div>
    <w:div w:id="2070376985">
      <w:marLeft w:val="0"/>
      <w:marRight w:val="0"/>
      <w:marTop w:val="0"/>
      <w:marBottom w:val="0"/>
      <w:divBdr>
        <w:top w:val="none" w:sz="0" w:space="0" w:color="auto"/>
        <w:left w:val="none" w:sz="0" w:space="0" w:color="auto"/>
        <w:bottom w:val="none" w:sz="0" w:space="0" w:color="auto"/>
        <w:right w:val="none" w:sz="0" w:space="0" w:color="auto"/>
      </w:divBdr>
    </w:div>
    <w:div w:id="2070884659">
      <w:marLeft w:val="0"/>
      <w:marRight w:val="0"/>
      <w:marTop w:val="0"/>
      <w:marBottom w:val="240"/>
      <w:divBdr>
        <w:top w:val="none" w:sz="0" w:space="0" w:color="auto"/>
        <w:left w:val="none" w:sz="0" w:space="0" w:color="auto"/>
        <w:bottom w:val="none" w:sz="0" w:space="0" w:color="auto"/>
        <w:right w:val="none" w:sz="0" w:space="0" w:color="auto"/>
      </w:divBdr>
    </w:div>
    <w:div w:id="2071415320">
      <w:marLeft w:val="0"/>
      <w:marRight w:val="0"/>
      <w:marTop w:val="180"/>
      <w:marBottom w:val="180"/>
      <w:divBdr>
        <w:top w:val="none" w:sz="0" w:space="0" w:color="auto"/>
        <w:left w:val="none" w:sz="0" w:space="0" w:color="auto"/>
        <w:bottom w:val="none" w:sz="0" w:space="0" w:color="auto"/>
        <w:right w:val="none" w:sz="0" w:space="0" w:color="auto"/>
      </w:divBdr>
    </w:div>
    <w:div w:id="2071532091">
      <w:marLeft w:val="0"/>
      <w:marRight w:val="0"/>
      <w:marTop w:val="120"/>
      <w:marBottom w:val="120"/>
      <w:divBdr>
        <w:top w:val="none" w:sz="0" w:space="0" w:color="auto"/>
        <w:left w:val="none" w:sz="0" w:space="0" w:color="auto"/>
        <w:bottom w:val="none" w:sz="0" w:space="0" w:color="auto"/>
        <w:right w:val="none" w:sz="0" w:space="0" w:color="auto"/>
      </w:divBdr>
    </w:div>
    <w:div w:id="2072725737">
      <w:marLeft w:val="0"/>
      <w:marRight w:val="0"/>
      <w:marTop w:val="0"/>
      <w:marBottom w:val="0"/>
      <w:divBdr>
        <w:top w:val="none" w:sz="0" w:space="0" w:color="auto"/>
        <w:left w:val="none" w:sz="0" w:space="0" w:color="auto"/>
        <w:bottom w:val="none" w:sz="0" w:space="0" w:color="auto"/>
        <w:right w:val="none" w:sz="0" w:space="0" w:color="auto"/>
      </w:divBdr>
    </w:div>
    <w:div w:id="2072847942">
      <w:marLeft w:val="0"/>
      <w:marRight w:val="0"/>
      <w:marTop w:val="180"/>
      <w:marBottom w:val="180"/>
      <w:divBdr>
        <w:top w:val="none" w:sz="0" w:space="0" w:color="auto"/>
        <w:left w:val="none" w:sz="0" w:space="0" w:color="auto"/>
        <w:bottom w:val="none" w:sz="0" w:space="0" w:color="auto"/>
        <w:right w:val="none" w:sz="0" w:space="0" w:color="auto"/>
      </w:divBdr>
    </w:div>
    <w:div w:id="2074695318">
      <w:marLeft w:val="0"/>
      <w:marRight w:val="0"/>
      <w:marTop w:val="0"/>
      <w:marBottom w:val="180"/>
      <w:divBdr>
        <w:top w:val="none" w:sz="0" w:space="0" w:color="auto"/>
        <w:left w:val="none" w:sz="0" w:space="0" w:color="auto"/>
        <w:bottom w:val="none" w:sz="0" w:space="0" w:color="auto"/>
        <w:right w:val="none" w:sz="0" w:space="0" w:color="auto"/>
      </w:divBdr>
    </w:div>
    <w:div w:id="2075616845">
      <w:marLeft w:val="0"/>
      <w:marRight w:val="0"/>
      <w:marTop w:val="0"/>
      <w:marBottom w:val="240"/>
      <w:divBdr>
        <w:top w:val="none" w:sz="0" w:space="0" w:color="auto"/>
        <w:left w:val="none" w:sz="0" w:space="0" w:color="auto"/>
        <w:bottom w:val="none" w:sz="0" w:space="0" w:color="auto"/>
        <w:right w:val="none" w:sz="0" w:space="0" w:color="auto"/>
      </w:divBdr>
    </w:div>
    <w:div w:id="2075734601">
      <w:marLeft w:val="0"/>
      <w:marRight w:val="0"/>
      <w:marTop w:val="0"/>
      <w:marBottom w:val="0"/>
      <w:divBdr>
        <w:top w:val="none" w:sz="0" w:space="0" w:color="auto"/>
        <w:left w:val="none" w:sz="0" w:space="0" w:color="auto"/>
        <w:bottom w:val="none" w:sz="0" w:space="0" w:color="auto"/>
        <w:right w:val="none" w:sz="0" w:space="0" w:color="auto"/>
      </w:divBdr>
      <w:divsChild>
        <w:div w:id="684207714">
          <w:marLeft w:val="0"/>
          <w:marRight w:val="0"/>
          <w:marTop w:val="0"/>
          <w:marBottom w:val="0"/>
          <w:divBdr>
            <w:top w:val="none" w:sz="0" w:space="0" w:color="auto"/>
            <w:left w:val="none" w:sz="0" w:space="0" w:color="auto"/>
            <w:bottom w:val="none" w:sz="0" w:space="0" w:color="auto"/>
            <w:right w:val="none" w:sz="0" w:space="0" w:color="auto"/>
          </w:divBdr>
        </w:div>
      </w:divsChild>
    </w:div>
    <w:div w:id="2076470296">
      <w:marLeft w:val="0"/>
      <w:marRight w:val="0"/>
      <w:marTop w:val="0"/>
      <w:marBottom w:val="240"/>
      <w:divBdr>
        <w:top w:val="none" w:sz="0" w:space="0" w:color="auto"/>
        <w:left w:val="none" w:sz="0" w:space="0" w:color="auto"/>
        <w:bottom w:val="none" w:sz="0" w:space="0" w:color="auto"/>
        <w:right w:val="none" w:sz="0" w:space="0" w:color="auto"/>
      </w:divBdr>
    </w:div>
    <w:div w:id="2077042653">
      <w:marLeft w:val="0"/>
      <w:marRight w:val="0"/>
      <w:marTop w:val="0"/>
      <w:marBottom w:val="180"/>
      <w:divBdr>
        <w:top w:val="none" w:sz="0" w:space="0" w:color="auto"/>
        <w:left w:val="none" w:sz="0" w:space="0" w:color="auto"/>
        <w:bottom w:val="none" w:sz="0" w:space="0" w:color="auto"/>
        <w:right w:val="none" w:sz="0" w:space="0" w:color="auto"/>
      </w:divBdr>
    </w:div>
    <w:div w:id="2077581622">
      <w:marLeft w:val="0"/>
      <w:marRight w:val="0"/>
      <w:marTop w:val="0"/>
      <w:marBottom w:val="0"/>
      <w:divBdr>
        <w:top w:val="none" w:sz="0" w:space="0" w:color="auto"/>
        <w:left w:val="none" w:sz="0" w:space="0" w:color="auto"/>
        <w:bottom w:val="none" w:sz="0" w:space="0" w:color="auto"/>
        <w:right w:val="none" w:sz="0" w:space="0" w:color="auto"/>
      </w:divBdr>
    </w:div>
    <w:div w:id="2077704592">
      <w:marLeft w:val="0"/>
      <w:marRight w:val="0"/>
      <w:marTop w:val="0"/>
      <w:marBottom w:val="240"/>
      <w:divBdr>
        <w:top w:val="none" w:sz="0" w:space="0" w:color="auto"/>
        <w:left w:val="none" w:sz="0" w:space="0" w:color="auto"/>
        <w:bottom w:val="none" w:sz="0" w:space="0" w:color="auto"/>
        <w:right w:val="none" w:sz="0" w:space="0" w:color="auto"/>
      </w:divBdr>
    </w:div>
    <w:div w:id="2079206436">
      <w:marLeft w:val="0"/>
      <w:marRight w:val="0"/>
      <w:marTop w:val="0"/>
      <w:marBottom w:val="240"/>
      <w:divBdr>
        <w:top w:val="none" w:sz="0" w:space="0" w:color="auto"/>
        <w:left w:val="none" w:sz="0" w:space="0" w:color="auto"/>
        <w:bottom w:val="none" w:sz="0" w:space="0" w:color="auto"/>
        <w:right w:val="none" w:sz="0" w:space="0" w:color="auto"/>
      </w:divBdr>
    </w:div>
    <w:div w:id="2079470829">
      <w:marLeft w:val="0"/>
      <w:marRight w:val="0"/>
      <w:marTop w:val="0"/>
      <w:marBottom w:val="60"/>
      <w:divBdr>
        <w:top w:val="none" w:sz="0" w:space="0" w:color="auto"/>
        <w:left w:val="none" w:sz="0" w:space="0" w:color="auto"/>
        <w:bottom w:val="none" w:sz="0" w:space="0" w:color="auto"/>
        <w:right w:val="none" w:sz="0" w:space="0" w:color="auto"/>
      </w:divBdr>
    </w:div>
    <w:div w:id="2080521750">
      <w:marLeft w:val="0"/>
      <w:marRight w:val="0"/>
      <w:marTop w:val="0"/>
      <w:marBottom w:val="180"/>
      <w:divBdr>
        <w:top w:val="none" w:sz="0" w:space="0" w:color="auto"/>
        <w:left w:val="none" w:sz="0" w:space="0" w:color="auto"/>
        <w:bottom w:val="none" w:sz="0" w:space="0" w:color="auto"/>
        <w:right w:val="none" w:sz="0" w:space="0" w:color="auto"/>
      </w:divBdr>
    </w:div>
    <w:div w:id="2083260335">
      <w:marLeft w:val="0"/>
      <w:marRight w:val="0"/>
      <w:marTop w:val="100"/>
      <w:marBottom w:val="100"/>
      <w:divBdr>
        <w:top w:val="none" w:sz="0" w:space="0" w:color="auto"/>
        <w:left w:val="none" w:sz="0" w:space="0" w:color="auto"/>
        <w:bottom w:val="none" w:sz="0" w:space="0" w:color="auto"/>
        <w:right w:val="none" w:sz="0" w:space="0" w:color="auto"/>
      </w:divBdr>
    </w:div>
    <w:div w:id="2083526133">
      <w:marLeft w:val="0"/>
      <w:marRight w:val="0"/>
      <w:marTop w:val="0"/>
      <w:marBottom w:val="180"/>
      <w:divBdr>
        <w:top w:val="none" w:sz="0" w:space="0" w:color="auto"/>
        <w:left w:val="none" w:sz="0" w:space="0" w:color="auto"/>
        <w:bottom w:val="none" w:sz="0" w:space="0" w:color="auto"/>
        <w:right w:val="none" w:sz="0" w:space="0" w:color="auto"/>
      </w:divBdr>
    </w:div>
    <w:div w:id="2083599761">
      <w:marLeft w:val="0"/>
      <w:marRight w:val="0"/>
      <w:marTop w:val="0"/>
      <w:marBottom w:val="240"/>
      <w:divBdr>
        <w:top w:val="none" w:sz="0" w:space="0" w:color="auto"/>
        <w:left w:val="none" w:sz="0" w:space="0" w:color="auto"/>
        <w:bottom w:val="none" w:sz="0" w:space="0" w:color="auto"/>
        <w:right w:val="none" w:sz="0" w:space="0" w:color="auto"/>
      </w:divBdr>
    </w:div>
    <w:div w:id="2085567288">
      <w:marLeft w:val="0"/>
      <w:marRight w:val="0"/>
      <w:marTop w:val="0"/>
      <w:marBottom w:val="180"/>
      <w:divBdr>
        <w:top w:val="none" w:sz="0" w:space="0" w:color="auto"/>
        <w:left w:val="none" w:sz="0" w:space="0" w:color="auto"/>
        <w:bottom w:val="none" w:sz="0" w:space="0" w:color="auto"/>
        <w:right w:val="none" w:sz="0" w:space="0" w:color="auto"/>
      </w:divBdr>
    </w:div>
    <w:div w:id="2086099929">
      <w:marLeft w:val="0"/>
      <w:marRight w:val="0"/>
      <w:marTop w:val="0"/>
      <w:marBottom w:val="240"/>
      <w:divBdr>
        <w:top w:val="none" w:sz="0" w:space="0" w:color="auto"/>
        <w:left w:val="none" w:sz="0" w:space="0" w:color="auto"/>
        <w:bottom w:val="none" w:sz="0" w:space="0" w:color="auto"/>
        <w:right w:val="none" w:sz="0" w:space="0" w:color="auto"/>
      </w:divBdr>
    </w:div>
    <w:div w:id="2086760981">
      <w:marLeft w:val="0"/>
      <w:marRight w:val="0"/>
      <w:marTop w:val="0"/>
      <w:marBottom w:val="240"/>
      <w:divBdr>
        <w:top w:val="none" w:sz="0" w:space="0" w:color="auto"/>
        <w:left w:val="none" w:sz="0" w:space="0" w:color="auto"/>
        <w:bottom w:val="none" w:sz="0" w:space="0" w:color="auto"/>
        <w:right w:val="none" w:sz="0" w:space="0" w:color="auto"/>
      </w:divBdr>
    </w:div>
    <w:div w:id="2088453170">
      <w:marLeft w:val="0"/>
      <w:marRight w:val="0"/>
      <w:marTop w:val="0"/>
      <w:marBottom w:val="0"/>
      <w:divBdr>
        <w:top w:val="none" w:sz="0" w:space="0" w:color="auto"/>
        <w:left w:val="none" w:sz="0" w:space="0" w:color="auto"/>
        <w:bottom w:val="none" w:sz="0" w:space="0" w:color="auto"/>
        <w:right w:val="none" w:sz="0" w:space="0" w:color="auto"/>
      </w:divBdr>
    </w:div>
    <w:div w:id="2088577773">
      <w:marLeft w:val="0"/>
      <w:marRight w:val="0"/>
      <w:marTop w:val="0"/>
      <w:marBottom w:val="0"/>
      <w:divBdr>
        <w:top w:val="none" w:sz="0" w:space="0" w:color="auto"/>
        <w:left w:val="none" w:sz="0" w:space="0" w:color="auto"/>
        <w:bottom w:val="none" w:sz="0" w:space="0" w:color="auto"/>
        <w:right w:val="none" w:sz="0" w:space="0" w:color="auto"/>
      </w:divBdr>
      <w:divsChild>
        <w:div w:id="1411193514">
          <w:marLeft w:val="0"/>
          <w:marRight w:val="0"/>
          <w:marTop w:val="0"/>
          <w:marBottom w:val="0"/>
          <w:divBdr>
            <w:top w:val="none" w:sz="0" w:space="0" w:color="auto"/>
            <w:left w:val="none" w:sz="0" w:space="0" w:color="auto"/>
            <w:bottom w:val="none" w:sz="0" w:space="0" w:color="auto"/>
            <w:right w:val="none" w:sz="0" w:space="0" w:color="auto"/>
          </w:divBdr>
        </w:div>
      </w:divsChild>
    </w:div>
    <w:div w:id="2089224096">
      <w:marLeft w:val="0"/>
      <w:marRight w:val="0"/>
      <w:marTop w:val="0"/>
      <w:marBottom w:val="0"/>
      <w:divBdr>
        <w:top w:val="none" w:sz="0" w:space="0" w:color="auto"/>
        <w:left w:val="none" w:sz="0" w:space="0" w:color="auto"/>
        <w:bottom w:val="none" w:sz="0" w:space="0" w:color="auto"/>
        <w:right w:val="none" w:sz="0" w:space="0" w:color="auto"/>
      </w:divBdr>
    </w:div>
    <w:div w:id="2090033726">
      <w:marLeft w:val="0"/>
      <w:marRight w:val="0"/>
      <w:marTop w:val="0"/>
      <w:marBottom w:val="240"/>
      <w:divBdr>
        <w:top w:val="none" w:sz="0" w:space="0" w:color="auto"/>
        <w:left w:val="none" w:sz="0" w:space="0" w:color="auto"/>
        <w:bottom w:val="none" w:sz="0" w:space="0" w:color="auto"/>
        <w:right w:val="none" w:sz="0" w:space="0" w:color="auto"/>
      </w:divBdr>
    </w:div>
    <w:div w:id="2090153761">
      <w:marLeft w:val="0"/>
      <w:marRight w:val="0"/>
      <w:marTop w:val="120"/>
      <w:marBottom w:val="120"/>
      <w:divBdr>
        <w:top w:val="none" w:sz="0" w:space="0" w:color="auto"/>
        <w:left w:val="none" w:sz="0" w:space="0" w:color="auto"/>
        <w:bottom w:val="none" w:sz="0" w:space="0" w:color="auto"/>
        <w:right w:val="none" w:sz="0" w:space="0" w:color="auto"/>
      </w:divBdr>
    </w:div>
    <w:div w:id="2090156178">
      <w:marLeft w:val="0"/>
      <w:marRight w:val="0"/>
      <w:marTop w:val="180"/>
      <w:marBottom w:val="180"/>
      <w:divBdr>
        <w:top w:val="none" w:sz="0" w:space="0" w:color="auto"/>
        <w:left w:val="none" w:sz="0" w:space="0" w:color="auto"/>
        <w:bottom w:val="none" w:sz="0" w:space="0" w:color="auto"/>
        <w:right w:val="none" w:sz="0" w:space="0" w:color="auto"/>
      </w:divBdr>
    </w:div>
    <w:div w:id="2091385664">
      <w:marLeft w:val="0"/>
      <w:marRight w:val="0"/>
      <w:marTop w:val="0"/>
      <w:marBottom w:val="180"/>
      <w:divBdr>
        <w:top w:val="none" w:sz="0" w:space="0" w:color="auto"/>
        <w:left w:val="none" w:sz="0" w:space="0" w:color="auto"/>
        <w:bottom w:val="none" w:sz="0" w:space="0" w:color="auto"/>
        <w:right w:val="none" w:sz="0" w:space="0" w:color="auto"/>
      </w:divBdr>
    </w:div>
    <w:div w:id="2093355919">
      <w:marLeft w:val="0"/>
      <w:marRight w:val="0"/>
      <w:marTop w:val="0"/>
      <w:marBottom w:val="0"/>
      <w:divBdr>
        <w:top w:val="none" w:sz="0" w:space="0" w:color="auto"/>
        <w:left w:val="none" w:sz="0" w:space="0" w:color="auto"/>
        <w:bottom w:val="none" w:sz="0" w:space="0" w:color="auto"/>
        <w:right w:val="none" w:sz="0" w:space="0" w:color="auto"/>
      </w:divBdr>
    </w:div>
    <w:div w:id="2093701010">
      <w:marLeft w:val="0"/>
      <w:marRight w:val="0"/>
      <w:marTop w:val="0"/>
      <w:marBottom w:val="240"/>
      <w:divBdr>
        <w:top w:val="none" w:sz="0" w:space="0" w:color="auto"/>
        <w:left w:val="none" w:sz="0" w:space="0" w:color="auto"/>
        <w:bottom w:val="none" w:sz="0" w:space="0" w:color="auto"/>
        <w:right w:val="none" w:sz="0" w:space="0" w:color="auto"/>
      </w:divBdr>
    </w:div>
    <w:div w:id="2095667956">
      <w:marLeft w:val="0"/>
      <w:marRight w:val="0"/>
      <w:marTop w:val="0"/>
      <w:marBottom w:val="0"/>
      <w:divBdr>
        <w:top w:val="none" w:sz="0" w:space="0" w:color="auto"/>
        <w:left w:val="none" w:sz="0" w:space="0" w:color="auto"/>
        <w:bottom w:val="none" w:sz="0" w:space="0" w:color="auto"/>
        <w:right w:val="none" w:sz="0" w:space="0" w:color="auto"/>
      </w:divBdr>
    </w:div>
    <w:div w:id="2096048528">
      <w:marLeft w:val="0"/>
      <w:marRight w:val="0"/>
      <w:marTop w:val="0"/>
      <w:marBottom w:val="180"/>
      <w:divBdr>
        <w:top w:val="none" w:sz="0" w:space="0" w:color="auto"/>
        <w:left w:val="none" w:sz="0" w:space="0" w:color="auto"/>
        <w:bottom w:val="none" w:sz="0" w:space="0" w:color="auto"/>
        <w:right w:val="none" w:sz="0" w:space="0" w:color="auto"/>
      </w:divBdr>
    </w:div>
    <w:div w:id="2097509890">
      <w:marLeft w:val="0"/>
      <w:marRight w:val="0"/>
      <w:marTop w:val="0"/>
      <w:marBottom w:val="0"/>
      <w:divBdr>
        <w:top w:val="none" w:sz="0" w:space="0" w:color="auto"/>
        <w:left w:val="none" w:sz="0" w:space="0" w:color="auto"/>
        <w:bottom w:val="none" w:sz="0" w:space="0" w:color="auto"/>
        <w:right w:val="none" w:sz="0" w:space="0" w:color="auto"/>
      </w:divBdr>
    </w:div>
    <w:div w:id="2097969279">
      <w:marLeft w:val="0"/>
      <w:marRight w:val="0"/>
      <w:marTop w:val="0"/>
      <w:marBottom w:val="0"/>
      <w:divBdr>
        <w:top w:val="none" w:sz="0" w:space="0" w:color="auto"/>
        <w:left w:val="none" w:sz="0" w:space="0" w:color="auto"/>
        <w:bottom w:val="none" w:sz="0" w:space="0" w:color="auto"/>
        <w:right w:val="none" w:sz="0" w:space="0" w:color="auto"/>
      </w:divBdr>
    </w:div>
    <w:div w:id="2097969925">
      <w:marLeft w:val="0"/>
      <w:marRight w:val="0"/>
      <w:marTop w:val="100"/>
      <w:marBottom w:val="120"/>
      <w:divBdr>
        <w:top w:val="none" w:sz="0" w:space="0" w:color="auto"/>
        <w:left w:val="none" w:sz="0" w:space="0" w:color="auto"/>
        <w:bottom w:val="none" w:sz="0" w:space="0" w:color="auto"/>
        <w:right w:val="none" w:sz="0" w:space="0" w:color="auto"/>
      </w:divBdr>
      <w:divsChild>
        <w:div w:id="1328021935">
          <w:marLeft w:val="0"/>
          <w:marRight w:val="0"/>
          <w:marTop w:val="0"/>
          <w:marBottom w:val="180"/>
          <w:divBdr>
            <w:top w:val="none" w:sz="0" w:space="0" w:color="auto"/>
            <w:left w:val="none" w:sz="0" w:space="0" w:color="auto"/>
            <w:bottom w:val="none" w:sz="0" w:space="0" w:color="auto"/>
            <w:right w:val="none" w:sz="0" w:space="0" w:color="auto"/>
          </w:divBdr>
        </w:div>
      </w:divsChild>
    </w:div>
    <w:div w:id="2098405451">
      <w:marLeft w:val="0"/>
      <w:marRight w:val="0"/>
      <w:marTop w:val="0"/>
      <w:marBottom w:val="180"/>
      <w:divBdr>
        <w:top w:val="none" w:sz="0" w:space="0" w:color="auto"/>
        <w:left w:val="none" w:sz="0" w:space="0" w:color="auto"/>
        <w:bottom w:val="none" w:sz="0" w:space="0" w:color="auto"/>
        <w:right w:val="none" w:sz="0" w:space="0" w:color="auto"/>
      </w:divBdr>
    </w:div>
    <w:div w:id="2098863237">
      <w:marLeft w:val="0"/>
      <w:marRight w:val="0"/>
      <w:marTop w:val="0"/>
      <w:marBottom w:val="180"/>
      <w:divBdr>
        <w:top w:val="none" w:sz="0" w:space="0" w:color="auto"/>
        <w:left w:val="none" w:sz="0" w:space="0" w:color="auto"/>
        <w:bottom w:val="none" w:sz="0" w:space="0" w:color="auto"/>
        <w:right w:val="none" w:sz="0" w:space="0" w:color="auto"/>
      </w:divBdr>
    </w:div>
    <w:div w:id="2100176840">
      <w:marLeft w:val="0"/>
      <w:marRight w:val="0"/>
      <w:marTop w:val="0"/>
      <w:marBottom w:val="0"/>
      <w:divBdr>
        <w:top w:val="none" w:sz="0" w:space="0" w:color="auto"/>
        <w:left w:val="none" w:sz="0" w:space="0" w:color="auto"/>
        <w:bottom w:val="none" w:sz="0" w:space="0" w:color="auto"/>
        <w:right w:val="none" w:sz="0" w:space="0" w:color="auto"/>
      </w:divBdr>
      <w:divsChild>
        <w:div w:id="1710181201">
          <w:marLeft w:val="0"/>
          <w:marRight w:val="0"/>
          <w:marTop w:val="0"/>
          <w:marBottom w:val="0"/>
          <w:divBdr>
            <w:top w:val="none" w:sz="0" w:space="0" w:color="auto"/>
            <w:left w:val="none" w:sz="0" w:space="0" w:color="auto"/>
            <w:bottom w:val="none" w:sz="0" w:space="0" w:color="auto"/>
            <w:right w:val="none" w:sz="0" w:space="0" w:color="auto"/>
          </w:divBdr>
        </w:div>
      </w:divsChild>
    </w:div>
    <w:div w:id="2101749931">
      <w:marLeft w:val="0"/>
      <w:marRight w:val="0"/>
      <w:marTop w:val="0"/>
      <w:marBottom w:val="180"/>
      <w:divBdr>
        <w:top w:val="none" w:sz="0" w:space="0" w:color="auto"/>
        <w:left w:val="none" w:sz="0" w:space="0" w:color="auto"/>
        <w:bottom w:val="none" w:sz="0" w:space="0" w:color="auto"/>
        <w:right w:val="none" w:sz="0" w:space="0" w:color="auto"/>
      </w:divBdr>
    </w:div>
    <w:div w:id="2103984494">
      <w:marLeft w:val="0"/>
      <w:marRight w:val="0"/>
      <w:marTop w:val="0"/>
      <w:marBottom w:val="240"/>
      <w:divBdr>
        <w:top w:val="none" w:sz="0" w:space="0" w:color="auto"/>
        <w:left w:val="none" w:sz="0" w:space="0" w:color="auto"/>
        <w:bottom w:val="none" w:sz="0" w:space="0" w:color="auto"/>
        <w:right w:val="none" w:sz="0" w:space="0" w:color="auto"/>
      </w:divBdr>
    </w:div>
    <w:div w:id="2104648013">
      <w:marLeft w:val="0"/>
      <w:marRight w:val="0"/>
      <w:marTop w:val="0"/>
      <w:marBottom w:val="180"/>
      <w:divBdr>
        <w:top w:val="none" w:sz="0" w:space="0" w:color="auto"/>
        <w:left w:val="none" w:sz="0" w:space="0" w:color="auto"/>
        <w:bottom w:val="none" w:sz="0" w:space="0" w:color="auto"/>
        <w:right w:val="none" w:sz="0" w:space="0" w:color="auto"/>
      </w:divBdr>
    </w:div>
    <w:div w:id="2105228740">
      <w:marLeft w:val="0"/>
      <w:marRight w:val="0"/>
      <w:marTop w:val="0"/>
      <w:marBottom w:val="0"/>
      <w:divBdr>
        <w:top w:val="none" w:sz="0" w:space="0" w:color="auto"/>
        <w:left w:val="none" w:sz="0" w:space="0" w:color="auto"/>
        <w:bottom w:val="none" w:sz="0" w:space="0" w:color="auto"/>
        <w:right w:val="none" w:sz="0" w:space="0" w:color="auto"/>
      </w:divBdr>
      <w:divsChild>
        <w:div w:id="116066201">
          <w:marLeft w:val="0"/>
          <w:marRight w:val="0"/>
          <w:marTop w:val="0"/>
          <w:marBottom w:val="0"/>
          <w:divBdr>
            <w:top w:val="none" w:sz="0" w:space="0" w:color="auto"/>
            <w:left w:val="none" w:sz="0" w:space="0" w:color="auto"/>
            <w:bottom w:val="none" w:sz="0" w:space="0" w:color="auto"/>
            <w:right w:val="none" w:sz="0" w:space="0" w:color="auto"/>
          </w:divBdr>
        </w:div>
      </w:divsChild>
    </w:div>
    <w:div w:id="2105803038">
      <w:marLeft w:val="0"/>
      <w:marRight w:val="0"/>
      <w:marTop w:val="0"/>
      <w:marBottom w:val="240"/>
      <w:divBdr>
        <w:top w:val="none" w:sz="0" w:space="0" w:color="auto"/>
        <w:left w:val="none" w:sz="0" w:space="0" w:color="auto"/>
        <w:bottom w:val="none" w:sz="0" w:space="0" w:color="auto"/>
        <w:right w:val="none" w:sz="0" w:space="0" w:color="auto"/>
      </w:divBdr>
    </w:div>
    <w:div w:id="2106145027">
      <w:marLeft w:val="0"/>
      <w:marRight w:val="0"/>
      <w:marTop w:val="0"/>
      <w:marBottom w:val="240"/>
      <w:divBdr>
        <w:top w:val="none" w:sz="0" w:space="0" w:color="auto"/>
        <w:left w:val="none" w:sz="0" w:space="0" w:color="auto"/>
        <w:bottom w:val="none" w:sz="0" w:space="0" w:color="auto"/>
        <w:right w:val="none" w:sz="0" w:space="0" w:color="auto"/>
      </w:divBdr>
    </w:div>
    <w:div w:id="2106227485">
      <w:marLeft w:val="0"/>
      <w:marRight w:val="0"/>
      <w:marTop w:val="0"/>
      <w:marBottom w:val="240"/>
      <w:divBdr>
        <w:top w:val="none" w:sz="0" w:space="0" w:color="auto"/>
        <w:left w:val="none" w:sz="0" w:space="0" w:color="auto"/>
        <w:bottom w:val="none" w:sz="0" w:space="0" w:color="auto"/>
        <w:right w:val="none" w:sz="0" w:space="0" w:color="auto"/>
      </w:divBdr>
    </w:div>
    <w:div w:id="2106605659">
      <w:marLeft w:val="0"/>
      <w:marRight w:val="0"/>
      <w:marTop w:val="0"/>
      <w:marBottom w:val="0"/>
      <w:divBdr>
        <w:top w:val="none" w:sz="0" w:space="0" w:color="auto"/>
        <w:left w:val="none" w:sz="0" w:space="0" w:color="auto"/>
        <w:bottom w:val="none" w:sz="0" w:space="0" w:color="auto"/>
        <w:right w:val="none" w:sz="0" w:space="0" w:color="auto"/>
      </w:divBdr>
    </w:div>
    <w:div w:id="2106877110">
      <w:marLeft w:val="0"/>
      <w:marRight w:val="0"/>
      <w:marTop w:val="0"/>
      <w:marBottom w:val="0"/>
      <w:divBdr>
        <w:top w:val="none" w:sz="0" w:space="0" w:color="auto"/>
        <w:left w:val="none" w:sz="0" w:space="0" w:color="auto"/>
        <w:bottom w:val="none" w:sz="0" w:space="0" w:color="auto"/>
        <w:right w:val="none" w:sz="0" w:space="0" w:color="auto"/>
      </w:divBdr>
    </w:div>
    <w:div w:id="2106882293">
      <w:marLeft w:val="0"/>
      <w:marRight w:val="0"/>
      <w:marTop w:val="180"/>
      <w:marBottom w:val="180"/>
      <w:divBdr>
        <w:top w:val="none" w:sz="0" w:space="0" w:color="auto"/>
        <w:left w:val="none" w:sz="0" w:space="0" w:color="auto"/>
        <w:bottom w:val="none" w:sz="0" w:space="0" w:color="auto"/>
        <w:right w:val="none" w:sz="0" w:space="0" w:color="auto"/>
      </w:divBdr>
    </w:div>
    <w:div w:id="2108037871">
      <w:marLeft w:val="0"/>
      <w:marRight w:val="0"/>
      <w:marTop w:val="100"/>
      <w:marBottom w:val="0"/>
      <w:divBdr>
        <w:top w:val="none" w:sz="0" w:space="0" w:color="auto"/>
        <w:left w:val="none" w:sz="0" w:space="0" w:color="auto"/>
        <w:bottom w:val="none" w:sz="0" w:space="0" w:color="auto"/>
        <w:right w:val="none" w:sz="0" w:space="0" w:color="auto"/>
      </w:divBdr>
    </w:div>
    <w:div w:id="2109034070">
      <w:marLeft w:val="0"/>
      <w:marRight w:val="0"/>
      <w:marTop w:val="0"/>
      <w:marBottom w:val="0"/>
      <w:divBdr>
        <w:top w:val="none" w:sz="0" w:space="0" w:color="auto"/>
        <w:left w:val="none" w:sz="0" w:space="0" w:color="auto"/>
        <w:bottom w:val="none" w:sz="0" w:space="0" w:color="auto"/>
        <w:right w:val="none" w:sz="0" w:space="0" w:color="auto"/>
      </w:divBdr>
    </w:div>
    <w:div w:id="2109348681">
      <w:marLeft w:val="0"/>
      <w:marRight w:val="0"/>
      <w:marTop w:val="0"/>
      <w:marBottom w:val="180"/>
      <w:divBdr>
        <w:top w:val="none" w:sz="0" w:space="0" w:color="auto"/>
        <w:left w:val="none" w:sz="0" w:space="0" w:color="auto"/>
        <w:bottom w:val="none" w:sz="0" w:space="0" w:color="auto"/>
        <w:right w:val="none" w:sz="0" w:space="0" w:color="auto"/>
      </w:divBdr>
    </w:div>
    <w:div w:id="2110079407">
      <w:marLeft w:val="0"/>
      <w:marRight w:val="0"/>
      <w:marTop w:val="0"/>
      <w:marBottom w:val="0"/>
      <w:divBdr>
        <w:top w:val="none" w:sz="0" w:space="0" w:color="auto"/>
        <w:left w:val="none" w:sz="0" w:space="0" w:color="auto"/>
        <w:bottom w:val="none" w:sz="0" w:space="0" w:color="auto"/>
        <w:right w:val="none" w:sz="0" w:space="0" w:color="auto"/>
      </w:divBdr>
      <w:divsChild>
        <w:div w:id="1292129266">
          <w:marLeft w:val="0"/>
          <w:marRight w:val="0"/>
          <w:marTop w:val="0"/>
          <w:marBottom w:val="0"/>
          <w:divBdr>
            <w:top w:val="none" w:sz="0" w:space="0" w:color="auto"/>
            <w:left w:val="none" w:sz="0" w:space="0" w:color="auto"/>
            <w:bottom w:val="none" w:sz="0" w:space="0" w:color="auto"/>
            <w:right w:val="none" w:sz="0" w:space="0" w:color="auto"/>
          </w:divBdr>
        </w:div>
      </w:divsChild>
    </w:div>
    <w:div w:id="2111050929">
      <w:marLeft w:val="0"/>
      <w:marRight w:val="0"/>
      <w:marTop w:val="0"/>
      <w:marBottom w:val="60"/>
      <w:divBdr>
        <w:top w:val="none" w:sz="0" w:space="0" w:color="auto"/>
        <w:left w:val="none" w:sz="0" w:space="0" w:color="auto"/>
        <w:bottom w:val="none" w:sz="0" w:space="0" w:color="auto"/>
        <w:right w:val="none" w:sz="0" w:space="0" w:color="auto"/>
      </w:divBdr>
    </w:div>
    <w:div w:id="2111463491">
      <w:marLeft w:val="0"/>
      <w:marRight w:val="0"/>
      <w:marTop w:val="180"/>
      <w:marBottom w:val="180"/>
      <w:divBdr>
        <w:top w:val="none" w:sz="0" w:space="0" w:color="auto"/>
        <w:left w:val="none" w:sz="0" w:space="0" w:color="auto"/>
        <w:bottom w:val="none" w:sz="0" w:space="0" w:color="auto"/>
        <w:right w:val="none" w:sz="0" w:space="0" w:color="auto"/>
      </w:divBdr>
    </w:div>
    <w:div w:id="2111967317">
      <w:marLeft w:val="0"/>
      <w:marRight w:val="0"/>
      <w:marTop w:val="0"/>
      <w:marBottom w:val="0"/>
      <w:divBdr>
        <w:top w:val="none" w:sz="0" w:space="0" w:color="auto"/>
        <w:left w:val="none" w:sz="0" w:space="0" w:color="auto"/>
        <w:bottom w:val="none" w:sz="0" w:space="0" w:color="auto"/>
        <w:right w:val="none" w:sz="0" w:space="0" w:color="auto"/>
      </w:divBdr>
      <w:divsChild>
        <w:div w:id="2090619106">
          <w:marLeft w:val="0"/>
          <w:marRight w:val="0"/>
          <w:marTop w:val="0"/>
          <w:marBottom w:val="0"/>
          <w:divBdr>
            <w:top w:val="none" w:sz="0" w:space="0" w:color="auto"/>
            <w:left w:val="none" w:sz="0" w:space="0" w:color="auto"/>
            <w:bottom w:val="none" w:sz="0" w:space="0" w:color="auto"/>
            <w:right w:val="none" w:sz="0" w:space="0" w:color="auto"/>
          </w:divBdr>
        </w:div>
      </w:divsChild>
    </w:div>
    <w:div w:id="2112504516">
      <w:marLeft w:val="0"/>
      <w:marRight w:val="0"/>
      <w:marTop w:val="100"/>
      <w:marBottom w:val="0"/>
      <w:divBdr>
        <w:top w:val="none" w:sz="0" w:space="0" w:color="auto"/>
        <w:left w:val="none" w:sz="0" w:space="0" w:color="auto"/>
        <w:bottom w:val="none" w:sz="0" w:space="0" w:color="auto"/>
        <w:right w:val="none" w:sz="0" w:space="0" w:color="auto"/>
      </w:divBdr>
    </w:div>
    <w:div w:id="2112777226">
      <w:marLeft w:val="0"/>
      <w:marRight w:val="0"/>
      <w:marTop w:val="180"/>
      <w:marBottom w:val="180"/>
      <w:divBdr>
        <w:top w:val="none" w:sz="0" w:space="0" w:color="auto"/>
        <w:left w:val="none" w:sz="0" w:space="0" w:color="auto"/>
        <w:bottom w:val="none" w:sz="0" w:space="0" w:color="auto"/>
        <w:right w:val="none" w:sz="0" w:space="0" w:color="auto"/>
      </w:divBdr>
    </w:div>
    <w:div w:id="2114737634">
      <w:marLeft w:val="0"/>
      <w:marRight w:val="0"/>
      <w:marTop w:val="0"/>
      <w:marBottom w:val="180"/>
      <w:divBdr>
        <w:top w:val="none" w:sz="0" w:space="0" w:color="auto"/>
        <w:left w:val="none" w:sz="0" w:space="0" w:color="auto"/>
        <w:bottom w:val="none" w:sz="0" w:space="0" w:color="auto"/>
        <w:right w:val="none" w:sz="0" w:space="0" w:color="auto"/>
      </w:divBdr>
    </w:div>
    <w:div w:id="2114935073">
      <w:marLeft w:val="0"/>
      <w:marRight w:val="0"/>
      <w:marTop w:val="0"/>
      <w:marBottom w:val="240"/>
      <w:divBdr>
        <w:top w:val="none" w:sz="0" w:space="0" w:color="auto"/>
        <w:left w:val="none" w:sz="0" w:space="0" w:color="auto"/>
        <w:bottom w:val="none" w:sz="0" w:space="0" w:color="auto"/>
        <w:right w:val="none" w:sz="0" w:space="0" w:color="auto"/>
      </w:divBdr>
    </w:div>
    <w:div w:id="2115123580">
      <w:marLeft w:val="0"/>
      <w:marRight w:val="0"/>
      <w:marTop w:val="180"/>
      <w:marBottom w:val="180"/>
      <w:divBdr>
        <w:top w:val="none" w:sz="0" w:space="0" w:color="auto"/>
        <w:left w:val="none" w:sz="0" w:space="0" w:color="auto"/>
        <w:bottom w:val="none" w:sz="0" w:space="0" w:color="auto"/>
        <w:right w:val="none" w:sz="0" w:space="0" w:color="auto"/>
      </w:divBdr>
    </w:div>
    <w:div w:id="2115586042">
      <w:marLeft w:val="0"/>
      <w:marRight w:val="0"/>
      <w:marTop w:val="0"/>
      <w:marBottom w:val="240"/>
      <w:divBdr>
        <w:top w:val="none" w:sz="0" w:space="0" w:color="auto"/>
        <w:left w:val="none" w:sz="0" w:space="0" w:color="auto"/>
        <w:bottom w:val="none" w:sz="0" w:space="0" w:color="auto"/>
        <w:right w:val="none" w:sz="0" w:space="0" w:color="auto"/>
      </w:divBdr>
    </w:div>
    <w:div w:id="2115587350">
      <w:marLeft w:val="0"/>
      <w:marRight w:val="0"/>
      <w:marTop w:val="0"/>
      <w:marBottom w:val="180"/>
      <w:divBdr>
        <w:top w:val="none" w:sz="0" w:space="0" w:color="auto"/>
        <w:left w:val="none" w:sz="0" w:space="0" w:color="auto"/>
        <w:bottom w:val="none" w:sz="0" w:space="0" w:color="auto"/>
        <w:right w:val="none" w:sz="0" w:space="0" w:color="auto"/>
      </w:divBdr>
    </w:div>
    <w:div w:id="2115782836">
      <w:marLeft w:val="0"/>
      <w:marRight w:val="0"/>
      <w:marTop w:val="0"/>
      <w:marBottom w:val="180"/>
      <w:divBdr>
        <w:top w:val="none" w:sz="0" w:space="0" w:color="auto"/>
        <w:left w:val="none" w:sz="0" w:space="0" w:color="auto"/>
        <w:bottom w:val="none" w:sz="0" w:space="0" w:color="auto"/>
        <w:right w:val="none" w:sz="0" w:space="0" w:color="auto"/>
      </w:divBdr>
    </w:div>
    <w:div w:id="2115829840">
      <w:marLeft w:val="0"/>
      <w:marRight w:val="0"/>
      <w:marTop w:val="180"/>
      <w:marBottom w:val="180"/>
      <w:divBdr>
        <w:top w:val="none" w:sz="0" w:space="0" w:color="auto"/>
        <w:left w:val="none" w:sz="0" w:space="0" w:color="auto"/>
        <w:bottom w:val="none" w:sz="0" w:space="0" w:color="auto"/>
        <w:right w:val="none" w:sz="0" w:space="0" w:color="auto"/>
      </w:divBdr>
    </w:div>
    <w:div w:id="2116292539">
      <w:marLeft w:val="0"/>
      <w:marRight w:val="0"/>
      <w:marTop w:val="0"/>
      <w:marBottom w:val="180"/>
      <w:divBdr>
        <w:top w:val="none" w:sz="0" w:space="0" w:color="auto"/>
        <w:left w:val="none" w:sz="0" w:space="0" w:color="auto"/>
        <w:bottom w:val="none" w:sz="0" w:space="0" w:color="auto"/>
        <w:right w:val="none" w:sz="0" w:space="0" w:color="auto"/>
      </w:divBdr>
    </w:div>
    <w:div w:id="2117098809">
      <w:marLeft w:val="0"/>
      <w:marRight w:val="0"/>
      <w:marTop w:val="100"/>
      <w:marBottom w:val="0"/>
      <w:divBdr>
        <w:top w:val="none" w:sz="0" w:space="0" w:color="auto"/>
        <w:left w:val="none" w:sz="0" w:space="0" w:color="auto"/>
        <w:bottom w:val="none" w:sz="0" w:space="0" w:color="auto"/>
        <w:right w:val="none" w:sz="0" w:space="0" w:color="auto"/>
      </w:divBdr>
    </w:div>
    <w:div w:id="2117287071">
      <w:marLeft w:val="0"/>
      <w:marRight w:val="0"/>
      <w:marTop w:val="0"/>
      <w:marBottom w:val="0"/>
      <w:divBdr>
        <w:top w:val="none" w:sz="0" w:space="0" w:color="auto"/>
        <w:left w:val="none" w:sz="0" w:space="0" w:color="auto"/>
        <w:bottom w:val="none" w:sz="0" w:space="0" w:color="auto"/>
        <w:right w:val="none" w:sz="0" w:space="0" w:color="auto"/>
      </w:divBdr>
    </w:div>
    <w:div w:id="2117483078">
      <w:marLeft w:val="0"/>
      <w:marRight w:val="0"/>
      <w:marTop w:val="0"/>
      <w:marBottom w:val="180"/>
      <w:divBdr>
        <w:top w:val="none" w:sz="0" w:space="0" w:color="auto"/>
        <w:left w:val="none" w:sz="0" w:space="0" w:color="auto"/>
        <w:bottom w:val="none" w:sz="0" w:space="0" w:color="auto"/>
        <w:right w:val="none" w:sz="0" w:space="0" w:color="auto"/>
      </w:divBdr>
    </w:div>
    <w:div w:id="2117677082">
      <w:marLeft w:val="0"/>
      <w:marRight w:val="0"/>
      <w:marTop w:val="0"/>
      <w:marBottom w:val="180"/>
      <w:divBdr>
        <w:top w:val="none" w:sz="0" w:space="0" w:color="auto"/>
        <w:left w:val="none" w:sz="0" w:space="0" w:color="auto"/>
        <w:bottom w:val="none" w:sz="0" w:space="0" w:color="auto"/>
        <w:right w:val="none" w:sz="0" w:space="0" w:color="auto"/>
      </w:divBdr>
    </w:div>
    <w:div w:id="2118133780">
      <w:marLeft w:val="0"/>
      <w:marRight w:val="0"/>
      <w:marTop w:val="0"/>
      <w:marBottom w:val="180"/>
      <w:divBdr>
        <w:top w:val="none" w:sz="0" w:space="0" w:color="auto"/>
        <w:left w:val="none" w:sz="0" w:space="0" w:color="auto"/>
        <w:bottom w:val="none" w:sz="0" w:space="0" w:color="auto"/>
        <w:right w:val="none" w:sz="0" w:space="0" w:color="auto"/>
      </w:divBdr>
    </w:div>
    <w:div w:id="2119136027">
      <w:marLeft w:val="0"/>
      <w:marRight w:val="0"/>
      <w:marTop w:val="0"/>
      <w:marBottom w:val="240"/>
      <w:divBdr>
        <w:top w:val="none" w:sz="0" w:space="0" w:color="auto"/>
        <w:left w:val="none" w:sz="0" w:space="0" w:color="auto"/>
        <w:bottom w:val="none" w:sz="0" w:space="0" w:color="auto"/>
        <w:right w:val="none" w:sz="0" w:space="0" w:color="auto"/>
      </w:divBdr>
    </w:div>
    <w:div w:id="2119373808">
      <w:marLeft w:val="0"/>
      <w:marRight w:val="0"/>
      <w:marTop w:val="0"/>
      <w:marBottom w:val="240"/>
      <w:divBdr>
        <w:top w:val="none" w:sz="0" w:space="0" w:color="auto"/>
        <w:left w:val="none" w:sz="0" w:space="0" w:color="auto"/>
        <w:bottom w:val="none" w:sz="0" w:space="0" w:color="auto"/>
        <w:right w:val="none" w:sz="0" w:space="0" w:color="auto"/>
      </w:divBdr>
    </w:div>
    <w:div w:id="2119593403">
      <w:marLeft w:val="0"/>
      <w:marRight w:val="0"/>
      <w:marTop w:val="0"/>
      <w:marBottom w:val="180"/>
      <w:divBdr>
        <w:top w:val="none" w:sz="0" w:space="0" w:color="auto"/>
        <w:left w:val="none" w:sz="0" w:space="0" w:color="auto"/>
        <w:bottom w:val="none" w:sz="0" w:space="0" w:color="auto"/>
        <w:right w:val="none" w:sz="0" w:space="0" w:color="auto"/>
      </w:divBdr>
    </w:div>
    <w:div w:id="2119638103">
      <w:marLeft w:val="0"/>
      <w:marRight w:val="0"/>
      <w:marTop w:val="120"/>
      <w:marBottom w:val="120"/>
      <w:divBdr>
        <w:top w:val="none" w:sz="0" w:space="0" w:color="auto"/>
        <w:left w:val="none" w:sz="0" w:space="0" w:color="auto"/>
        <w:bottom w:val="none" w:sz="0" w:space="0" w:color="auto"/>
        <w:right w:val="none" w:sz="0" w:space="0" w:color="auto"/>
      </w:divBdr>
    </w:div>
    <w:div w:id="2121217065">
      <w:marLeft w:val="0"/>
      <w:marRight w:val="0"/>
      <w:marTop w:val="0"/>
      <w:marBottom w:val="0"/>
      <w:divBdr>
        <w:top w:val="none" w:sz="0" w:space="0" w:color="auto"/>
        <w:left w:val="none" w:sz="0" w:space="0" w:color="auto"/>
        <w:bottom w:val="none" w:sz="0" w:space="0" w:color="auto"/>
        <w:right w:val="none" w:sz="0" w:space="0" w:color="auto"/>
      </w:divBdr>
      <w:divsChild>
        <w:div w:id="116948897">
          <w:marLeft w:val="0"/>
          <w:marRight w:val="0"/>
          <w:marTop w:val="0"/>
          <w:marBottom w:val="0"/>
          <w:divBdr>
            <w:top w:val="none" w:sz="0" w:space="0" w:color="auto"/>
            <w:left w:val="none" w:sz="0" w:space="0" w:color="auto"/>
            <w:bottom w:val="none" w:sz="0" w:space="0" w:color="auto"/>
            <w:right w:val="none" w:sz="0" w:space="0" w:color="auto"/>
          </w:divBdr>
        </w:div>
      </w:divsChild>
    </w:div>
    <w:div w:id="2123451352">
      <w:marLeft w:val="0"/>
      <w:marRight w:val="0"/>
      <w:marTop w:val="0"/>
      <w:marBottom w:val="0"/>
      <w:divBdr>
        <w:top w:val="none" w:sz="0" w:space="0" w:color="auto"/>
        <w:left w:val="none" w:sz="0" w:space="0" w:color="auto"/>
        <w:bottom w:val="none" w:sz="0" w:space="0" w:color="auto"/>
        <w:right w:val="none" w:sz="0" w:space="0" w:color="auto"/>
      </w:divBdr>
    </w:div>
    <w:div w:id="2123456486">
      <w:marLeft w:val="0"/>
      <w:marRight w:val="0"/>
      <w:marTop w:val="0"/>
      <w:marBottom w:val="180"/>
      <w:divBdr>
        <w:top w:val="none" w:sz="0" w:space="0" w:color="auto"/>
        <w:left w:val="none" w:sz="0" w:space="0" w:color="auto"/>
        <w:bottom w:val="none" w:sz="0" w:space="0" w:color="auto"/>
        <w:right w:val="none" w:sz="0" w:space="0" w:color="auto"/>
      </w:divBdr>
    </w:div>
    <w:div w:id="2124377456">
      <w:marLeft w:val="0"/>
      <w:marRight w:val="0"/>
      <w:marTop w:val="180"/>
      <w:marBottom w:val="180"/>
      <w:divBdr>
        <w:top w:val="none" w:sz="0" w:space="0" w:color="auto"/>
        <w:left w:val="none" w:sz="0" w:space="0" w:color="auto"/>
        <w:bottom w:val="none" w:sz="0" w:space="0" w:color="auto"/>
        <w:right w:val="none" w:sz="0" w:space="0" w:color="auto"/>
      </w:divBdr>
    </w:div>
    <w:div w:id="2124763213">
      <w:marLeft w:val="0"/>
      <w:marRight w:val="0"/>
      <w:marTop w:val="0"/>
      <w:marBottom w:val="0"/>
      <w:divBdr>
        <w:top w:val="none" w:sz="0" w:space="0" w:color="auto"/>
        <w:left w:val="none" w:sz="0" w:space="0" w:color="auto"/>
        <w:bottom w:val="none" w:sz="0" w:space="0" w:color="auto"/>
        <w:right w:val="none" w:sz="0" w:space="0" w:color="auto"/>
      </w:divBdr>
      <w:divsChild>
        <w:div w:id="1907452138">
          <w:marLeft w:val="0"/>
          <w:marRight w:val="0"/>
          <w:marTop w:val="0"/>
          <w:marBottom w:val="0"/>
          <w:divBdr>
            <w:top w:val="none" w:sz="0" w:space="0" w:color="auto"/>
            <w:left w:val="none" w:sz="0" w:space="0" w:color="auto"/>
            <w:bottom w:val="none" w:sz="0" w:space="0" w:color="auto"/>
            <w:right w:val="none" w:sz="0" w:space="0" w:color="auto"/>
          </w:divBdr>
        </w:div>
      </w:divsChild>
    </w:div>
    <w:div w:id="2125032330">
      <w:marLeft w:val="0"/>
      <w:marRight w:val="0"/>
      <w:marTop w:val="180"/>
      <w:marBottom w:val="180"/>
      <w:divBdr>
        <w:top w:val="none" w:sz="0" w:space="0" w:color="auto"/>
        <w:left w:val="none" w:sz="0" w:space="0" w:color="auto"/>
        <w:bottom w:val="none" w:sz="0" w:space="0" w:color="auto"/>
        <w:right w:val="none" w:sz="0" w:space="0" w:color="auto"/>
      </w:divBdr>
    </w:div>
    <w:div w:id="2127236253">
      <w:marLeft w:val="0"/>
      <w:marRight w:val="0"/>
      <w:marTop w:val="180"/>
      <w:marBottom w:val="180"/>
      <w:divBdr>
        <w:top w:val="none" w:sz="0" w:space="0" w:color="auto"/>
        <w:left w:val="none" w:sz="0" w:space="0" w:color="auto"/>
        <w:bottom w:val="none" w:sz="0" w:space="0" w:color="auto"/>
        <w:right w:val="none" w:sz="0" w:space="0" w:color="auto"/>
      </w:divBdr>
    </w:div>
    <w:div w:id="2128427394">
      <w:marLeft w:val="0"/>
      <w:marRight w:val="0"/>
      <w:marTop w:val="0"/>
      <w:marBottom w:val="0"/>
      <w:divBdr>
        <w:top w:val="none" w:sz="0" w:space="0" w:color="auto"/>
        <w:left w:val="none" w:sz="0" w:space="0" w:color="auto"/>
        <w:bottom w:val="none" w:sz="0" w:space="0" w:color="auto"/>
        <w:right w:val="none" w:sz="0" w:space="0" w:color="auto"/>
      </w:divBdr>
    </w:div>
    <w:div w:id="2128619743">
      <w:marLeft w:val="0"/>
      <w:marRight w:val="0"/>
      <w:marTop w:val="180"/>
      <w:marBottom w:val="180"/>
      <w:divBdr>
        <w:top w:val="none" w:sz="0" w:space="0" w:color="auto"/>
        <w:left w:val="none" w:sz="0" w:space="0" w:color="auto"/>
        <w:bottom w:val="none" w:sz="0" w:space="0" w:color="auto"/>
        <w:right w:val="none" w:sz="0" w:space="0" w:color="auto"/>
      </w:divBdr>
    </w:div>
    <w:div w:id="2128772280">
      <w:marLeft w:val="0"/>
      <w:marRight w:val="0"/>
      <w:marTop w:val="0"/>
      <w:marBottom w:val="60"/>
      <w:divBdr>
        <w:top w:val="none" w:sz="0" w:space="0" w:color="auto"/>
        <w:left w:val="none" w:sz="0" w:space="0" w:color="auto"/>
        <w:bottom w:val="none" w:sz="0" w:space="0" w:color="auto"/>
        <w:right w:val="none" w:sz="0" w:space="0" w:color="auto"/>
      </w:divBdr>
    </w:div>
    <w:div w:id="2128961921">
      <w:marLeft w:val="0"/>
      <w:marRight w:val="0"/>
      <w:marTop w:val="0"/>
      <w:marBottom w:val="0"/>
      <w:divBdr>
        <w:top w:val="none" w:sz="0" w:space="0" w:color="auto"/>
        <w:left w:val="none" w:sz="0" w:space="0" w:color="auto"/>
        <w:bottom w:val="none" w:sz="0" w:space="0" w:color="auto"/>
        <w:right w:val="none" w:sz="0" w:space="0" w:color="auto"/>
      </w:divBdr>
      <w:divsChild>
        <w:div w:id="1306469015">
          <w:marLeft w:val="0"/>
          <w:marRight w:val="0"/>
          <w:marTop w:val="0"/>
          <w:marBottom w:val="0"/>
          <w:divBdr>
            <w:top w:val="none" w:sz="0" w:space="0" w:color="auto"/>
            <w:left w:val="none" w:sz="0" w:space="0" w:color="auto"/>
            <w:bottom w:val="none" w:sz="0" w:space="0" w:color="auto"/>
            <w:right w:val="none" w:sz="0" w:space="0" w:color="auto"/>
          </w:divBdr>
        </w:div>
        <w:div w:id="255678467">
          <w:marLeft w:val="0"/>
          <w:marRight w:val="0"/>
          <w:marTop w:val="0"/>
          <w:marBottom w:val="180"/>
          <w:divBdr>
            <w:top w:val="none" w:sz="0" w:space="0" w:color="auto"/>
            <w:left w:val="none" w:sz="0" w:space="0" w:color="auto"/>
            <w:bottom w:val="none" w:sz="0" w:space="0" w:color="auto"/>
            <w:right w:val="none" w:sz="0" w:space="0" w:color="auto"/>
          </w:divBdr>
        </w:div>
      </w:divsChild>
    </w:div>
    <w:div w:id="2130930468">
      <w:marLeft w:val="0"/>
      <w:marRight w:val="0"/>
      <w:marTop w:val="0"/>
      <w:marBottom w:val="240"/>
      <w:divBdr>
        <w:top w:val="none" w:sz="0" w:space="0" w:color="auto"/>
        <w:left w:val="none" w:sz="0" w:space="0" w:color="auto"/>
        <w:bottom w:val="none" w:sz="0" w:space="0" w:color="auto"/>
        <w:right w:val="none" w:sz="0" w:space="0" w:color="auto"/>
      </w:divBdr>
    </w:div>
    <w:div w:id="2131624931">
      <w:marLeft w:val="0"/>
      <w:marRight w:val="0"/>
      <w:marTop w:val="0"/>
      <w:marBottom w:val="0"/>
      <w:divBdr>
        <w:top w:val="none" w:sz="0" w:space="0" w:color="auto"/>
        <w:left w:val="none" w:sz="0" w:space="0" w:color="auto"/>
        <w:bottom w:val="none" w:sz="0" w:space="0" w:color="auto"/>
        <w:right w:val="none" w:sz="0" w:space="0" w:color="auto"/>
      </w:divBdr>
      <w:divsChild>
        <w:div w:id="1369144492">
          <w:marLeft w:val="0"/>
          <w:marRight w:val="0"/>
          <w:marTop w:val="0"/>
          <w:marBottom w:val="0"/>
          <w:divBdr>
            <w:top w:val="none" w:sz="0" w:space="0" w:color="auto"/>
            <w:left w:val="none" w:sz="0" w:space="0" w:color="auto"/>
            <w:bottom w:val="none" w:sz="0" w:space="0" w:color="auto"/>
            <w:right w:val="none" w:sz="0" w:space="0" w:color="auto"/>
          </w:divBdr>
        </w:div>
      </w:divsChild>
    </w:div>
    <w:div w:id="2131781507">
      <w:marLeft w:val="0"/>
      <w:marRight w:val="0"/>
      <w:marTop w:val="100"/>
      <w:marBottom w:val="240"/>
      <w:divBdr>
        <w:top w:val="none" w:sz="0" w:space="0" w:color="auto"/>
        <w:left w:val="none" w:sz="0" w:space="0" w:color="auto"/>
        <w:bottom w:val="none" w:sz="0" w:space="0" w:color="auto"/>
        <w:right w:val="none" w:sz="0" w:space="0" w:color="auto"/>
      </w:divBdr>
    </w:div>
    <w:div w:id="2132939468">
      <w:marLeft w:val="0"/>
      <w:marRight w:val="0"/>
      <w:marTop w:val="0"/>
      <w:marBottom w:val="240"/>
      <w:divBdr>
        <w:top w:val="none" w:sz="0" w:space="0" w:color="auto"/>
        <w:left w:val="none" w:sz="0" w:space="0" w:color="auto"/>
        <w:bottom w:val="none" w:sz="0" w:space="0" w:color="auto"/>
        <w:right w:val="none" w:sz="0" w:space="0" w:color="auto"/>
      </w:divBdr>
    </w:div>
    <w:div w:id="2133012435">
      <w:marLeft w:val="0"/>
      <w:marRight w:val="0"/>
      <w:marTop w:val="0"/>
      <w:marBottom w:val="240"/>
      <w:divBdr>
        <w:top w:val="none" w:sz="0" w:space="0" w:color="auto"/>
        <w:left w:val="none" w:sz="0" w:space="0" w:color="auto"/>
        <w:bottom w:val="none" w:sz="0" w:space="0" w:color="auto"/>
        <w:right w:val="none" w:sz="0" w:space="0" w:color="auto"/>
      </w:divBdr>
    </w:div>
    <w:div w:id="2134321780">
      <w:marLeft w:val="0"/>
      <w:marRight w:val="0"/>
      <w:marTop w:val="0"/>
      <w:marBottom w:val="0"/>
      <w:divBdr>
        <w:top w:val="none" w:sz="0" w:space="0" w:color="auto"/>
        <w:left w:val="none" w:sz="0" w:space="0" w:color="auto"/>
        <w:bottom w:val="none" w:sz="0" w:space="0" w:color="auto"/>
        <w:right w:val="none" w:sz="0" w:space="0" w:color="auto"/>
      </w:divBdr>
    </w:div>
    <w:div w:id="2135175617">
      <w:marLeft w:val="0"/>
      <w:marRight w:val="0"/>
      <w:marTop w:val="0"/>
      <w:marBottom w:val="240"/>
      <w:divBdr>
        <w:top w:val="none" w:sz="0" w:space="0" w:color="auto"/>
        <w:left w:val="none" w:sz="0" w:space="0" w:color="auto"/>
        <w:bottom w:val="none" w:sz="0" w:space="0" w:color="auto"/>
        <w:right w:val="none" w:sz="0" w:space="0" w:color="auto"/>
      </w:divBdr>
    </w:div>
    <w:div w:id="2136173402">
      <w:marLeft w:val="0"/>
      <w:marRight w:val="0"/>
      <w:marTop w:val="0"/>
      <w:marBottom w:val="20"/>
      <w:divBdr>
        <w:top w:val="none" w:sz="0" w:space="0" w:color="auto"/>
        <w:left w:val="none" w:sz="0" w:space="0" w:color="auto"/>
        <w:bottom w:val="none" w:sz="0" w:space="0" w:color="auto"/>
        <w:right w:val="none" w:sz="0" w:space="0" w:color="auto"/>
      </w:divBdr>
    </w:div>
    <w:div w:id="2136366682">
      <w:marLeft w:val="0"/>
      <w:marRight w:val="0"/>
      <w:marTop w:val="180"/>
      <w:marBottom w:val="180"/>
      <w:divBdr>
        <w:top w:val="none" w:sz="0" w:space="0" w:color="auto"/>
        <w:left w:val="none" w:sz="0" w:space="0" w:color="auto"/>
        <w:bottom w:val="none" w:sz="0" w:space="0" w:color="auto"/>
        <w:right w:val="none" w:sz="0" w:space="0" w:color="auto"/>
      </w:divBdr>
    </w:div>
    <w:div w:id="2136479480">
      <w:marLeft w:val="0"/>
      <w:marRight w:val="0"/>
      <w:marTop w:val="0"/>
      <w:marBottom w:val="0"/>
      <w:divBdr>
        <w:top w:val="none" w:sz="0" w:space="0" w:color="auto"/>
        <w:left w:val="none" w:sz="0" w:space="0" w:color="auto"/>
        <w:bottom w:val="none" w:sz="0" w:space="0" w:color="auto"/>
        <w:right w:val="none" w:sz="0" w:space="0" w:color="auto"/>
      </w:divBdr>
    </w:div>
    <w:div w:id="2136830393">
      <w:marLeft w:val="0"/>
      <w:marRight w:val="0"/>
      <w:marTop w:val="0"/>
      <w:marBottom w:val="180"/>
      <w:divBdr>
        <w:top w:val="none" w:sz="0" w:space="0" w:color="auto"/>
        <w:left w:val="none" w:sz="0" w:space="0" w:color="auto"/>
        <w:bottom w:val="none" w:sz="0" w:space="0" w:color="auto"/>
        <w:right w:val="none" w:sz="0" w:space="0" w:color="auto"/>
      </w:divBdr>
    </w:div>
    <w:div w:id="2139839877">
      <w:marLeft w:val="0"/>
      <w:marRight w:val="0"/>
      <w:marTop w:val="180"/>
      <w:marBottom w:val="180"/>
      <w:divBdr>
        <w:top w:val="none" w:sz="0" w:space="0" w:color="auto"/>
        <w:left w:val="none" w:sz="0" w:space="0" w:color="auto"/>
        <w:bottom w:val="none" w:sz="0" w:space="0" w:color="auto"/>
        <w:right w:val="none" w:sz="0" w:space="0" w:color="auto"/>
      </w:divBdr>
    </w:div>
    <w:div w:id="2140561204">
      <w:marLeft w:val="0"/>
      <w:marRight w:val="0"/>
      <w:marTop w:val="0"/>
      <w:marBottom w:val="0"/>
      <w:divBdr>
        <w:top w:val="none" w:sz="0" w:space="0" w:color="auto"/>
        <w:left w:val="none" w:sz="0" w:space="0" w:color="auto"/>
        <w:bottom w:val="none" w:sz="0" w:space="0" w:color="auto"/>
        <w:right w:val="none" w:sz="0" w:space="0" w:color="auto"/>
      </w:divBdr>
    </w:div>
    <w:div w:id="2142646246">
      <w:marLeft w:val="0"/>
      <w:marRight w:val="0"/>
      <w:marTop w:val="180"/>
      <w:marBottom w:val="180"/>
      <w:divBdr>
        <w:top w:val="none" w:sz="0" w:space="0" w:color="auto"/>
        <w:left w:val="none" w:sz="0" w:space="0" w:color="auto"/>
        <w:bottom w:val="none" w:sz="0" w:space="0" w:color="auto"/>
        <w:right w:val="none" w:sz="0" w:space="0" w:color="auto"/>
      </w:divBdr>
    </w:div>
    <w:div w:id="2143620482">
      <w:marLeft w:val="0"/>
      <w:marRight w:val="0"/>
      <w:marTop w:val="0"/>
      <w:marBottom w:val="180"/>
      <w:divBdr>
        <w:top w:val="none" w:sz="0" w:space="0" w:color="auto"/>
        <w:left w:val="none" w:sz="0" w:space="0" w:color="auto"/>
        <w:bottom w:val="none" w:sz="0" w:space="0" w:color="auto"/>
        <w:right w:val="none" w:sz="0" w:space="0" w:color="auto"/>
      </w:divBdr>
    </w:div>
    <w:div w:id="2143955698">
      <w:marLeft w:val="0"/>
      <w:marRight w:val="0"/>
      <w:marTop w:val="0"/>
      <w:marBottom w:val="180"/>
      <w:divBdr>
        <w:top w:val="none" w:sz="0" w:space="0" w:color="auto"/>
        <w:left w:val="none" w:sz="0" w:space="0" w:color="auto"/>
        <w:bottom w:val="none" w:sz="0" w:space="0" w:color="auto"/>
        <w:right w:val="none" w:sz="0" w:space="0" w:color="auto"/>
      </w:divBdr>
    </w:div>
    <w:div w:id="2144426532">
      <w:marLeft w:val="0"/>
      <w:marRight w:val="0"/>
      <w:marTop w:val="0"/>
      <w:marBottom w:val="0"/>
      <w:divBdr>
        <w:top w:val="none" w:sz="0" w:space="0" w:color="auto"/>
        <w:left w:val="none" w:sz="0" w:space="0" w:color="auto"/>
        <w:bottom w:val="none" w:sz="0" w:space="0" w:color="auto"/>
        <w:right w:val="none" w:sz="0" w:space="0" w:color="auto"/>
      </w:divBdr>
    </w:div>
    <w:div w:id="2144813337">
      <w:marLeft w:val="0"/>
      <w:marRight w:val="0"/>
      <w:marTop w:val="0"/>
      <w:marBottom w:val="240"/>
      <w:divBdr>
        <w:top w:val="none" w:sz="0" w:space="0" w:color="auto"/>
        <w:left w:val="none" w:sz="0" w:space="0" w:color="auto"/>
        <w:bottom w:val="none" w:sz="0" w:space="0" w:color="auto"/>
        <w:right w:val="none" w:sz="0" w:space="0" w:color="auto"/>
      </w:divBdr>
    </w:div>
    <w:div w:id="2144880513">
      <w:marLeft w:val="0"/>
      <w:marRight w:val="0"/>
      <w:marTop w:val="0"/>
      <w:marBottom w:val="0"/>
      <w:divBdr>
        <w:top w:val="none" w:sz="0" w:space="0" w:color="auto"/>
        <w:left w:val="none" w:sz="0" w:space="0" w:color="auto"/>
        <w:bottom w:val="none" w:sz="0" w:space="0" w:color="auto"/>
        <w:right w:val="none" w:sz="0" w:space="0" w:color="auto"/>
      </w:divBdr>
      <w:divsChild>
        <w:div w:id="2011105871">
          <w:marLeft w:val="0"/>
          <w:marRight w:val="0"/>
          <w:marTop w:val="0"/>
          <w:marBottom w:val="0"/>
          <w:divBdr>
            <w:top w:val="none" w:sz="0" w:space="0" w:color="auto"/>
            <w:left w:val="none" w:sz="0" w:space="0" w:color="auto"/>
            <w:bottom w:val="none" w:sz="0" w:space="0" w:color="auto"/>
            <w:right w:val="none" w:sz="0" w:space="0" w:color="auto"/>
          </w:divBdr>
        </w:div>
      </w:divsChild>
    </w:div>
    <w:div w:id="2144883769">
      <w:marLeft w:val="0"/>
      <w:marRight w:val="0"/>
      <w:marTop w:val="0"/>
      <w:marBottom w:val="180"/>
      <w:divBdr>
        <w:top w:val="none" w:sz="0" w:space="0" w:color="auto"/>
        <w:left w:val="none" w:sz="0" w:space="0" w:color="auto"/>
        <w:bottom w:val="none" w:sz="0" w:space="0" w:color="auto"/>
        <w:right w:val="none" w:sz="0" w:space="0" w:color="auto"/>
      </w:divBdr>
    </w:div>
    <w:div w:id="2145153274">
      <w:marLeft w:val="0"/>
      <w:marRight w:val="0"/>
      <w:marTop w:val="100"/>
      <w:marBottom w:val="0"/>
      <w:divBdr>
        <w:top w:val="none" w:sz="0" w:space="0" w:color="auto"/>
        <w:left w:val="none" w:sz="0" w:space="0" w:color="auto"/>
        <w:bottom w:val="none" w:sz="0" w:space="0" w:color="auto"/>
        <w:right w:val="none" w:sz="0" w:space="0" w:color="auto"/>
      </w:divBdr>
    </w:div>
    <w:div w:id="2145268691">
      <w:marLeft w:val="0"/>
      <w:marRight w:val="0"/>
      <w:marTop w:val="0"/>
      <w:marBottom w:val="240"/>
      <w:divBdr>
        <w:top w:val="none" w:sz="0" w:space="0" w:color="auto"/>
        <w:left w:val="none" w:sz="0" w:space="0" w:color="auto"/>
        <w:bottom w:val="none" w:sz="0" w:space="0" w:color="auto"/>
        <w:right w:val="none" w:sz="0" w:space="0" w:color="auto"/>
      </w:divBdr>
    </w:div>
    <w:div w:id="2146002959">
      <w:marLeft w:val="0"/>
      <w:marRight w:val="0"/>
      <w:marTop w:val="180"/>
      <w:marBottom w:val="180"/>
      <w:divBdr>
        <w:top w:val="none" w:sz="0" w:space="0" w:color="auto"/>
        <w:left w:val="none" w:sz="0" w:space="0" w:color="auto"/>
        <w:bottom w:val="none" w:sz="0" w:space="0" w:color="auto"/>
        <w:right w:val="none" w:sz="0" w:space="0" w:color="auto"/>
      </w:divBdr>
    </w:div>
    <w:div w:id="2146699595">
      <w:marLeft w:val="0"/>
      <w:marRight w:val="0"/>
      <w:marTop w:val="0"/>
      <w:marBottom w:val="0"/>
      <w:divBdr>
        <w:top w:val="none" w:sz="0" w:space="0" w:color="auto"/>
        <w:left w:val="none" w:sz="0" w:space="0" w:color="auto"/>
        <w:bottom w:val="none" w:sz="0" w:space="0" w:color="auto"/>
        <w:right w:val="none" w:sz="0" w:space="0" w:color="auto"/>
      </w:divBdr>
    </w:div>
    <w:div w:id="2147165533">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c.gov/Archives/edgar/data/1333986/000119312518132723/d334112dex1048.htm" TargetMode="External"/><Relationship Id="rId21" Type="http://schemas.openxmlformats.org/officeDocument/2006/relationships/hyperlink" Target="http://www.sec.gov/Archives/edgar/data/1333986/000119312519297702/d788758dex31.htm" TargetMode="External"/><Relationship Id="rId42" Type="http://schemas.openxmlformats.org/officeDocument/2006/relationships/hyperlink" Target="http://www.sec.gov/Archives/edgar/data/1333986/000133398619000010/markpearsonemploymentagree.htm" TargetMode="External"/><Relationship Id="rId63" Type="http://schemas.openxmlformats.org/officeDocument/2006/relationships/hyperlink" Target="https://www.sec.gov/Archives/edgar/data/825313/000082531317000008/a201610-kxexhibit1006.htm" TargetMode="External"/><Relationship Id="rId84" Type="http://schemas.openxmlformats.org/officeDocument/2006/relationships/hyperlink" Target="https://www.sec.gov/Archives/edgar/data/1333986/000156459021015823/eqh-ex103_25.htm" TargetMode="External"/><Relationship Id="rId138" Type="http://schemas.openxmlformats.org/officeDocument/2006/relationships/hyperlink" Target="http://www.sec.gov/Archives/edgar/data/1333986/000119312518132723/d334112dex1054.htm" TargetMode="External"/><Relationship Id="rId159" Type="http://schemas.openxmlformats.org/officeDocument/2006/relationships/hyperlink" Target="eqh-12312021exhibit1037.htm" TargetMode="External"/><Relationship Id="rId170" Type="http://schemas.openxmlformats.org/officeDocument/2006/relationships/hyperlink" Target="https://www.sec.gov/Archives/edgar/data/1333986/000133398621000011/eqh-123120exhibit1058.htm" TargetMode="External"/><Relationship Id="rId191" Type="http://schemas.openxmlformats.org/officeDocument/2006/relationships/hyperlink" Target="eqh-123121exhibit321.htm" TargetMode="External"/><Relationship Id="rId107" Type="http://schemas.openxmlformats.org/officeDocument/2006/relationships/hyperlink" Target="http://www.sec.gov/Archives/edgar/data/1333986/000119312518132723/d334112dex1045.htm" TargetMode="External"/><Relationship Id="rId11" Type="http://schemas.openxmlformats.org/officeDocument/2006/relationships/image" Target="file:///E:\projects\LLMs\new_data_collection\data_new\htm\Equitable%20Holdings,%20Inc\eqh-20211231_g8.jpg" TargetMode="External"/><Relationship Id="rId32" Type="http://schemas.openxmlformats.org/officeDocument/2006/relationships/hyperlink" Target="eqh-123121exhibit49.htm" TargetMode="External"/><Relationship Id="rId53" Type="http://schemas.openxmlformats.org/officeDocument/2006/relationships/hyperlink" Target="http://www.sec.gov/Archives/edgar/data/1333986/000133398618000006/aeh-03312018xexhibit106.htm" TargetMode="External"/><Relationship Id="rId74" Type="http://schemas.openxmlformats.org/officeDocument/2006/relationships/hyperlink" Target="http://www.sec.gov/Archives/edgar/data/1333986/000156459019046393/eqh-ex102_7.htm" TargetMode="External"/><Relationship Id="rId128" Type="http://schemas.openxmlformats.org/officeDocument/2006/relationships/hyperlink" Target="http://www.sec.gov/Archives/edgar/data/1333986/000119312518132723/d334112dex1050.htm" TargetMode="External"/><Relationship Id="rId149" Type="http://schemas.openxmlformats.org/officeDocument/2006/relationships/hyperlink" Target="http://www.sec.gov/Archives/edgar/data/1333986/000119312518132723/d334112dex1057.htm" TargetMode="External"/><Relationship Id="rId5" Type="http://schemas.openxmlformats.org/officeDocument/2006/relationships/image" Target="file:///E:\projects\LLMs\new_data_collection\data_new\htm\Equitable%20Holdings,%20Inc\eqh-20211231_g2.jpg" TargetMode="External"/><Relationship Id="rId95" Type="http://schemas.openxmlformats.org/officeDocument/2006/relationships/hyperlink" Target="http://www.sec.gov/Archives/edgar/data/1333986/000119312518110200/d334112dex1030.htm" TargetMode="External"/><Relationship Id="rId160" Type="http://schemas.openxmlformats.org/officeDocument/2006/relationships/hyperlink" Target="eqh-12312021exhibit1038.htm" TargetMode="External"/><Relationship Id="rId181" Type="http://schemas.openxmlformats.org/officeDocument/2006/relationships/hyperlink" Target="https://www.sec.gov/Archives/edgar/data/825313/000082531322000012/ab-2021exhibit1004.htm" TargetMode="External"/><Relationship Id="rId22" Type="http://schemas.openxmlformats.org/officeDocument/2006/relationships/hyperlink" Target="https://www.sec.gov/Archives/edgar/data/1333986/000119312520216340/d64111dex31.htm" TargetMode="External"/><Relationship Id="rId43" Type="http://schemas.openxmlformats.org/officeDocument/2006/relationships/hyperlink" Target="http://www.sec.gov/Archives/edgar/data/1333986/000133398619000010/markpearsonemploymentagree.htm" TargetMode="External"/><Relationship Id="rId64" Type="http://schemas.openxmlformats.org/officeDocument/2006/relationships/hyperlink" Target="https://www.sec.gov/Archives/edgar/data/825313/000082531319000006/ab-2018exhibit1012.htm" TargetMode="External"/><Relationship Id="rId118" Type="http://schemas.openxmlformats.org/officeDocument/2006/relationships/hyperlink" Target="http://www.sec.gov/Archives/edgar/data/1333986/000119312518132723/d334112dex1048.htm" TargetMode="External"/><Relationship Id="rId139" Type="http://schemas.openxmlformats.org/officeDocument/2006/relationships/hyperlink" Target="http://www.sec.gov/Archives/edgar/data/1333986/000119312518132723/d334112dex1054.htm" TargetMode="External"/><Relationship Id="rId85" Type="http://schemas.openxmlformats.org/officeDocument/2006/relationships/hyperlink" Target="https://www.sec.gov/Archives/edgar/data/1333986/000156459021035086/eqh-ex103_39.htm" TargetMode="External"/><Relationship Id="rId150" Type="http://schemas.openxmlformats.org/officeDocument/2006/relationships/hyperlink" Target="http://www.sec.gov/Archives/edgar/data/1333986/000133398619000010/omnibusincentiveplan.htm" TargetMode="External"/><Relationship Id="rId171" Type="http://schemas.openxmlformats.org/officeDocument/2006/relationships/hyperlink" Target="https://www.sec.gov/Archives/edgar/data/1333986/000133398621000011/eqh-123120exhibit1058.htm" TargetMode="External"/><Relationship Id="rId192" Type="http://schemas.openxmlformats.org/officeDocument/2006/relationships/hyperlink" Target="eqh-123121exhibit322.htm" TargetMode="External"/><Relationship Id="rId12" Type="http://schemas.openxmlformats.org/officeDocument/2006/relationships/image" Target="file:///E:\projects\LLMs\new_data_collection\data_new\htm\Equitable%20Holdings,%20Inc\eqh-20211231_g9.jpg" TargetMode="External"/><Relationship Id="rId33" Type="http://schemas.openxmlformats.org/officeDocument/2006/relationships/hyperlink" Target="http://www.sec.gov/Archives/edgar/data/1333986/000119312518110200/d334112dex105.htm" TargetMode="External"/><Relationship Id="rId108" Type="http://schemas.openxmlformats.org/officeDocument/2006/relationships/hyperlink" Target="http://www.sec.gov/Archives/edgar/data/1333986/000133398618000006/aeh-03312018xexhibit1025.htm" TargetMode="External"/><Relationship Id="rId129" Type="http://schemas.openxmlformats.org/officeDocument/2006/relationships/hyperlink" Target="http://www.sec.gov/Archives/edgar/data/1333986/000119312518132723/d334112dex1051.htm" TargetMode="External"/><Relationship Id="rId54" Type="http://schemas.openxmlformats.org/officeDocument/2006/relationships/hyperlink" Target="http://www.sec.gov/Archives/edgar/data/825313/000082531316000046/ab-20151231xex1008.htm" TargetMode="External"/><Relationship Id="rId75" Type="http://schemas.openxmlformats.org/officeDocument/2006/relationships/hyperlink" Target="http://www.sec.gov/Archives/edgar/data/1333986/000156459019046393/eqh-ex102_7.htm" TargetMode="External"/><Relationship Id="rId96" Type="http://schemas.openxmlformats.org/officeDocument/2006/relationships/hyperlink" Target="https://www.sec.gov/Archives/edgar/data/1333986/000156459021015823/eqh-ex107_21.htm" TargetMode="External"/><Relationship Id="rId140" Type="http://schemas.openxmlformats.org/officeDocument/2006/relationships/hyperlink" Target="http://www.sec.gov/Archives/edgar/data/1333986/000119312518132723/d334112dex1054.htm" TargetMode="External"/><Relationship Id="rId161" Type="http://schemas.openxmlformats.org/officeDocument/2006/relationships/hyperlink" Target="eqh-12312021exhibit1038.htm" TargetMode="External"/><Relationship Id="rId182" Type="http://schemas.openxmlformats.org/officeDocument/2006/relationships/hyperlink" Target="https://www.sec.gov/Archives/edgar/data/1109448/000110944822000008/ablp-2021exhibit1003.htm" TargetMode="External"/><Relationship Id="rId6" Type="http://schemas.openxmlformats.org/officeDocument/2006/relationships/image" Target="file:///E:\projects\LLMs\new_data_collection\data_new\htm\Equitable%20Holdings,%20Inc\eqh-20211231_g3.jpg" TargetMode="External"/><Relationship Id="rId23" Type="http://schemas.openxmlformats.org/officeDocument/2006/relationships/hyperlink" Target="https://www.sec.gov/Archives/edgar/data/1333986/000119312521003213/d944972dex31.htm" TargetMode="External"/><Relationship Id="rId119" Type="http://schemas.openxmlformats.org/officeDocument/2006/relationships/hyperlink" Target="http://www.sec.gov/Archives/edgar/data/1333986/000119312518132723/d334112dex1048.htm" TargetMode="External"/><Relationship Id="rId44" Type="http://schemas.openxmlformats.org/officeDocument/2006/relationships/hyperlink" Target="http://www.sec.gov/Archives/edgar/data/1333986/000133398619000010/markpearsonemploymentagree.htm" TargetMode="External"/><Relationship Id="rId65" Type="http://schemas.openxmlformats.org/officeDocument/2006/relationships/hyperlink" Target="https://www.sec.gov/Archives/edgar/data/825313/000082531319000006/ab-2018exhibit1012.htm" TargetMode="External"/><Relationship Id="rId86" Type="http://schemas.openxmlformats.org/officeDocument/2006/relationships/hyperlink" Target="http://www.sec.gov/Archives/edgar/data/1333986/000119312518110200/d334112dex1027.htm" TargetMode="External"/><Relationship Id="rId130" Type="http://schemas.openxmlformats.org/officeDocument/2006/relationships/hyperlink" Target="http://www.sec.gov/Archives/edgar/data/1333986/000119312518132723/d334112dex1051.htm" TargetMode="External"/><Relationship Id="rId151" Type="http://schemas.openxmlformats.org/officeDocument/2006/relationships/hyperlink" Target="http://www.sec.gov/Archives/edgar/data/1333986/000133398619000010/omnibusincentiveplan.htm" TargetMode="External"/><Relationship Id="rId172" Type="http://schemas.openxmlformats.org/officeDocument/2006/relationships/hyperlink" Target="https://www.sec.gov/Archives/edgar/data/1109448/000110944822000008/ablp-2021exhibit1001.htm" TargetMode="External"/><Relationship Id="rId193" Type="http://schemas.openxmlformats.org/officeDocument/2006/relationships/fontTable" Target="fontTable.xml"/><Relationship Id="rId13" Type="http://schemas.openxmlformats.org/officeDocument/2006/relationships/image" Target="file:///E:\projects\LLMs\new_data_collection\data_new\htm\Equitable%20Holdings,%20Inc\eqh-20211231_g10.jpg" TargetMode="External"/><Relationship Id="rId109" Type="http://schemas.openxmlformats.org/officeDocument/2006/relationships/hyperlink" Target="http://www.sec.gov/Archives/edgar/data/1333986/000133398618000006/aeh-03312018xexhibit1025.htm" TargetMode="External"/><Relationship Id="rId34" Type="http://schemas.openxmlformats.org/officeDocument/2006/relationships/hyperlink" Target="http://www.sec.gov/Archives/edgar/data/1333986/000119312518110200/d334112dex107.htm" TargetMode="External"/><Relationship Id="rId50" Type="http://schemas.openxmlformats.org/officeDocument/2006/relationships/hyperlink" Target="http://www.sec.gov/Archives/edgar/data/1333986/000156459019046393/eqh-ex101_6.htm" TargetMode="External"/><Relationship Id="rId55" Type="http://schemas.openxmlformats.org/officeDocument/2006/relationships/hyperlink" Target="http://www.sec.gov/Archives/edgar/data/825313/000082531316000046/ab-20151231xex1009.htm" TargetMode="External"/><Relationship Id="rId76" Type="http://schemas.openxmlformats.org/officeDocument/2006/relationships/hyperlink" Target="http://www.sec.gov/Archives/edgar/data/825313/000082531318000011/a2017_exhibit1006.htm" TargetMode="External"/><Relationship Id="rId97" Type="http://schemas.openxmlformats.org/officeDocument/2006/relationships/hyperlink" Target="https://www.sec.gov/Archives/edgar/data/1333986/000156459021035086/eqh-ex107_35.htm" TargetMode="External"/><Relationship Id="rId104" Type="http://schemas.openxmlformats.org/officeDocument/2006/relationships/hyperlink" Target="https://www.sec.gov/Archives/edgar/data/1333986/000156459021035086/eqh-ex109_33.htm" TargetMode="External"/><Relationship Id="rId120" Type="http://schemas.openxmlformats.org/officeDocument/2006/relationships/hyperlink" Target="http://www.sec.gov/Archives/edgar/data/1333986/000119312518132723/d334112dex1049.htm" TargetMode="External"/><Relationship Id="rId125" Type="http://schemas.openxmlformats.org/officeDocument/2006/relationships/hyperlink" Target="https://www.sec.gov/Archives/edgar/data/1333986/000133398619000010/ex1069variabledeferredcomp.htm" TargetMode="External"/><Relationship Id="rId141" Type="http://schemas.openxmlformats.org/officeDocument/2006/relationships/hyperlink" Target="http://www.sec.gov/Archives/edgar/data/1333986/000119312518132723/d334112dex1055.htm" TargetMode="External"/><Relationship Id="rId146" Type="http://schemas.openxmlformats.org/officeDocument/2006/relationships/hyperlink" Target="http://www.sec.gov/Archives/edgar/data/1333986/000119312518132723/d334112dex1056.htm" TargetMode="External"/><Relationship Id="rId167" Type="http://schemas.openxmlformats.org/officeDocument/2006/relationships/hyperlink" Target="https://www.sec.gov/Archives/edgar/data/1333986/000133398621000011/eqh-123120exhibit1057.htm" TargetMode="External"/><Relationship Id="rId188" Type="http://schemas.openxmlformats.org/officeDocument/2006/relationships/hyperlink" Target="eqh-123121exhibit231.htm" TargetMode="External"/><Relationship Id="rId7" Type="http://schemas.openxmlformats.org/officeDocument/2006/relationships/image" Target="file:///E:\projects\LLMs\new_data_collection\data_new\htm\Equitable%20Holdings,%20Inc\eqh-20211231_g4.jpg" TargetMode="External"/><Relationship Id="rId71" Type="http://schemas.openxmlformats.org/officeDocument/2006/relationships/hyperlink" Target="http://www.sec.gov/Archives/edgar/data/825313/000082531319000006/ab-2018exhibit1001.htm" TargetMode="External"/><Relationship Id="rId92" Type="http://schemas.openxmlformats.org/officeDocument/2006/relationships/hyperlink" Target="http://www.sec.gov/Archives/edgar/data/1333986/000119312518110200/d334112dex1029.htm" TargetMode="External"/><Relationship Id="rId162" Type="http://schemas.openxmlformats.org/officeDocument/2006/relationships/hyperlink" Target="eqh-12312021exhibit1038.htm" TargetMode="External"/><Relationship Id="rId183" Type="http://schemas.openxmlformats.org/officeDocument/2006/relationships/hyperlink" Target="https://www.sec.gov/Archives/edgar/data/825313/000082531320000077/exhibit9901theplan.htm" TargetMode="External"/><Relationship Id="rId2" Type="http://schemas.openxmlformats.org/officeDocument/2006/relationships/settings" Target="settings.xml"/><Relationship Id="rId29" Type="http://schemas.openxmlformats.org/officeDocument/2006/relationships/hyperlink" Target="http://www.sec.gov/Archives/edgar/data/1333986/000119312518125782/d334112dex45.htm" TargetMode="External"/><Relationship Id="rId24" Type="http://schemas.openxmlformats.org/officeDocument/2006/relationships/hyperlink" Target="http://www.sec.gov/Archives/edgar/data/0001333986/000119312518125782/d334112dex41.htm" TargetMode="External"/><Relationship Id="rId40" Type="http://schemas.openxmlformats.org/officeDocument/2006/relationships/hyperlink" Target="http://www.sec.gov/Archives/edgar/data/1333986/000119312518110200/d334112dex1072.htm" TargetMode="External"/><Relationship Id="rId45" Type="http://schemas.openxmlformats.org/officeDocument/2006/relationships/hyperlink" Target="http://www.sec.gov/Archives/edgar/data/1333986/000133398619000026/eqh-63019exhibit101.htm" TargetMode="External"/><Relationship Id="rId66" Type="http://schemas.openxmlformats.org/officeDocument/2006/relationships/hyperlink" Target="https://www.sec.gov/Archives/edgar/data/825313/000082531319000006/ab-2018exhibit1012.htm" TargetMode="External"/><Relationship Id="rId87" Type="http://schemas.openxmlformats.org/officeDocument/2006/relationships/hyperlink" Target="https://www.sec.gov/Archives/edgar/data/1333986/000156459021015823/eqh-ex104_24.htm" TargetMode="External"/><Relationship Id="rId110" Type="http://schemas.openxmlformats.org/officeDocument/2006/relationships/hyperlink" Target="http://www.sec.gov/Archives/edgar/data/1333986/000133398618000006/aeh-03312018xexhibit1025.htm" TargetMode="External"/><Relationship Id="rId115" Type="http://schemas.openxmlformats.org/officeDocument/2006/relationships/hyperlink" Target="http://www.sec.gov/Archives/edgar/data/1333986/000119312518132723/d334112dex1047.htm" TargetMode="External"/><Relationship Id="rId131" Type="http://schemas.openxmlformats.org/officeDocument/2006/relationships/hyperlink" Target="http://www.sec.gov/Archives/edgar/data/1333986/000119312518132723/d334112dex1051.htm" TargetMode="External"/><Relationship Id="rId136" Type="http://schemas.openxmlformats.org/officeDocument/2006/relationships/hyperlink" Target="http://www.sec.gov/Archives/edgar/data/1333986/000119312518132723/d334112dex1053.htm" TargetMode="External"/><Relationship Id="rId157" Type="http://schemas.openxmlformats.org/officeDocument/2006/relationships/hyperlink" Target="eqh-12312021exhibit1037.htm" TargetMode="External"/><Relationship Id="rId178" Type="http://schemas.openxmlformats.org/officeDocument/2006/relationships/hyperlink" Target="https://www.sec.gov/Archives/edgar/data/1109448/000110944822000008/ablp-2021exhibit1003.htm" TargetMode="External"/><Relationship Id="rId61" Type="http://schemas.openxmlformats.org/officeDocument/2006/relationships/hyperlink" Target="https://www.sec.gov/Archives/edgar/data/825313/000082531317000008/a201610-kxexhibit1006.htm" TargetMode="External"/><Relationship Id="rId82" Type="http://schemas.openxmlformats.org/officeDocument/2006/relationships/hyperlink" Target="https://www.sec.gov/Archives/edgar/data/1333986/000156459021035086/eqh-ex102_40.htm" TargetMode="External"/><Relationship Id="rId152" Type="http://schemas.openxmlformats.org/officeDocument/2006/relationships/hyperlink" Target="http://www.sec.gov/Archives/edgar/data/1333986/000133398619000010/omnibusincentiveplan.htm" TargetMode="External"/><Relationship Id="rId173" Type="http://schemas.openxmlformats.org/officeDocument/2006/relationships/hyperlink" Target="https://www.sec.gov/Archives/edgar/data/1109448/000110944822000008/ablp-2021exhibit1001.htm" TargetMode="External"/><Relationship Id="rId194" Type="http://schemas.openxmlformats.org/officeDocument/2006/relationships/theme" Target="theme/theme1.xml"/><Relationship Id="rId19" Type="http://schemas.openxmlformats.org/officeDocument/2006/relationships/hyperlink" Target="http://www.sec.gov/Archives/edgar/data/1333986/000156459020000759/eqh-ex31_85.htm" TargetMode="External"/><Relationship Id="rId14" Type="http://schemas.openxmlformats.org/officeDocument/2006/relationships/image" Target="file:///E:\projects\LLMs\new_data_collection\data_new\htm\Equitable%20Holdings,%20Inc\eqh-20211231_g11.jpg" TargetMode="External"/><Relationship Id="rId30" Type="http://schemas.openxmlformats.org/officeDocument/2006/relationships/hyperlink" Target="http://www.sec.gov/Archives/edgar/data/1333986/000119312518125782/d334112dex46.htm" TargetMode="External"/><Relationship Id="rId35" Type="http://schemas.openxmlformats.org/officeDocument/2006/relationships/hyperlink" Target="http://www.sec.gov/Archives/edgar/data/1333986/000119312518110200/d334112dex1071.htm" TargetMode="External"/><Relationship Id="rId56" Type="http://schemas.openxmlformats.org/officeDocument/2006/relationships/hyperlink" Target="http://www.sec.gov/Archives/edgar/data/825313/000082531316000046/ab-20151231xex1010.htm" TargetMode="External"/><Relationship Id="rId77" Type="http://schemas.openxmlformats.org/officeDocument/2006/relationships/hyperlink" Target="http://www.sec.gov/Archives/edgar/data/825313/000082531318000011/a2017_exhibit1006.htm" TargetMode="External"/><Relationship Id="rId100" Type="http://schemas.openxmlformats.org/officeDocument/2006/relationships/hyperlink" Target="https://www.sec.gov/Archives/edgar/data/1333986/000156459021035086/eqh-ex108_34.htm" TargetMode="External"/><Relationship Id="rId105" Type="http://schemas.openxmlformats.org/officeDocument/2006/relationships/hyperlink" Target="http://www.sec.gov/Archives/edgar/data/1333986/000119312518132723/d334112dex1045.htm" TargetMode="External"/><Relationship Id="rId126" Type="http://schemas.openxmlformats.org/officeDocument/2006/relationships/hyperlink" Target="http://www.sec.gov/Archives/edgar/data/1333986/000119312518132723/d334112dex1050.htm" TargetMode="External"/><Relationship Id="rId147" Type="http://schemas.openxmlformats.org/officeDocument/2006/relationships/hyperlink" Target="http://www.sec.gov/Archives/edgar/data/1333986/000119312518132723/d334112dex1057.htm" TargetMode="External"/><Relationship Id="rId168" Type="http://schemas.openxmlformats.org/officeDocument/2006/relationships/hyperlink" Target="https://www.sec.gov/Archives/edgar/data/1333986/000133398621000011/eqh-123120exhibit1057.htm" TargetMode="External"/><Relationship Id="rId8" Type="http://schemas.openxmlformats.org/officeDocument/2006/relationships/image" Target="file:///E:\projects\LLMs\new_data_collection\data_new\htm\Equitable%20Holdings,%20Inc\eqh-20211231_g5.jpg" TargetMode="External"/><Relationship Id="rId51" Type="http://schemas.openxmlformats.org/officeDocument/2006/relationships/hyperlink" Target="http://www.sec.gov/Archives/edgar/data/1333986/000133398618000006/aeh-03312018xexhibit106.htm" TargetMode="External"/><Relationship Id="rId72" Type="http://schemas.openxmlformats.org/officeDocument/2006/relationships/hyperlink" Target="http://www.sec.gov/Archives/edgar/data/825313/000082531319000006/ab-2018exhibit1001.htm" TargetMode="External"/><Relationship Id="rId93" Type="http://schemas.openxmlformats.org/officeDocument/2006/relationships/hyperlink" Target="https://www.sec.gov/Archives/edgar/data/1333986/000156459021015823/eqh-ex106_22.htm" TargetMode="External"/><Relationship Id="rId98" Type="http://schemas.openxmlformats.org/officeDocument/2006/relationships/hyperlink" Target="http://www.sec.gov/Archives/edgar/data/1333986/000119312518110200/d334112dex1031.htm" TargetMode="External"/><Relationship Id="rId121" Type="http://schemas.openxmlformats.org/officeDocument/2006/relationships/hyperlink" Target="http://www.sec.gov/Archives/edgar/data/1333986/000119312518132723/d334112dex1049.htm" TargetMode="External"/><Relationship Id="rId142" Type="http://schemas.openxmlformats.org/officeDocument/2006/relationships/hyperlink" Target="http://www.sec.gov/Archives/edgar/data/1333986/000119312518132723/d334112dex1055.htm" TargetMode="External"/><Relationship Id="rId163" Type="http://schemas.openxmlformats.org/officeDocument/2006/relationships/hyperlink" Target="https://www.sec.gov/Archives/edgar/data/1333986/000133398621000011/eqh-123120exhibit1056.htm" TargetMode="External"/><Relationship Id="rId184" Type="http://schemas.openxmlformats.org/officeDocument/2006/relationships/hyperlink" Target="https://www.sec.gov/Archives/edgar/data/1109448/000110944822000008/ablp-2021exhibit1003.htm" TargetMode="External"/><Relationship Id="rId189" Type="http://schemas.openxmlformats.org/officeDocument/2006/relationships/hyperlink" Target="eqh-123121exhibit311.htm" TargetMode="External"/><Relationship Id="rId3" Type="http://schemas.openxmlformats.org/officeDocument/2006/relationships/webSettings" Target="webSettings.xml"/><Relationship Id="rId25" Type="http://schemas.openxmlformats.org/officeDocument/2006/relationships/hyperlink" Target="http://www.sec.gov/Archives/edgar/data/0001333986/000119312518125782/d334112dex44.htm" TargetMode="External"/><Relationship Id="rId46" Type="http://schemas.openxmlformats.org/officeDocument/2006/relationships/hyperlink" Target="http://www.sec.gov/Archives/edgar/data/1333986/000133398619000026/eqh-63019exhibit101.htm" TargetMode="External"/><Relationship Id="rId67" Type="http://schemas.openxmlformats.org/officeDocument/2006/relationships/hyperlink" Target="http://www.sec.gov/Archives/edgar/data/825313/000082531317000028/exhibit103.htm" TargetMode="External"/><Relationship Id="rId116" Type="http://schemas.openxmlformats.org/officeDocument/2006/relationships/hyperlink" Target="http://www.sec.gov/Archives/edgar/data/1333986/000119312518132723/d334112dex1047.htm" TargetMode="External"/><Relationship Id="rId137" Type="http://schemas.openxmlformats.org/officeDocument/2006/relationships/hyperlink" Target="http://www.sec.gov/Archives/edgar/data/1333986/000119312518132723/d334112dex1053.htm" TargetMode="External"/><Relationship Id="rId158" Type="http://schemas.openxmlformats.org/officeDocument/2006/relationships/hyperlink" Target="eqh-12312021exhibit1037.htm" TargetMode="External"/><Relationship Id="rId20" Type="http://schemas.openxmlformats.org/officeDocument/2006/relationships/hyperlink" Target="https://www.sec.gov/Archives/edgar/data/1333986/000156459020044388/eqh-ex31_16.htm" TargetMode="External"/><Relationship Id="rId41" Type="http://schemas.openxmlformats.org/officeDocument/2006/relationships/hyperlink" Target="http://www.sec.gov/Archives/edgar/data/1333986/000119312518110200/d334112dex1072.htm" TargetMode="External"/><Relationship Id="rId62" Type="http://schemas.openxmlformats.org/officeDocument/2006/relationships/hyperlink" Target="https://www.sec.gov/Archives/edgar/data/825313/000082531317000008/a201610-kxexhibit1006.htm" TargetMode="External"/><Relationship Id="rId83" Type="http://schemas.openxmlformats.org/officeDocument/2006/relationships/hyperlink" Target="http://www.sec.gov/Archives/edgar/data/1333986/000119312518110200/d334112dex1026.htm" TargetMode="External"/><Relationship Id="rId88" Type="http://schemas.openxmlformats.org/officeDocument/2006/relationships/hyperlink" Target="https://www.sec.gov/Archives/edgar/data/1333986/000156459021035086/eqh-ex104_38.htm" TargetMode="External"/><Relationship Id="rId111" Type="http://schemas.openxmlformats.org/officeDocument/2006/relationships/hyperlink" Target="https://www.sec.gov/Archives/edgar/data/1333986/000133398619000026/eqh-63019exhibit102.htm" TargetMode="External"/><Relationship Id="rId132" Type="http://schemas.openxmlformats.org/officeDocument/2006/relationships/hyperlink" Target="http://www.sec.gov/Archives/edgar/data/1333986/000119312518132723/d334112dex1052.htm" TargetMode="External"/><Relationship Id="rId153" Type="http://schemas.openxmlformats.org/officeDocument/2006/relationships/hyperlink" Target="http://www.sec.gov/Archives/edgar/data/1333986/000133398619000010/omnibusincentiveplan.htm" TargetMode="External"/><Relationship Id="rId174" Type="http://schemas.openxmlformats.org/officeDocument/2006/relationships/hyperlink" Target="https://www.sec.gov/Archives/edgar/data/1109448/000110944822000008/ablp-2021exhibit1001.htm" TargetMode="External"/><Relationship Id="rId179" Type="http://schemas.openxmlformats.org/officeDocument/2006/relationships/hyperlink" Target="https://www.sec.gov/Archives/edgar/data/1109448/000110944822000008/ablp-2021exhibit1003.htm" TargetMode="External"/><Relationship Id="rId190" Type="http://schemas.openxmlformats.org/officeDocument/2006/relationships/hyperlink" Target="eqh-123121exhibit312.htm" TargetMode="External"/><Relationship Id="rId15" Type="http://schemas.openxmlformats.org/officeDocument/2006/relationships/image" Target="file:///E:\projects\LLMs\new_data_collection\data_new\htm\Equitable%20Holdings,%20Inc\eqh-20211231_g12.jpg" TargetMode="External"/><Relationship Id="rId36" Type="http://schemas.openxmlformats.org/officeDocument/2006/relationships/hyperlink" Target="http://www.sec.gov/Archives/edgar/data/1333986/000119312518110200/d334112dex1071.htm" TargetMode="External"/><Relationship Id="rId57" Type="http://schemas.openxmlformats.org/officeDocument/2006/relationships/hyperlink" Target="https://www.sec.gov/Archives/edgar/data/825313/000082531321000058/alliancebernsteincrag2021ex.htm" TargetMode="External"/><Relationship Id="rId106" Type="http://schemas.openxmlformats.org/officeDocument/2006/relationships/hyperlink" Target="http://www.sec.gov/Archives/edgar/data/1333986/000119312518132723/d334112dex1045.htm" TargetMode="External"/><Relationship Id="rId127" Type="http://schemas.openxmlformats.org/officeDocument/2006/relationships/hyperlink" Target="http://www.sec.gov/Archives/edgar/data/1333986/000119312518132723/d334112dex1050.htm" TargetMode="External"/><Relationship Id="rId10" Type="http://schemas.openxmlformats.org/officeDocument/2006/relationships/image" Target="file:///E:\projects\LLMs\new_data_collection\data_new\htm\Equitable%20Holdings,%20Inc\eqh-20211231_g7.jpg" TargetMode="External"/><Relationship Id="rId31" Type="http://schemas.openxmlformats.org/officeDocument/2006/relationships/hyperlink" Target="http://www.sec.gov/Archives/edgar/data/1333986/000119312518125782/d334112dex47.htm" TargetMode="External"/><Relationship Id="rId52" Type="http://schemas.openxmlformats.org/officeDocument/2006/relationships/hyperlink" Target="http://www.sec.gov/Archives/edgar/data/1333986/000133398618000006/aeh-03312018xexhibit106.htm" TargetMode="External"/><Relationship Id="rId73" Type="http://schemas.openxmlformats.org/officeDocument/2006/relationships/hyperlink" Target="http://www.sec.gov/Archives/edgar/data/1333986/000156459019046393/eqh-ex102_7.htm" TargetMode="External"/><Relationship Id="rId78" Type="http://schemas.openxmlformats.org/officeDocument/2006/relationships/hyperlink" Target="http://www.sec.gov/Archives/edgar/data/825313/000082531318000011/a2017_exhibit1006.htm" TargetMode="External"/><Relationship Id="rId94" Type="http://schemas.openxmlformats.org/officeDocument/2006/relationships/hyperlink" Target="https://www.sec.gov/Archives/edgar/data/1333986/000156459021035086/eqh-ex106_36.htm" TargetMode="External"/><Relationship Id="rId99" Type="http://schemas.openxmlformats.org/officeDocument/2006/relationships/hyperlink" Target="https://www.sec.gov/Archives/edgar/data/1333986/000156459021015823/eqh-ex108_20.htm" TargetMode="External"/><Relationship Id="rId101" Type="http://schemas.openxmlformats.org/officeDocument/2006/relationships/hyperlink" Target="https://www.sec.gov/ix?doc=/Archives/edgar/data/0001333986/000156459021060572/eqh-8k_20211215.htm" TargetMode="External"/><Relationship Id="rId122" Type="http://schemas.openxmlformats.org/officeDocument/2006/relationships/hyperlink" Target="http://www.sec.gov/Archives/edgar/data/1333986/000119312518132723/d334112dex1049.htm" TargetMode="External"/><Relationship Id="rId143" Type="http://schemas.openxmlformats.org/officeDocument/2006/relationships/hyperlink" Target="http://www.sec.gov/Archives/edgar/data/1333986/000119312518132723/d334112dex1055.htm" TargetMode="External"/><Relationship Id="rId148" Type="http://schemas.openxmlformats.org/officeDocument/2006/relationships/hyperlink" Target="http://www.sec.gov/Archives/edgar/data/1333986/000119312518132723/d334112dex1057.htm" TargetMode="External"/><Relationship Id="rId164" Type="http://schemas.openxmlformats.org/officeDocument/2006/relationships/hyperlink" Target="https://www.sec.gov/Archives/edgar/data/1333986/000133398621000011/eqh-123120exhibit1056.htm" TargetMode="External"/><Relationship Id="rId169" Type="http://schemas.openxmlformats.org/officeDocument/2006/relationships/hyperlink" Target="https://www.sec.gov/Archives/edgar/data/1333986/000133398621000011/eqh-123120exhibit1058.htm" TargetMode="External"/><Relationship Id="rId185" Type="http://schemas.openxmlformats.org/officeDocument/2006/relationships/hyperlink" Target="https://www.sec.gov/Archives/edgar/data/0001333986/000133398621000011/eqh-123120exhibit1064.htm" TargetMode="External"/><Relationship Id="rId4" Type="http://schemas.openxmlformats.org/officeDocument/2006/relationships/image" Target="file:///E:\projects\LLMs\new_data_collection\data_new\htm\Equitable%20Holdings,%20Inc\eqh-20211231_g1.jpg" TargetMode="External"/><Relationship Id="rId9" Type="http://schemas.openxmlformats.org/officeDocument/2006/relationships/image" Target="file:///E:\projects\LLMs\new_data_collection\data_new\htm\Equitable%20Holdings,%20Inc\eqh-20211231_g6.jpg" TargetMode="External"/><Relationship Id="rId180" Type="http://schemas.openxmlformats.org/officeDocument/2006/relationships/hyperlink" Target="https://www.sec.gov/Archives/edgar/data/1109448/000110944822000008/ablp-2021exhibit1003.htm" TargetMode="External"/><Relationship Id="rId26" Type="http://schemas.openxmlformats.org/officeDocument/2006/relationships/hyperlink" Target="http://www.sec.gov/Archives/edgar/data/1333986/000119312518110200/d334112dex43.htm" TargetMode="External"/><Relationship Id="rId47" Type="http://schemas.openxmlformats.org/officeDocument/2006/relationships/hyperlink" Target="http://www.sec.gov/Archives/edgar/data/1333986/000133398619000026/eqh-63019exhibit101.htm" TargetMode="External"/><Relationship Id="rId68" Type="http://schemas.openxmlformats.org/officeDocument/2006/relationships/hyperlink" Target="http://www.sec.gov/Archives/edgar/data/825313/000082531317000028/exhibit103.htm" TargetMode="External"/><Relationship Id="rId89" Type="http://schemas.openxmlformats.org/officeDocument/2006/relationships/hyperlink" Target="http://www.sec.gov/Archives/edgar/data/1333986/000119312518110200/d334112dex1028.htm" TargetMode="External"/><Relationship Id="rId112" Type="http://schemas.openxmlformats.org/officeDocument/2006/relationships/hyperlink" Target="https://www.sec.gov/Archives/edgar/data/1333986/000133398619000026/eqh-63019exhibit102.htm" TargetMode="External"/><Relationship Id="rId133" Type="http://schemas.openxmlformats.org/officeDocument/2006/relationships/hyperlink" Target="http://www.sec.gov/Archives/edgar/data/1333986/000119312518132723/d334112dex1052.htm" TargetMode="External"/><Relationship Id="rId154" Type="http://schemas.openxmlformats.org/officeDocument/2006/relationships/hyperlink" Target="http://www.sec.gov/Archives/edgar/data/1333986/000133398619000010/a1062stockpurchaseplan.htm" TargetMode="External"/><Relationship Id="rId175" Type="http://schemas.openxmlformats.org/officeDocument/2006/relationships/hyperlink" Target="https://www.sec.gov/Archives/edgar/data/1109448/000110944822000008/ablp-2021exhibit1002.htm" TargetMode="External"/><Relationship Id="rId16" Type="http://schemas.openxmlformats.org/officeDocument/2006/relationships/image" Target="file:///E:\projects\LLMs\new_data_collection\data_new\htm\Equitable%20Holdings,%20Inc\eqh-20211231_g13.jpg" TargetMode="External"/><Relationship Id="rId37" Type="http://schemas.openxmlformats.org/officeDocument/2006/relationships/hyperlink" Target="http://www.sec.gov/Archives/edgar/data/1333986/000119312518110200/d334112dex1071.htm" TargetMode="External"/><Relationship Id="rId58" Type="http://schemas.openxmlformats.org/officeDocument/2006/relationships/hyperlink" Target="http://www.sec.gov/Archives/edgar/data/825313/000082531317000008/a201610-kxexhibit1006.htm" TargetMode="External"/><Relationship Id="rId79" Type="http://schemas.openxmlformats.org/officeDocument/2006/relationships/hyperlink" Target="https://www.sec.gov/Archives/edgar/data/1333986/000156459021035086/eqh-ex101_32.htm" TargetMode="External"/><Relationship Id="rId102" Type="http://schemas.openxmlformats.org/officeDocument/2006/relationships/hyperlink" Target="http://www.sec.gov/Archives/edgar/data/1333986/000119312518110200/d334112dex1032.htm" TargetMode="External"/><Relationship Id="rId123" Type="http://schemas.openxmlformats.org/officeDocument/2006/relationships/hyperlink" Target="https://www.sec.gov/Archives/edgar/data/1333986/000133398619000010/ex1069variabledeferredcomp.htm" TargetMode="External"/><Relationship Id="rId144" Type="http://schemas.openxmlformats.org/officeDocument/2006/relationships/hyperlink" Target="http://www.sec.gov/Archives/edgar/data/1333986/000119312518132723/d334112dex1056.htm" TargetMode="External"/><Relationship Id="rId90" Type="http://schemas.openxmlformats.org/officeDocument/2006/relationships/hyperlink" Target="https://www.sec.gov/Archives/edgar/data/1333986/000156459021015823/eqh-ex105_23.htm" TargetMode="External"/><Relationship Id="rId165" Type="http://schemas.openxmlformats.org/officeDocument/2006/relationships/hyperlink" Target="https://www.sec.gov/Archives/edgar/data/1333986/000133398621000011/eqh-123120exhibit1056.htm" TargetMode="External"/><Relationship Id="rId186" Type="http://schemas.openxmlformats.org/officeDocument/2006/relationships/hyperlink" Target="https://www.sec.gov/Archives/edgar/data/727920/000119312521177935/d177305dex101.htm" TargetMode="External"/><Relationship Id="rId27" Type="http://schemas.openxmlformats.org/officeDocument/2006/relationships/hyperlink" Target="http://www.sec.gov/Archives/edgar/data/1333986/000156459018023772/eqh-ex4_19.htm" TargetMode="External"/><Relationship Id="rId48" Type="http://schemas.openxmlformats.org/officeDocument/2006/relationships/hyperlink" Target="http://www.sec.gov/Archives/edgar/data/1333986/000156459019046393/eqh-ex101_6.htm" TargetMode="External"/><Relationship Id="rId69" Type="http://schemas.openxmlformats.org/officeDocument/2006/relationships/hyperlink" Target="http://www.sec.gov/Archives/edgar/data/825313/000082531317000028/exhibit103.htm" TargetMode="External"/><Relationship Id="rId113" Type="http://schemas.openxmlformats.org/officeDocument/2006/relationships/hyperlink" Target="https://www.sec.gov/Archives/edgar/data/1333986/000133398619000026/eqh-63019exhibit102.htm" TargetMode="External"/><Relationship Id="rId134" Type="http://schemas.openxmlformats.org/officeDocument/2006/relationships/hyperlink" Target="http://www.sec.gov/Archives/edgar/data/1333986/000119312518132723/d334112dex1052.htm" TargetMode="External"/><Relationship Id="rId80" Type="http://schemas.openxmlformats.org/officeDocument/2006/relationships/hyperlink" Target="http://www.sec.gov/Archives/edgar/data/1333986/000119312518110200/d334112dex1025.htm" TargetMode="External"/><Relationship Id="rId155" Type="http://schemas.openxmlformats.org/officeDocument/2006/relationships/hyperlink" Target="http://www.sec.gov/Archives/edgar/data/1333986/000133398619000010/a1062stockpurchaseplan.htm" TargetMode="External"/><Relationship Id="rId176" Type="http://schemas.openxmlformats.org/officeDocument/2006/relationships/hyperlink" Target="https://www.sec.gov/Archives/edgar/data/1109448/000110944822000008/ablp-2021exhibit1002.htm" TargetMode="External"/><Relationship Id="rId17" Type="http://schemas.openxmlformats.org/officeDocument/2006/relationships/image" Target="file:///E:\projects\LLMs\new_data_collection\data_new\htm\Equitable%20Holdings,%20Inc\eqh-20211231_g14.jpg" TargetMode="External"/><Relationship Id="rId38" Type="http://schemas.openxmlformats.org/officeDocument/2006/relationships/hyperlink" Target="http://www.sec.gov/Archives/edgar/data/1333986/000119312518110200/d334112dex1071.htm" TargetMode="External"/><Relationship Id="rId59" Type="http://schemas.openxmlformats.org/officeDocument/2006/relationships/hyperlink" Target="http://www.sec.gov/Archives/edgar/data/825313/000082531317000008/a201610-kxexhibit1006.htm" TargetMode="External"/><Relationship Id="rId103" Type="http://schemas.openxmlformats.org/officeDocument/2006/relationships/hyperlink" Target="https://www.sec.gov/Archives/edgar/data/1333986/000156459021015823/eqh-ex109_19.htm" TargetMode="External"/><Relationship Id="rId124" Type="http://schemas.openxmlformats.org/officeDocument/2006/relationships/hyperlink" Target="https://www.sec.gov/Archives/edgar/data/1333986/000133398619000010/ex1069variabledeferredcomp.htm" TargetMode="External"/><Relationship Id="rId70" Type="http://schemas.openxmlformats.org/officeDocument/2006/relationships/hyperlink" Target="http://www.sec.gov/Archives/edgar/data/825313/000082531319000006/ab-2018exhibit1001.htm" TargetMode="External"/><Relationship Id="rId91" Type="http://schemas.openxmlformats.org/officeDocument/2006/relationships/hyperlink" Target="https://www.sec.gov/Archives/edgar/data/1333986/000156459021035086/eqh-ex105_37.htm" TargetMode="External"/><Relationship Id="rId145" Type="http://schemas.openxmlformats.org/officeDocument/2006/relationships/hyperlink" Target="http://www.sec.gov/Archives/edgar/data/1333986/000119312518132723/d334112dex1056.htm" TargetMode="External"/><Relationship Id="rId166" Type="http://schemas.openxmlformats.org/officeDocument/2006/relationships/hyperlink" Target="https://www.sec.gov/Archives/edgar/data/1333986/000133398621000011/eqh-123120exhibit1057.htm" TargetMode="External"/><Relationship Id="rId187" Type="http://schemas.openxmlformats.org/officeDocument/2006/relationships/hyperlink" Target="eqh-123121exhibit211.htm" TargetMode="External"/><Relationship Id="rId1" Type="http://schemas.openxmlformats.org/officeDocument/2006/relationships/styles" Target="styles.xml"/><Relationship Id="rId28" Type="http://schemas.openxmlformats.org/officeDocument/2006/relationships/hyperlink" Target="http://www.sec.gov/Archives/edgar/data/1333986/000119312518125782/d334112dex44.htm" TargetMode="External"/><Relationship Id="rId49" Type="http://schemas.openxmlformats.org/officeDocument/2006/relationships/hyperlink" Target="http://www.sec.gov/Archives/edgar/data/1333986/000156459019046393/eqh-ex101_6.htm" TargetMode="External"/><Relationship Id="rId114" Type="http://schemas.openxmlformats.org/officeDocument/2006/relationships/hyperlink" Target="http://www.sec.gov/Archives/edgar/data/1333986/000119312518132723/d334112dex1047.htm" TargetMode="External"/><Relationship Id="rId60" Type="http://schemas.openxmlformats.org/officeDocument/2006/relationships/hyperlink" Target="http://www.sec.gov/Archives/edgar/data/825313/000082531317000008/a201610-kxexhibit1006.htm" TargetMode="External"/><Relationship Id="rId81" Type="http://schemas.openxmlformats.org/officeDocument/2006/relationships/hyperlink" Target="https://www.sec.gov/Archives/edgar/data/1333986/000156459021015823/eqh-ex102_26.htm" TargetMode="External"/><Relationship Id="rId135" Type="http://schemas.openxmlformats.org/officeDocument/2006/relationships/hyperlink" Target="http://www.sec.gov/Archives/edgar/data/1333986/000119312518132723/d334112dex1053.htm" TargetMode="External"/><Relationship Id="rId156" Type="http://schemas.openxmlformats.org/officeDocument/2006/relationships/hyperlink" Target="http://www.sec.gov/Archives/edgar/data/1333986/000133398619000010/a1062stockpurchaseplan.htm" TargetMode="External"/><Relationship Id="rId177" Type="http://schemas.openxmlformats.org/officeDocument/2006/relationships/hyperlink" Target="https://www.sec.gov/Archives/edgar/data/1109448/000110944822000008/ablp-2021exhibit1002.htm" TargetMode="External"/><Relationship Id="rId18" Type="http://schemas.openxmlformats.org/officeDocument/2006/relationships/hyperlink" Target="http://www.sec.gov/Archives/edgar/data/1333986/000133398618000006/aeh-03312018xexhibit31.htm" TargetMode="External"/><Relationship Id="rId39" Type="http://schemas.openxmlformats.org/officeDocument/2006/relationships/hyperlink" Target="http://www.sec.gov/Archives/edgar/data/1333986/000119312518110200/d334112dex107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176023</Words>
  <Characters>1003337</Characters>
  <Application>Microsoft Office Word</Application>
  <DocSecurity>0</DocSecurity>
  <Lines>8361</Lines>
  <Paragraphs>2354</Paragraphs>
  <ScaleCrop>false</ScaleCrop>
  <Company/>
  <LinksUpToDate>false</LinksUpToDate>
  <CharactersWithSpaces>1177006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eqh-20211231</dc:title>
  <dc:subject/>
  <dc:creator>Chongjian.Yue</dc:creator>
  <cp:keywords/>
  <dc:description/>
  <cp:lastModifiedBy>Yue Chongjian</cp:lastModifiedBy>
  <cp:revision>1</cp:revision>
  <dcterms:created xsi:type="dcterms:W3CDTF">2024-01-04T15:43:00Z</dcterms:created>
  <dcterms:modified xsi:type="dcterms:W3CDTF">2024-01-04T15:43:00Z</dcterms:modified>
</cp:coreProperties>
</file>